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917A3" w14:textId="0F51BA52" w:rsidR="00554A86" w:rsidRDefault="00554A86" w:rsidP="00554A86">
      <w:pPr>
        <w:pStyle w:val="CoverText"/>
        <w:jc w:val="center"/>
        <w:rPr>
          <w:bCs/>
        </w:rPr>
      </w:pPr>
      <w:r w:rsidRPr="00554A86">
        <w:rPr>
          <w:bCs/>
          <w:noProof/>
          <w:u w:val="none"/>
        </w:rPr>
        <w:drawing>
          <wp:inline distT="0" distB="0" distL="0" distR="0" wp14:anchorId="56121107" wp14:editId="2EBF6216">
            <wp:extent cx="1152525" cy="10547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054735"/>
                    </a:xfrm>
                    <a:prstGeom prst="rect">
                      <a:avLst/>
                    </a:prstGeom>
                    <a:noFill/>
                  </pic:spPr>
                </pic:pic>
              </a:graphicData>
            </a:graphic>
          </wp:inline>
        </w:drawing>
      </w:r>
    </w:p>
    <w:p w14:paraId="635C8CD3" w14:textId="77777777" w:rsidR="00554A86" w:rsidRDefault="00554A86" w:rsidP="004309B7">
      <w:pPr>
        <w:pStyle w:val="CoverText"/>
        <w:jc w:val="left"/>
        <w:rPr>
          <w:bCs/>
        </w:rPr>
      </w:pPr>
    </w:p>
    <w:p w14:paraId="634A8756" w14:textId="77777777" w:rsidR="00554A86" w:rsidRDefault="00554A86" w:rsidP="004309B7">
      <w:pPr>
        <w:pStyle w:val="CoverText"/>
        <w:jc w:val="left"/>
        <w:rPr>
          <w:bCs/>
        </w:rPr>
      </w:pPr>
    </w:p>
    <w:p w14:paraId="0495DC3F" w14:textId="7093705D" w:rsidR="004309B7" w:rsidRDefault="004309B7" w:rsidP="004309B7">
      <w:pPr>
        <w:pStyle w:val="CoverText"/>
        <w:jc w:val="left"/>
        <w:rPr>
          <w:bCs/>
          <w:sz w:val="20"/>
          <w:u w:val="none"/>
        </w:rPr>
      </w:pPr>
      <w:r>
        <w:rPr>
          <w:bCs/>
        </w:rPr>
        <w:t xml:space="preserve">Neutral Citation Number: </w:t>
      </w:r>
      <w:r w:rsidR="00A11C3C" w:rsidRPr="00A11C3C">
        <w:t>[2022] EWHC 2873 (Ch)</w:t>
      </w:r>
      <w:r>
        <w:rPr>
          <w:bCs/>
        </w:rPr>
        <w:br/>
      </w:r>
    </w:p>
    <w:p w14:paraId="0495DC40" w14:textId="78E89B24" w:rsidR="004309B7" w:rsidRDefault="004309B7" w:rsidP="004309B7">
      <w:pPr>
        <w:pStyle w:val="CoverText"/>
        <w:rPr>
          <w:b/>
          <w:spacing w:val="-3"/>
        </w:rPr>
      </w:pPr>
      <w:r>
        <w:t xml:space="preserve">Case No: </w:t>
      </w:r>
      <w:r w:rsidR="00657F9F">
        <w:t>CR-2012-007914</w:t>
      </w:r>
    </w:p>
    <w:p w14:paraId="0495DC41" w14:textId="77777777" w:rsidR="004309B7" w:rsidRDefault="004309B7" w:rsidP="004309B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0495DC42" w14:textId="77777777" w:rsidR="004309B7" w:rsidRDefault="009D159A" w:rsidP="004309B7">
      <w:pPr>
        <w:suppressAutoHyphens/>
        <w:rPr>
          <w:b/>
          <w:spacing w:val="-3"/>
          <w:u w:val="single"/>
        </w:rPr>
      </w:pPr>
      <w:r>
        <w:rPr>
          <w:b/>
          <w:spacing w:val="-3"/>
          <w:u w:val="single"/>
        </w:rPr>
        <w:t>BUSINESS AND PROPERTY COURTS OF ENGLAND AND WALES</w:t>
      </w:r>
    </w:p>
    <w:p w14:paraId="0495DC43" w14:textId="2BE1E598" w:rsidR="004309B7" w:rsidRDefault="0002249A" w:rsidP="004309B7">
      <w:pPr>
        <w:suppressAutoHyphens/>
        <w:rPr>
          <w:b/>
          <w:spacing w:val="-3"/>
          <w:u w:val="single"/>
        </w:rPr>
      </w:pPr>
      <w:r w:rsidRPr="0002249A">
        <w:rPr>
          <w:b/>
          <w:spacing w:val="-3"/>
          <w:u w:val="single"/>
        </w:rPr>
        <w:t>INSOLVENCY AND COMPANIES LIST</w:t>
      </w:r>
      <w:r>
        <w:rPr>
          <w:b/>
          <w:spacing w:val="-3"/>
          <w:u w:val="single"/>
        </w:rPr>
        <w:t xml:space="preserve"> (ChD)</w:t>
      </w:r>
    </w:p>
    <w:p w14:paraId="0495DC44" w14:textId="77777777" w:rsidR="004309B7" w:rsidRDefault="009D159A" w:rsidP="004309B7">
      <w:pPr>
        <w:pStyle w:val="CoverText"/>
      </w:pPr>
      <w:r>
        <w:t>Rolls Building, Royal Courts of Justice</w:t>
      </w:r>
    </w:p>
    <w:p w14:paraId="0495DC45" w14:textId="77777777" w:rsidR="009D159A" w:rsidRDefault="009D159A" w:rsidP="004309B7">
      <w:pPr>
        <w:pStyle w:val="CoverText"/>
      </w:pPr>
      <w:r>
        <w:t>Fetter Lane, London, EC4A 1NL</w:t>
      </w:r>
    </w:p>
    <w:p w14:paraId="0495DC46" w14:textId="77777777" w:rsidR="004309B7" w:rsidRDefault="004309B7" w:rsidP="004309B7">
      <w:pPr>
        <w:suppressAutoHyphens/>
        <w:jc w:val="right"/>
        <w:rPr>
          <w:spacing w:val="-3"/>
          <w:u w:val="single"/>
        </w:rPr>
      </w:pPr>
    </w:p>
    <w:p w14:paraId="0495DC47" w14:textId="0F8E8292" w:rsidR="004309B7" w:rsidRDefault="004309B7" w:rsidP="004309B7">
      <w:pPr>
        <w:pStyle w:val="CoverText"/>
        <w:rPr>
          <w:b/>
        </w:rPr>
      </w:pPr>
      <w:r>
        <w:t xml:space="preserve">Date: </w:t>
      </w:r>
      <w:r w:rsidR="00E85F92">
        <w:t>1</w:t>
      </w:r>
      <w:r w:rsidR="00EA4BB3">
        <w:t>7</w:t>
      </w:r>
      <w:r w:rsidR="00E85F92">
        <w:t>/11/2022</w:t>
      </w:r>
    </w:p>
    <w:p w14:paraId="0495DC48" w14:textId="77777777" w:rsidR="004309B7" w:rsidRDefault="004309B7" w:rsidP="004309B7">
      <w:pPr>
        <w:suppressAutoHyphens/>
        <w:rPr>
          <w:spacing w:val="-3"/>
        </w:rPr>
      </w:pPr>
    </w:p>
    <w:p w14:paraId="0495DC49" w14:textId="61013732" w:rsidR="004309B7" w:rsidRDefault="00A31532" w:rsidP="004309B7">
      <w:pPr>
        <w:suppressAutoHyphens/>
        <w:jc w:val="center"/>
        <w:rPr>
          <w:spacing w:val="-3"/>
        </w:rPr>
      </w:pPr>
      <w:r>
        <w:rPr>
          <w:b/>
          <w:spacing w:val="-3"/>
        </w:rPr>
        <w:t>Before</w:t>
      </w:r>
      <w:r>
        <w:rPr>
          <w:spacing w:val="-3"/>
        </w:rPr>
        <w:t>:</w:t>
      </w:r>
    </w:p>
    <w:p w14:paraId="0495DC4A" w14:textId="77777777" w:rsidR="004309B7" w:rsidRDefault="004309B7" w:rsidP="004309B7">
      <w:pPr>
        <w:suppressAutoHyphens/>
        <w:jc w:val="center"/>
        <w:rPr>
          <w:spacing w:val="-3"/>
        </w:rPr>
      </w:pPr>
    </w:p>
    <w:p w14:paraId="0495DC4B" w14:textId="51A9C41B" w:rsidR="004309B7" w:rsidRPr="009D159A" w:rsidRDefault="009D159A" w:rsidP="004309B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u w:val="none"/>
        </w:rPr>
      </w:pPr>
      <w:r w:rsidRPr="009D159A">
        <w:rPr>
          <w:u w:val="none"/>
        </w:rPr>
        <w:t xml:space="preserve">MRS JUSTICE </w:t>
      </w:r>
      <w:r w:rsidR="005B01B4">
        <w:rPr>
          <w:u w:val="none"/>
        </w:rPr>
        <w:t>FALK</w:t>
      </w:r>
      <w:r w:rsidR="0002249A">
        <w:rPr>
          <w:u w:val="none"/>
        </w:rPr>
        <w:t xml:space="preserve"> DBE</w:t>
      </w:r>
    </w:p>
    <w:p w14:paraId="0495DC4C" w14:textId="77777777" w:rsidR="004309B7" w:rsidRDefault="004309B7" w:rsidP="004309B7">
      <w:pPr>
        <w:suppressAutoHyphens/>
        <w:jc w:val="center"/>
        <w:rPr>
          <w:spacing w:val="-3"/>
        </w:rPr>
      </w:pPr>
      <w:r>
        <w:rPr>
          <w:spacing w:val="-3"/>
        </w:rPr>
        <w:t>- - - - - - - - - - - - - - - - - - - - -</w:t>
      </w:r>
    </w:p>
    <w:p w14:paraId="0495DC4D" w14:textId="1140A5D2" w:rsidR="004309B7" w:rsidRDefault="00A31532" w:rsidP="004309B7">
      <w:pPr>
        <w:suppressAutoHyphens/>
        <w:jc w:val="center"/>
        <w:rPr>
          <w:b/>
          <w:spacing w:val="-3"/>
        </w:rPr>
      </w:pPr>
      <w:r>
        <w:rPr>
          <w:b/>
          <w:spacing w:val="-3"/>
        </w:rPr>
        <w:t>Between:</w:t>
      </w:r>
    </w:p>
    <w:p w14:paraId="0495DC4E" w14:textId="77777777" w:rsidR="004309B7" w:rsidRDefault="004309B7" w:rsidP="004309B7">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4309B7" w14:paraId="0495DC52" w14:textId="77777777" w:rsidTr="00D31ACF">
        <w:trPr>
          <w:jc w:val="center"/>
        </w:trPr>
        <w:tc>
          <w:tcPr>
            <w:tcW w:w="1701" w:type="dxa"/>
          </w:tcPr>
          <w:p w14:paraId="0495DC4F" w14:textId="77777777" w:rsidR="004309B7" w:rsidRDefault="004309B7" w:rsidP="00EA195D">
            <w:pPr>
              <w:suppressAutoHyphens/>
              <w:jc w:val="center"/>
              <w:rPr>
                <w:b/>
                <w:spacing w:val="-3"/>
              </w:rPr>
            </w:pPr>
          </w:p>
        </w:tc>
        <w:tc>
          <w:tcPr>
            <w:tcW w:w="5333" w:type="dxa"/>
          </w:tcPr>
          <w:p w14:paraId="5F91FC56" w14:textId="77777777" w:rsidR="00EA195D" w:rsidRPr="00EA195D" w:rsidRDefault="00EA195D" w:rsidP="00EA195D">
            <w:pPr>
              <w:suppressAutoHyphens/>
              <w:jc w:val="center"/>
              <w:rPr>
                <w:b/>
                <w:spacing w:val="-3"/>
              </w:rPr>
            </w:pPr>
            <w:r w:rsidRPr="00EA195D">
              <w:rPr>
                <w:b/>
                <w:spacing w:val="-3"/>
              </w:rPr>
              <w:t>GEOFFREY CARTON-KELLY</w:t>
            </w:r>
          </w:p>
          <w:p w14:paraId="3C419CB7" w14:textId="77777777" w:rsidR="004309B7" w:rsidRDefault="00163385" w:rsidP="00EA195D">
            <w:pPr>
              <w:suppressAutoHyphens/>
              <w:jc w:val="center"/>
              <w:rPr>
                <w:b/>
                <w:spacing w:val="-3"/>
              </w:rPr>
            </w:pPr>
            <w:r>
              <w:rPr>
                <w:b/>
                <w:spacing w:val="-3"/>
              </w:rPr>
              <w:t>(a</w:t>
            </w:r>
            <w:r w:rsidRPr="00EA195D">
              <w:rPr>
                <w:b/>
                <w:spacing w:val="-3"/>
              </w:rPr>
              <w:t xml:space="preserve">s </w:t>
            </w:r>
            <w:r>
              <w:rPr>
                <w:b/>
                <w:spacing w:val="-3"/>
              </w:rPr>
              <w:t>l</w:t>
            </w:r>
            <w:r w:rsidRPr="00EA195D">
              <w:rPr>
                <w:b/>
                <w:spacing w:val="-3"/>
              </w:rPr>
              <w:t xml:space="preserve">iquidator </w:t>
            </w:r>
            <w:r>
              <w:rPr>
                <w:b/>
                <w:spacing w:val="-3"/>
              </w:rPr>
              <w:t>o</w:t>
            </w:r>
            <w:r w:rsidRPr="00EA195D">
              <w:rPr>
                <w:b/>
                <w:spacing w:val="-3"/>
              </w:rPr>
              <w:t>f C</w:t>
            </w:r>
            <w:r>
              <w:rPr>
                <w:b/>
                <w:spacing w:val="-3"/>
              </w:rPr>
              <w:t xml:space="preserve">GL </w:t>
            </w:r>
            <w:r w:rsidRPr="00EA195D">
              <w:rPr>
                <w:b/>
                <w:spacing w:val="-3"/>
              </w:rPr>
              <w:t>Realisations Limited</w:t>
            </w:r>
            <w:r w:rsidR="00EA195D" w:rsidRPr="00EA195D">
              <w:rPr>
                <w:b/>
                <w:spacing w:val="-3"/>
              </w:rPr>
              <w:t>)</w:t>
            </w:r>
          </w:p>
          <w:p w14:paraId="0495DC50" w14:textId="66433B2A" w:rsidR="004B57B4" w:rsidRDefault="004B57B4" w:rsidP="00EA195D">
            <w:pPr>
              <w:suppressAutoHyphens/>
              <w:jc w:val="center"/>
              <w:rPr>
                <w:b/>
                <w:spacing w:val="-3"/>
              </w:rPr>
            </w:pPr>
          </w:p>
        </w:tc>
        <w:tc>
          <w:tcPr>
            <w:tcW w:w="1707" w:type="dxa"/>
          </w:tcPr>
          <w:p w14:paraId="0495DC51" w14:textId="26620263" w:rsidR="004309B7" w:rsidRDefault="00E033F0" w:rsidP="00D31AC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Applic</w:t>
            </w:r>
            <w:r w:rsidR="004309B7">
              <w:t>ant</w:t>
            </w:r>
          </w:p>
        </w:tc>
      </w:tr>
      <w:tr w:rsidR="004309B7" w14:paraId="0495DC56" w14:textId="77777777" w:rsidTr="00D31ACF">
        <w:trPr>
          <w:jc w:val="center"/>
        </w:trPr>
        <w:tc>
          <w:tcPr>
            <w:tcW w:w="1701" w:type="dxa"/>
          </w:tcPr>
          <w:p w14:paraId="0495DC53" w14:textId="77777777" w:rsidR="004309B7" w:rsidRDefault="004309B7" w:rsidP="00D31ACF">
            <w:pPr>
              <w:suppressAutoHyphens/>
              <w:rPr>
                <w:b/>
                <w:spacing w:val="-3"/>
              </w:rPr>
            </w:pPr>
          </w:p>
        </w:tc>
        <w:tc>
          <w:tcPr>
            <w:tcW w:w="5333" w:type="dxa"/>
          </w:tcPr>
          <w:p w14:paraId="14F0DAEF" w14:textId="1655058C" w:rsidR="004309B7" w:rsidRDefault="004309B7" w:rsidP="00D31ACF">
            <w:pPr>
              <w:suppressAutoHyphens/>
              <w:jc w:val="center"/>
              <w:rPr>
                <w:b/>
                <w:spacing w:val="-3"/>
              </w:rPr>
            </w:pPr>
            <w:r>
              <w:rPr>
                <w:b/>
                <w:spacing w:val="-3"/>
              </w:rPr>
              <w:t xml:space="preserve">- and </w:t>
            </w:r>
            <w:r w:rsidR="004B57B4">
              <w:rPr>
                <w:b/>
                <w:spacing w:val="-3"/>
              </w:rPr>
              <w:t>–</w:t>
            </w:r>
          </w:p>
          <w:p w14:paraId="0495DC54" w14:textId="3C25E5E2" w:rsidR="004B57B4" w:rsidRDefault="004B57B4" w:rsidP="00D31ACF">
            <w:pPr>
              <w:suppressAutoHyphens/>
              <w:jc w:val="center"/>
              <w:rPr>
                <w:b/>
                <w:spacing w:val="-3"/>
              </w:rPr>
            </w:pPr>
          </w:p>
        </w:tc>
        <w:tc>
          <w:tcPr>
            <w:tcW w:w="1707" w:type="dxa"/>
          </w:tcPr>
          <w:p w14:paraId="0495DC55" w14:textId="77777777" w:rsidR="004309B7" w:rsidRDefault="004309B7" w:rsidP="00D31AC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4309B7" w14:paraId="0495DC5A" w14:textId="77777777" w:rsidTr="00D31ACF">
        <w:trPr>
          <w:jc w:val="center"/>
        </w:trPr>
        <w:tc>
          <w:tcPr>
            <w:tcW w:w="1701" w:type="dxa"/>
          </w:tcPr>
          <w:p w14:paraId="0495DC57" w14:textId="77777777" w:rsidR="004309B7" w:rsidRDefault="004309B7" w:rsidP="00D31ACF">
            <w:pPr>
              <w:suppressAutoHyphens/>
              <w:rPr>
                <w:b/>
                <w:spacing w:val="-3"/>
              </w:rPr>
            </w:pPr>
          </w:p>
        </w:tc>
        <w:tc>
          <w:tcPr>
            <w:tcW w:w="5333" w:type="dxa"/>
          </w:tcPr>
          <w:p w14:paraId="2E2E5A83" w14:textId="77777777" w:rsidR="004B57B4" w:rsidRDefault="004B57B4" w:rsidP="004B57B4">
            <w:pPr>
              <w:suppressAutoHyphens/>
              <w:jc w:val="center"/>
              <w:rPr>
                <w:b/>
                <w:spacing w:val="-3"/>
              </w:rPr>
            </w:pPr>
            <w:r>
              <w:rPr>
                <w:b/>
                <w:spacing w:val="-3"/>
              </w:rPr>
              <w:t>DARTY HOLDINGS SAS</w:t>
            </w:r>
          </w:p>
          <w:p w14:paraId="0495DC58" w14:textId="593C57E2" w:rsidR="004309B7" w:rsidRDefault="004B57B4" w:rsidP="004B57B4">
            <w:pPr>
              <w:suppressAutoHyphens/>
              <w:jc w:val="center"/>
              <w:rPr>
                <w:b/>
                <w:spacing w:val="-3"/>
              </w:rPr>
            </w:pPr>
            <w:r>
              <w:rPr>
                <w:b/>
                <w:spacing w:val="-3"/>
              </w:rPr>
              <w:t>(</w:t>
            </w:r>
            <w:r w:rsidR="00F81333">
              <w:rPr>
                <w:b/>
                <w:spacing w:val="-3"/>
              </w:rPr>
              <w:t>as successor to Kesa International Limited</w:t>
            </w:r>
            <w:r>
              <w:rPr>
                <w:b/>
                <w:spacing w:val="-3"/>
              </w:rPr>
              <w:t>)</w:t>
            </w:r>
          </w:p>
        </w:tc>
        <w:tc>
          <w:tcPr>
            <w:tcW w:w="1707" w:type="dxa"/>
          </w:tcPr>
          <w:p w14:paraId="0495DC59" w14:textId="196A4C32" w:rsidR="004309B7" w:rsidRDefault="00E033F0" w:rsidP="00D31AC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w:t>
            </w:r>
            <w:r w:rsidR="004309B7">
              <w:t>nt</w:t>
            </w:r>
          </w:p>
        </w:tc>
      </w:tr>
    </w:tbl>
    <w:p w14:paraId="0495DC5B" w14:textId="77777777" w:rsidR="004309B7" w:rsidRDefault="004309B7" w:rsidP="004309B7">
      <w:pPr>
        <w:suppressAutoHyphens/>
        <w:rPr>
          <w:b/>
          <w:spacing w:val="-3"/>
        </w:rPr>
      </w:pPr>
    </w:p>
    <w:p w14:paraId="0495DC5C" w14:textId="77777777" w:rsidR="004309B7" w:rsidRDefault="004309B7" w:rsidP="004309B7">
      <w:pPr>
        <w:suppressAutoHyphens/>
        <w:jc w:val="center"/>
        <w:rPr>
          <w:spacing w:val="-3"/>
        </w:rPr>
      </w:pPr>
      <w:r>
        <w:rPr>
          <w:spacing w:val="-3"/>
        </w:rPr>
        <w:t>- - - - - - - - - - - - - - - - - - - - -</w:t>
      </w:r>
    </w:p>
    <w:p w14:paraId="0495DC5D" w14:textId="77777777" w:rsidR="004309B7" w:rsidRDefault="004309B7" w:rsidP="004309B7">
      <w:pPr>
        <w:suppressAutoHyphens/>
        <w:jc w:val="center"/>
        <w:rPr>
          <w:spacing w:val="-3"/>
        </w:rPr>
      </w:pPr>
      <w:r>
        <w:rPr>
          <w:spacing w:val="-3"/>
        </w:rPr>
        <w:t>- - - - - - - - - - - - - - - - - - - - -</w:t>
      </w:r>
    </w:p>
    <w:p w14:paraId="0495DC5E" w14:textId="77777777" w:rsidR="004309B7" w:rsidRDefault="004309B7" w:rsidP="004309B7">
      <w:pPr>
        <w:suppressAutoHyphens/>
        <w:jc w:val="center"/>
        <w:rPr>
          <w:spacing w:val="-3"/>
        </w:rPr>
      </w:pPr>
    </w:p>
    <w:p w14:paraId="13DF91D2" w14:textId="4CA5237B" w:rsidR="005B6061" w:rsidRDefault="005B6061" w:rsidP="005B6061">
      <w:pPr>
        <w:suppressAutoHyphens/>
        <w:jc w:val="center"/>
        <w:rPr>
          <w:b/>
          <w:spacing w:val="-3"/>
        </w:rPr>
      </w:pPr>
      <w:r>
        <w:rPr>
          <w:b/>
          <w:spacing w:val="-3"/>
        </w:rPr>
        <w:t>Andreas Gledhill KC &amp;</w:t>
      </w:r>
      <w:r>
        <w:t xml:space="preserve"> </w:t>
      </w:r>
      <w:r>
        <w:rPr>
          <w:b/>
          <w:spacing w:val="-3"/>
        </w:rPr>
        <w:t xml:space="preserve">Tiran Nersessian </w:t>
      </w:r>
      <w:r>
        <w:rPr>
          <w:bCs/>
          <w:spacing w:val="-3"/>
        </w:rPr>
        <w:t>(instructed by</w:t>
      </w:r>
      <w:r>
        <w:rPr>
          <w:b/>
          <w:spacing w:val="-3"/>
        </w:rPr>
        <w:t xml:space="preserve"> Jones Day</w:t>
      </w:r>
      <w:r>
        <w:rPr>
          <w:bCs/>
          <w:spacing w:val="-3"/>
        </w:rPr>
        <w:t>) for the</w:t>
      </w:r>
      <w:r>
        <w:rPr>
          <w:spacing w:val="-3"/>
        </w:rPr>
        <w:t xml:space="preserve"> </w:t>
      </w:r>
      <w:r>
        <w:rPr>
          <w:b/>
          <w:bCs/>
          <w:spacing w:val="-3"/>
        </w:rPr>
        <w:t>App</w:t>
      </w:r>
      <w:r w:rsidR="003B7657">
        <w:rPr>
          <w:b/>
          <w:bCs/>
          <w:spacing w:val="-3"/>
        </w:rPr>
        <w:t>lic</w:t>
      </w:r>
      <w:r>
        <w:rPr>
          <w:b/>
          <w:bCs/>
          <w:spacing w:val="-3"/>
        </w:rPr>
        <w:t>ant</w:t>
      </w:r>
    </w:p>
    <w:p w14:paraId="02E9D639" w14:textId="77777777" w:rsidR="005B6061" w:rsidRDefault="005B6061" w:rsidP="005B6061">
      <w:pPr>
        <w:suppressAutoHyphens/>
        <w:jc w:val="center"/>
        <w:rPr>
          <w:bCs/>
          <w:spacing w:val="-3"/>
        </w:rPr>
      </w:pPr>
      <w:r>
        <w:rPr>
          <w:b/>
          <w:spacing w:val="-3"/>
        </w:rPr>
        <w:t>Tom Smith KC &amp;</w:t>
      </w:r>
      <w:r>
        <w:rPr>
          <w:bCs/>
          <w:spacing w:val="-3"/>
        </w:rPr>
        <w:t xml:space="preserve"> </w:t>
      </w:r>
      <w:r>
        <w:rPr>
          <w:b/>
          <w:spacing w:val="-3"/>
        </w:rPr>
        <w:t>Henry Phillips</w:t>
      </w:r>
      <w:r>
        <w:rPr>
          <w:bCs/>
          <w:spacing w:val="-3"/>
        </w:rPr>
        <w:t xml:space="preserve"> (instructed by </w:t>
      </w:r>
      <w:r>
        <w:rPr>
          <w:b/>
          <w:spacing w:val="-3"/>
        </w:rPr>
        <w:t>Sidley Austin LLP</w:t>
      </w:r>
      <w:r>
        <w:rPr>
          <w:bCs/>
          <w:spacing w:val="-3"/>
        </w:rPr>
        <w:t xml:space="preserve">) for the </w:t>
      </w:r>
      <w:r>
        <w:rPr>
          <w:b/>
          <w:spacing w:val="-3"/>
        </w:rPr>
        <w:t>Respondent</w:t>
      </w:r>
    </w:p>
    <w:p w14:paraId="0495DC61" w14:textId="77777777" w:rsidR="004309B7" w:rsidRDefault="004309B7" w:rsidP="004309B7">
      <w:pPr>
        <w:suppressAutoHyphens/>
        <w:jc w:val="center"/>
        <w:rPr>
          <w:b/>
          <w:spacing w:val="-3"/>
        </w:rPr>
      </w:pPr>
    </w:p>
    <w:p w14:paraId="0495DC62" w14:textId="5F27F8DE" w:rsidR="004309B7" w:rsidRDefault="004309B7" w:rsidP="004309B7">
      <w:pPr>
        <w:suppressAutoHyphens/>
        <w:jc w:val="center"/>
        <w:rPr>
          <w:spacing w:val="-3"/>
        </w:rPr>
      </w:pPr>
      <w:r>
        <w:rPr>
          <w:spacing w:val="-3"/>
        </w:rPr>
        <w:t xml:space="preserve">Hearing dates: </w:t>
      </w:r>
      <w:r w:rsidR="00FE0F61">
        <w:rPr>
          <w:spacing w:val="-3"/>
        </w:rPr>
        <w:t>11-14, 17, 18, 20 &amp; 21 October 2022</w:t>
      </w:r>
    </w:p>
    <w:p w14:paraId="0495DC63" w14:textId="77777777" w:rsidR="004309B7" w:rsidRDefault="004309B7" w:rsidP="004309B7">
      <w:pPr>
        <w:suppressAutoHyphens/>
        <w:jc w:val="center"/>
        <w:rPr>
          <w:spacing w:val="-3"/>
        </w:rPr>
      </w:pPr>
      <w:r>
        <w:rPr>
          <w:spacing w:val="-3"/>
        </w:rPr>
        <w:t>- - - - - - - - - - - - - - - - - - - - -</w:t>
      </w:r>
    </w:p>
    <w:p w14:paraId="0495DC64" w14:textId="1513C71D" w:rsidR="004309B7" w:rsidRDefault="00A11C3C" w:rsidP="004309B7">
      <w:pPr>
        <w:pStyle w:val="CoverDesc"/>
      </w:pPr>
      <w:r>
        <w:t xml:space="preserve">APPROVED </w:t>
      </w:r>
      <w:r w:rsidR="004309B7">
        <w:t>JUDGMENT</w:t>
      </w:r>
    </w:p>
    <w:p w14:paraId="32CA66AC" w14:textId="74E1C109" w:rsidR="006D4FB7" w:rsidRDefault="006D4FB7" w:rsidP="004309B7">
      <w:pPr>
        <w:pStyle w:val="CoverDesc"/>
      </w:pPr>
    </w:p>
    <w:p w14:paraId="614DD5FA" w14:textId="534F1CCC" w:rsidR="006D4FB7" w:rsidRDefault="006D4FB7" w:rsidP="006D4FB7">
      <w:pPr>
        <w:spacing w:after="240"/>
        <w:rPr>
          <w:b/>
        </w:rPr>
      </w:pPr>
      <w:r w:rsidRPr="00EE6DB1">
        <w:rPr>
          <w:b/>
        </w:rPr>
        <w:t xml:space="preserve">This judgment was handed down remotely at </w:t>
      </w:r>
      <w:r w:rsidR="00EA4BB3">
        <w:rPr>
          <w:b/>
        </w:rPr>
        <w:t>16</w:t>
      </w:r>
      <w:r w:rsidR="00B9005D">
        <w:rPr>
          <w:b/>
        </w:rPr>
        <w:t>.45</w:t>
      </w:r>
      <w:r w:rsidRPr="00EE6DB1">
        <w:rPr>
          <w:b/>
        </w:rPr>
        <w:t xml:space="preserve"> on </w:t>
      </w:r>
      <w:r>
        <w:rPr>
          <w:b/>
        </w:rPr>
        <w:t>1</w:t>
      </w:r>
      <w:r w:rsidR="00B9005D">
        <w:rPr>
          <w:b/>
        </w:rPr>
        <w:t>7</w:t>
      </w:r>
      <w:r>
        <w:rPr>
          <w:b/>
        </w:rPr>
        <w:t xml:space="preserve"> November 2022</w:t>
      </w:r>
      <w:r w:rsidRPr="00EE6DB1">
        <w:rPr>
          <w:b/>
        </w:rPr>
        <w:t xml:space="preserve"> by circulation to the parties or their representatives by email and by release to The National Archives.</w:t>
      </w:r>
    </w:p>
    <w:p w14:paraId="13B76145" w14:textId="77777777" w:rsidR="006D4FB7" w:rsidRDefault="006D4FB7" w:rsidP="004309B7">
      <w:pPr>
        <w:pStyle w:val="CoverDesc"/>
      </w:pPr>
    </w:p>
    <w:p w14:paraId="0495DC65" w14:textId="77777777" w:rsidR="004309B7" w:rsidRDefault="004309B7" w:rsidP="004309B7">
      <w:pPr>
        <w:pStyle w:val="CoverDesc"/>
        <w:rPr>
          <w:sz w:val="24"/>
        </w:rPr>
      </w:pPr>
    </w:p>
    <w:p w14:paraId="0495DC68" w14:textId="77777777" w:rsidR="004309B7" w:rsidRDefault="004309B7" w:rsidP="004309B7">
      <w:pPr>
        <w:sectPr w:rsidR="004309B7">
          <w:footerReference w:type="default" r:id="rId9"/>
          <w:pgSz w:w="11909" w:h="16834" w:code="9"/>
          <w:pgMar w:top="720" w:right="1440" w:bottom="720" w:left="1440" w:header="720" w:footer="720" w:gutter="0"/>
          <w:pgNumType w:start="1"/>
          <w:cols w:space="720"/>
        </w:sectPr>
      </w:pPr>
    </w:p>
    <w:p w14:paraId="0495DC69" w14:textId="5F166C07" w:rsidR="004309B7" w:rsidRDefault="009D159A" w:rsidP="004309B7">
      <w:pPr>
        <w:spacing w:after="240"/>
      </w:pPr>
      <w:r>
        <w:rPr>
          <w:b/>
        </w:rPr>
        <w:lastRenderedPageBreak/>
        <w:t xml:space="preserve">Mrs Justice </w:t>
      </w:r>
      <w:r w:rsidR="00E83C90">
        <w:rPr>
          <w:b/>
        </w:rPr>
        <w:t>Falk</w:t>
      </w:r>
      <w:r w:rsidR="004309B7">
        <w:rPr>
          <w:b/>
        </w:rPr>
        <w:t>:</w:t>
      </w:r>
      <w:r w:rsidR="004309B7">
        <w:t xml:space="preserve"> </w:t>
      </w:r>
    </w:p>
    <w:p w14:paraId="0495DC6A" w14:textId="77777777" w:rsidR="004309B7" w:rsidRDefault="004309B7" w:rsidP="004309B7">
      <w:pPr>
        <w:pStyle w:val="ParaHeading"/>
        <w:sectPr w:rsidR="004309B7">
          <w:headerReference w:type="default" r:id="rId10"/>
          <w:footerReference w:type="default" r:id="rId11"/>
          <w:pgSz w:w="11909" w:h="16834" w:code="9"/>
          <w:pgMar w:top="1440" w:right="1440" w:bottom="1440" w:left="1440" w:header="709" w:footer="709" w:gutter="0"/>
          <w:cols w:space="720"/>
          <w:formProt w:val="0"/>
        </w:sectPr>
      </w:pPr>
    </w:p>
    <w:p w14:paraId="0495DC6B" w14:textId="2EBE4F63" w:rsidR="00312C5C" w:rsidRDefault="00B64767" w:rsidP="005E6F6E">
      <w:pPr>
        <w:pStyle w:val="Heading1"/>
        <w:spacing w:before="480"/>
      </w:pPr>
      <w:r>
        <w:t>Introduction</w:t>
      </w:r>
    </w:p>
    <w:p w14:paraId="55F86187" w14:textId="1CF470DE" w:rsidR="0071626D" w:rsidRDefault="00DB3D55" w:rsidP="0071626D">
      <w:pPr>
        <w:pStyle w:val="BodyText"/>
      </w:pPr>
      <w:r>
        <w:t xml:space="preserve">On </w:t>
      </w:r>
      <w:r w:rsidR="00EA42A1">
        <w:t>2 November 2012 Comet Group plc, now known as CGL Realisations Limited</w:t>
      </w:r>
      <w:r w:rsidR="008F3F09">
        <w:t xml:space="preserve"> (“Comet”)</w:t>
      </w:r>
      <w:r w:rsidR="00ED43E4">
        <w:t>, entered administration</w:t>
      </w:r>
      <w:r w:rsidR="006731A5">
        <w:t>. The administration was converted to a creditors</w:t>
      </w:r>
      <w:r w:rsidR="009E02AD">
        <w:t>’</w:t>
      </w:r>
      <w:r w:rsidR="006731A5">
        <w:t xml:space="preserve"> vo</w:t>
      </w:r>
      <w:r w:rsidR="00AF51BC">
        <w:t xml:space="preserve">luntary liquidation on 3 October 2013, with the </w:t>
      </w:r>
      <w:r w:rsidR="00D5182D">
        <w:t xml:space="preserve">same </w:t>
      </w:r>
      <w:r w:rsidR="00BC7C80">
        <w:t>individuals</w:t>
      </w:r>
      <w:r w:rsidR="00F56568">
        <w:t xml:space="preserve"> who had acted as administrators</w:t>
      </w:r>
      <w:r w:rsidR="00BC7C80">
        <w:t xml:space="preserve">, </w:t>
      </w:r>
      <w:r w:rsidR="00F56568">
        <w:t xml:space="preserve">three </w:t>
      </w:r>
      <w:r w:rsidR="00BC7C80">
        <w:t>partners of Deloitte LLP,</w:t>
      </w:r>
      <w:r w:rsidR="00903DA3">
        <w:t xml:space="preserve"> being the initial liquidators.</w:t>
      </w:r>
    </w:p>
    <w:p w14:paraId="045FBEB8" w14:textId="0E3C81D8" w:rsidR="00DB10E6" w:rsidRDefault="004111D1" w:rsidP="0071626D">
      <w:pPr>
        <w:pStyle w:val="BodyText"/>
      </w:pPr>
      <w:r>
        <w:t>The insolvency attracted scrutiny</w:t>
      </w:r>
      <w:r w:rsidR="002F1066">
        <w:t xml:space="preserve">, including an investigation by </w:t>
      </w:r>
      <w:r w:rsidR="00BD20F6">
        <w:t>the Insolvency Service</w:t>
      </w:r>
      <w:r w:rsidR="0089521E">
        <w:t xml:space="preserve"> and a disciplinary investigation by the</w:t>
      </w:r>
      <w:r w:rsidR="00AF06F7">
        <w:t xml:space="preserve"> </w:t>
      </w:r>
      <w:r w:rsidR="00AF06F7" w:rsidRPr="00AF06F7">
        <w:t>Institute of Chartered Accountants in England and Wales (“ICAEW”)</w:t>
      </w:r>
      <w:r w:rsidR="004678F2">
        <w:t xml:space="preserve"> related to concerns about the impartiality</w:t>
      </w:r>
      <w:r w:rsidR="000D0EA9">
        <w:t xml:space="preserve"> of Deloitte</w:t>
      </w:r>
      <w:r w:rsidR="000228DA">
        <w:t xml:space="preserve">. The ICAEW’s actions led to </w:t>
      </w:r>
      <w:r w:rsidR="00233735">
        <w:t xml:space="preserve">an application by the liquidators for directions, </w:t>
      </w:r>
      <w:r w:rsidR="00245E73">
        <w:t xml:space="preserve">the outcome of which </w:t>
      </w:r>
      <w:r w:rsidR="007D3CC1">
        <w:t>was that</w:t>
      </w:r>
      <w:r w:rsidR="00B4694A">
        <w:t xml:space="preserve"> </w:t>
      </w:r>
      <w:r w:rsidR="007D3CC1">
        <w:t>Mr Cart</w:t>
      </w:r>
      <w:r w:rsidR="00A40C17">
        <w:t>o</w:t>
      </w:r>
      <w:r w:rsidR="00A529CE">
        <w:t>n</w:t>
      </w:r>
      <w:r w:rsidR="00A40C17">
        <w:t xml:space="preserve">-Kelly, the Applicant in these </w:t>
      </w:r>
      <w:r w:rsidR="00A529CE">
        <w:t>proceedings</w:t>
      </w:r>
      <w:r w:rsidR="00A40C17">
        <w:t>, was appointed as an additional liquidator</w:t>
      </w:r>
      <w:r w:rsidR="00316AB5">
        <w:t>: see the judgment of Sir Nicholas Warren</w:t>
      </w:r>
      <w:r w:rsidR="00F20230">
        <w:t xml:space="preserve"> in </w:t>
      </w:r>
      <w:r w:rsidR="00F20230" w:rsidRPr="00F20230">
        <w:rPr>
          <w:i/>
          <w:iCs/>
        </w:rPr>
        <w:t>Kahn v ICAEW</w:t>
      </w:r>
      <w:r w:rsidR="00F20230" w:rsidRPr="00F20230">
        <w:t xml:space="preserve"> [2018] EWHC 1378 (Ch)</w:t>
      </w:r>
      <w:r w:rsidR="00DB10E6">
        <w:t>.</w:t>
      </w:r>
      <w:r w:rsidR="00EF0AA4">
        <w:t xml:space="preserve"> For convenience, I will refer to Mr Carton-Kelly as the “Liquidator”</w:t>
      </w:r>
      <w:r w:rsidR="00AE1EE6">
        <w:t xml:space="preserve"> </w:t>
      </w:r>
      <w:r w:rsidR="00122CEE">
        <w:t>and</w:t>
      </w:r>
      <w:r w:rsidR="00AE1EE6">
        <w:t xml:space="preserve"> the proceedings involving the ICAEW as the “ICAEW proceedings”</w:t>
      </w:r>
      <w:r w:rsidR="00EF0AA4">
        <w:t>.</w:t>
      </w:r>
    </w:p>
    <w:p w14:paraId="1FA3B1C4" w14:textId="003EA62E" w:rsidR="004111D1" w:rsidRDefault="008A17A3" w:rsidP="0071626D">
      <w:pPr>
        <w:pStyle w:val="BodyText"/>
      </w:pPr>
      <w:r>
        <w:t xml:space="preserve">On 3 February 2012, around nine months before it collapsed, </w:t>
      </w:r>
      <w:r w:rsidR="008F3F09">
        <w:t xml:space="preserve">Comet had been </w:t>
      </w:r>
      <w:r w:rsidR="00CE3AAD">
        <w:t>sold</w:t>
      </w:r>
      <w:r w:rsidR="00DF0A9B">
        <w:t xml:space="preserve"> </w:t>
      </w:r>
      <w:r w:rsidR="002A22E5">
        <w:t xml:space="preserve">by a </w:t>
      </w:r>
      <w:r w:rsidR="009F58D7">
        <w:t xml:space="preserve">listed </w:t>
      </w:r>
      <w:r w:rsidR="002A22E5">
        <w:t xml:space="preserve">group headed by </w:t>
      </w:r>
      <w:r w:rsidR="002B76C7">
        <w:t>Kesa Electricals plc (</w:t>
      </w:r>
      <w:r w:rsidR="008E063B">
        <w:t xml:space="preserve">the “Kesa” group and </w:t>
      </w:r>
      <w:r w:rsidR="002B76C7">
        <w:t>“K</w:t>
      </w:r>
      <w:r w:rsidR="008E063B">
        <w:t>EP</w:t>
      </w:r>
      <w:r w:rsidR="002B76C7">
        <w:t>”</w:t>
      </w:r>
      <w:r w:rsidR="008E063B">
        <w:t xml:space="preserve"> respectively</w:t>
      </w:r>
      <w:r w:rsidR="002B76C7">
        <w:t>)</w:t>
      </w:r>
      <w:r w:rsidR="00F639CE">
        <w:t xml:space="preserve"> to vehicles </w:t>
      </w:r>
      <w:r w:rsidR="00BC435C">
        <w:t>established by OpCapita LLP (“OpCapita</w:t>
      </w:r>
      <w:r w:rsidR="00EA751B">
        <w:t>”</w:t>
      </w:r>
      <w:r w:rsidR="00BC435C">
        <w:t>)</w:t>
      </w:r>
      <w:r w:rsidR="00FC61E9">
        <w:t xml:space="preserve">, a </w:t>
      </w:r>
      <w:r w:rsidR="000979D2" w:rsidRPr="000979D2">
        <w:t>private investment partnership specialising in distressed retail sector opportunities</w:t>
      </w:r>
      <w:r w:rsidR="00CE3AAD">
        <w:t xml:space="preserve"> (the “Disposal”)</w:t>
      </w:r>
      <w:r w:rsidR="000979D2" w:rsidRPr="000979D2">
        <w:t>.</w:t>
      </w:r>
      <w:r w:rsidR="00A529CE">
        <w:t xml:space="preserve"> </w:t>
      </w:r>
      <w:r w:rsidR="00C15CC3">
        <w:t xml:space="preserve">The </w:t>
      </w:r>
      <w:r w:rsidR="00D11284">
        <w:t>Liquidator</w:t>
      </w:r>
      <w:r w:rsidR="00C15CC3">
        <w:t xml:space="preserve">’s role was </w:t>
      </w:r>
      <w:r w:rsidR="00A529CE">
        <w:t>to investigate, and if appropriate, pursue claims</w:t>
      </w:r>
      <w:r w:rsidR="00026B9D">
        <w:t xml:space="preserve"> connected with the </w:t>
      </w:r>
      <w:r w:rsidR="00CE3AAD">
        <w:t>D</w:t>
      </w:r>
      <w:r w:rsidR="004030AF">
        <w:t>isposal</w:t>
      </w:r>
      <w:r w:rsidR="00026B9D">
        <w:t xml:space="preserve"> and </w:t>
      </w:r>
      <w:r w:rsidR="00335BAA">
        <w:t>the associated arrangements in respect of Comet’s</w:t>
      </w:r>
      <w:r w:rsidR="00345D1B">
        <w:t xml:space="preserve"> debt.</w:t>
      </w:r>
      <w:r w:rsidR="00A40C17">
        <w:t xml:space="preserve"> </w:t>
      </w:r>
    </w:p>
    <w:p w14:paraId="5BED1DED" w14:textId="4A0370AC" w:rsidR="00A20C08" w:rsidRDefault="008A17A3" w:rsidP="0071626D">
      <w:pPr>
        <w:pStyle w:val="BodyText"/>
      </w:pPr>
      <w:r>
        <w:t>These proceedings were issued</w:t>
      </w:r>
      <w:r w:rsidR="00C12A30">
        <w:t xml:space="preserve"> </w:t>
      </w:r>
      <w:r w:rsidR="00F2500E">
        <w:t>on 26 October 2018</w:t>
      </w:r>
      <w:r w:rsidR="006305A1">
        <w:t>. They seek relief under s.239 Insolvency Act 1986 (“IA 1986”)</w:t>
      </w:r>
      <w:r w:rsidR="00F12FC2">
        <w:t xml:space="preserve"> in respect of what is alleged to have been a preference given </w:t>
      </w:r>
      <w:r w:rsidR="009A431B">
        <w:t>by Comet</w:t>
      </w:r>
      <w:r w:rsidR="000B394D">
        <w:t xml:space="preserve"> when it repaid</w:t>
      </w:r>
      <w:r w:rsidR="007372EA">
        <w:t xml:space="preserve"> approximately</w:t>
      </w:r>
      <w:r w:rsidR="000B394D">
        <w:t xml:space="preserve"> </w:t>
      </w:r>
      <w:r w:rsidR="00FE083A">
        <w:t xml:space="preserve">£115.4m of intra-group debt to </w:t>
      </w:r>
      <w:r w:rsidR="00204E26">
        <w:t>Kesa International Limited (“KIL”) as part of the completion arrangements</w:t>
      </w:r>
      <w:r w:rsidR="00BE2EC4">
        <w:t xml:space="preserve"> for the </w:t>
      </w:r>
      <w:r w:rsidR="00CE3AAD">
        <w:t>D</w:t>
      </w:r>
      <w:r w:rsidR="004030AF">
        <w:t>isposal</w:t>
      </w:r>
      <w:r w:rsidR="00BE2EC4">
        <w:t>.</w:t>
      </w:r>
      <w:r w:rsidR="005617B3">
        <w:t xml:space="preserve"> The Respondent</w:t>
      </w:r>
      <w:r w:rsidR="00EF0AA4">
        <w:t xml:space="preserve"> (“Darty”)</w:t>
      </w:r>
      <w:r w:rsidR="005617B3">
        <w:t xml:space="preserve"> is</w:t>
      </w:r>
      <w:r w:rsidR="003E6936">
        <w:t xml:space="preserve"> the successor to KIL, following a cross-border merger</w:t>
      </w:r>
      <w:r w:rsidR="007C7250">
        <w:t xml:space="preserve"> in early 2018</w:t>
      </w:r>
      <w:r w:rsidR="00B95509">
        <w:t>.</w:t>
      </w:r>
    </w:p>
    <w:p w14:paraId="2411EF88" w14:textId="3B55B982" w:rsidR="00EE6530" w:rsidRDefault="00EE6530" w:rsidP="0071626D">
      <w:pPr>
        <w:pStyle w:val="BodyText"/>
      </w:pPr>
      <w:r>
        <w:t xml:space="preserve">Darty’s initial defence </w:t>
      </w:r>
      <w:r w:rsidR="008B4F59">
        <w:t>raised a preliminary issue, namely whether KIL was connected with</w:t>
      </w:r>
      <w:r w:rsidR="002436EE">
        <w:t xml:space="preserve"> Comet at the time of the </w:t>
      </w:r>
      <w:r w:rsidR="00CE3AAD">
        <w:t>Disposal</w:t>
      </w:r>
      <w:r w:rsidR="002436EE">
        <w:t>. If it was not</w:t>
      </w:r>
      <w:r w:rsidR="00C363C3">
        <w:t>, as Darty then alleged</w:t>
      </w:r>
      <w:r w:rsidR="00167469">
        <w:t>,</w:t>
      </w:r>
      <w:r w:rsidR="002436EE">
        <w:t xml:space="preserve"> then </w:t>
      </w:r>
      <w:r w:rsidR="00BA6398">
        <w:t>it was clear</w:t>
      </w:r>
      <w:r w:rsidR="00934130">
        <w:t xml:space="preserve"> that the claim would fail because the alleged preference </w:t>
      </w:r>
      <w:r w:rsidR="00E1340B">
        <w:t>occurred</w:t>
      </w:r>
      <w:r w:rsidR="00934130">
        <w:t xml:space="preserve"> more than six months before</w:t>
      </w:r>
      <w:r w:rsidR="003C55CF">
        <w:t xml:space="preserve"> the </w:t>
      </w:r>
      <w:r w:rsidR="00B83094">
        <w:t>administration, as compared to the two year period that applies to transactions between connected parties</w:t>
      </w:r>
      <w:r w:rsidR="003C55CF">
        <w:t xml:space="preserve"> (see s. 240(1)(a) and (b)</w:t>
      </w:r>
      <w:r w:rsidR="00B83094">
        <w:t xml:space="preserve"> IA 1986</w:t>
      </w:r>
      <w:r w:rsidR="00AC6C89">
        <w:t>).</w:t>
      </w:r>
      <w:r w:rsidR="00C363C3">
        <w:t xml:space="preserve"> This point was concluded in favour of the Liquidator</w:t>
      </w:r>
      <w:r w:rsidR="00167469">
        <w:t xml:space="preserve"> by Deputy ICC Judge Agnello, whose decision was upheld by Miles J on appeal </w:t>
      </w:r>
      <w:r w:rsidR="005E4DCB">
        <w:t>(</w:t>
      </w:r>
      <w:r w:rsidR="005E4DCB" w:rsidRPr="00362C5E">
        <w:rPr>
          <w:i/>
          <w:iCs/>
        </w:rPr>
        <w:t>Darty v Carton-Kelly</w:t>
      </w:r>
      <w:r w:rsidR="005E4DCB">
        <w:t xml:space="preserve"> [2021] EWHC 1018 (Ch)</w:t>
      </w:r>
      <w:r w:rsidR="00294D22">
        <w:t>)</w:t>
      </w:r>
      <w:r w:rsidR="00BF23BF">
        <w:t>.</w:t>
      </w:r>
    </w:p>
    <w:p w14:paraId="1379774E" w14:textId="0F86150D" w:rsidR="00085DA3" w:rsidRDefault="00085DA3" w:rsidP="0071626D">
      <w:pPr>
        <w:pStyle w:val="BodyText"/>
      </w:pPr>
      <w:r>
        <w:t>The structure of this judgment is as follo</w:t>
      </w:r>
      <w:r w:rsidR="00B456D0">
        <w:t>ws</w:t>
      </w:r>
      <w:r w:rsidR="00B07638">
        <w:t>:</w:t>
      </w:r>
    </w:p>
    <w:p w14:paraId="25E23D62" w14:textId="099FD3DA" w:rsidR="005F06AB" w:rsidRDefault="005F06AB" w:rsidP="005F06AB">
      <w:pPr>
        <w:pStyle w:val="BodyText"/>
        <w:numPr>
          <w:ilvl w:val="1"/>
          <w:numId w:val="1"/>
        </w:numPr>
      </w:pPr>
      <w:r>
        <w:t xml:space="preserve">I </w:t>
      </w:r>
      <w:r w:rsidR="007754CB">
        <w:t xml:space="preserve">first </w:t>
      </w:r>
      <w:r>
        <w:t>set out the factual background and</w:t>
      </w:r>
      <w:r w:rsidR="006E05D6">
        <w:t xml:space="preserve"> the structure and</w:t>
      </w:r>
      <w:r>
        <w:t xml:space="preserve"> terms of the Disposal</w:t>
      </w:r>
      <w:r w:rsidR="007754CB">
        <w:t>,</w:t>
      </w:r>
      <w:r>
        <w:t xml:space="preserve"> at</w:t>
      </w:r>
      <w:r w:rsidR="007754CB">
        <w:t xml:space="preserve"> [</w:t>
      </w:r>
      <w:r w:rsidR="00FC4A9C">
        <w:fldChar w:fldCharType="begin"/>
      </w:r>
      <w:r w:rsidR="00FC4A9C">
        <w:instrText xml:space="preserve"> REF _Ref118463978 \r \h </w:instrText>
      </w:r>
      <w:r w:rsidR="00FC4A9C">
        <w:fldChar w:fldCharType="separate"/>
      </w:r>
      <w:r w:rsidR="00E762C8">
        <w:t>7</w:t>
      </w:r>
      <w:r w:rsidR="00FC4A9C">
        <w:fldChar w:fldCharType="end"/>
      </w:r>
      <w:r w:rsidR="007754CB">
        <w:t>] to [</w:t>
      </w:r>
      <w:r w:rsidR="007128D6">
        <w:fldChar w:fldCharType="begin"/>
      </w:r>
      <w:r w:rsidR="007128D6">
        <w:instrText xml:space="preserve"> REF _Ref118444103 \r \h </w:instrText>
      </w:r>
      <w:r w:rsidR="007128D6">
        <w:fldChar w:fldCharType="separate"/>
      </w:r>
      <w:r w:rsidR="00E762C8">
        <w:t>59</w:t>
      </w:r>
      <w:r w:rsidR="007128D6">
        <w:fldChar w:fldCharType="end"/>
      </w:r>
      <w:r w:rsidR="007754CB">
        <w:t>].</w:t>
      </w:r>
    </w:p>
    <w:p w14:paraId="30C9887F" w14:textId="27FB9B98" w:rsidR="007754CB" w:rsidRDefault="006E05D6" w:rsidP="006E05D6">
      <w:pPr>
        <w:pStyle w:val="BodyText"/>
        <w:numPr>
          <w:ilvl w:val="1"/>
          <w:numId w:val="1"/>
        </w:numPr>
      </w:pPr>
      <w:r>
        <w:t>I then</w:t>
      </w:r>
      <w:r w:rsidR="004A7809">
        <w:t xml:space="preserve"> comment on the evidence</w:t>
      </w:r>
      <w:r w:rsidR="0097657D">
        <w:t xml:space="preserve"> and witnesses, at [</w:t>
      </w:r>
      <w:r w:rsidR="007128D6">
        <w:fldChar w:fldCharType="begin"/>
      </w:r>
      <w:r w:rsidR="007128D6">
        <w:instrText xml:space="preserve"> REF _Ref118464033 \r \h </w:instrText>
      </w:r>
      <w:r w:rsidR="007128D6">
        <w:fldChar w:fldCharType="separate"/>
      </w:r>
      <w:r w:rsidR="00E762C8">
        <w:t>60</w:t>
      </w:r>
      <w:r w:rsidR="007128D6">
        <w:fldChar w:fldCharType="end"/>
      </w:r>
      <w:r w:rsidR="0097657D">
        <w:t>] to [</w:t>
      </w:r>
      <w:r w:rsidR="00580AE9">
        <w:fldChar w:fldCharType="begin"/>
      </w:r>
      <w:r w:rsidR="00580AE9">
        <w:instrText xml:space="preserve"> REF _Ref118464068 \r \h </w:instrText>
      </w:r>
      <w:r w:rsidR="00580AE9">
        <w:fldChar w:fldCharType="separate"/>
      </w:r>
      <w:r w:rsidR="00E762C8">
        <w:t>91</w:t>
      </w:r>
      <w:r w:rsidR="00580AE9">
        <w:fldChar w:fldCharType="end"/>
      </w:r>
      <w:r w:rsidR="0097657D">
        <w:t>].</w:t>
      </w:r>
    </w:p>
    <w:p w14:paraId="4DB05271" w14:textId="56B26413" w:rsidR="009F1940" w:rsidRDefault="00DA71FA" w:rsidP="006E05D6">
      <w:pPr>
        <w:pStyle w:val="BodyText"/>
        <w:numPr>
          <w:ilvl w:val="1"/>
          <w:numId w:val="1"/>
        </w:numPr>
      </w:pPr>
      <w:r>
        <w:lastRenderedPageBreak/>
        <w:t>There follows summaries of applicable legal principles and the areas of dispute, at [</w:t>
      </w:r>
      <w:r w:rsidR="00580AE9">
        <w:fldChar w:fldCharType="begin"/>
      </w:r>
      <w:r w:rsidR="00580AE9">
        <w:instrText xml:space="preserve"> REF _Ref118464053 \r \h </w:instrText>
      </w:r>
      <w:r w:rsidR="00580AE9">
        <w:fldChar w:fldCharType="separate"/>
      </w:r>
      <w:r w:rsidR="00E762C8">
        <w:t>92</w:t>
      </w:r>
      <w:r w:rsidR="00580AE9">
        <w:fldChar w:fldCharType="end"/>
      </w:r>
      <w:r>
        <w:t>] to [</w:t>
      </w:r>
      <w:r w:rsidR="00E20960">
        <w:fldChar w:fldCharType="begin"/>
      </w:r>
      <w:r w:rsidR="00E20960">
        <w:instrText xml:space="preserve"> REF _Ref118464112 \r \h </w:instrText>
      </w:r>
      <w:r w:rsidR="00E20960">
        <w:fldChar w:fldCharType="separate"/>
      </w:r>
      <w:r w:rsidR="00E762C8">
        <w:t>131</w:t>
      </w:r>
      <w:r w:rsidR="00E20960">
        <w:fldChar w:fldCharType="end"/>
      </w:r>
      <w:r>
        <w:t>].</w:t>
      </w:r>
    </w:p>
    <w:p w14:paraId="55D36FFE" w14:textId="616A4BC3" w:rsidR="00DA71FA" w:rsidRDefault="00BD162B" w:rsidP="006E05D6">
      <w:pPr>
        <w:pStyle w:val="BodyText"/>
        <w:numPr>
          <w:ilvl w:val="1"/>
          <w:numId w:val="1"/>
        </w:numPr>
      </w:pPr>
      <w:r>
        <w:t>I then determine whether Comet was insolvent on 3 February 2012, at [</w:t>
      </w:r>
      <w:r w:rsidR="00E20960">
        <w:fldChar w:fldCharType="begin"/>
      </w:r>
      <w:r w:rsidR="00E20960">
        <w:instrText xml:space="preserve"> REF _Ref118464121 \r \h </w:instrText>
      </w:r>
      <w:r w:rsidR="00E20960">
        <w:fldChar w:fldCharType="separate"/>
      </w:r>
      <w:r w:rsidR="00E762C8">
        <w:t>132</w:t>
      </w:r>
      <w:r w:rsidR="00E20960">
        <w:fldChar w:fldCharType="end"/>
      </w:r>
      <w:r>
        <w:t>] to [</w:t>
      </w:r>
      <w:r w:rsidR="0050494E">
        <w:fldChar w:fldCharType="begin"/>
      </w:r>
      <w:r w:rsidR="0050494E">
        <w:instrText xml:space="preserve"> REF _Ref118464150 \r \h </w:instrText>
      </w:r>
      <w:r w:rsidR="0050494E">
        <w:fldChar w:fldCharType="separate"/>
      </w:r>
      <w:r w:rsidR="00E762C8">
        <w:t>188</w:t>
      </w:r>
      <w:r w:rsidR="0050494E">
        <w:fldChar w:fldCharType="end"/>
      </w:r>
      <w:r>
        <w:t>].</w:t>
      </w:r>
    </w:p>
    <w:p w14:paraId="65A6BE6F" w14:textId="54CF694F" w:rsidR="00BD162B" w:rsidRDefault="0028521A" w:rsidP="00BD162B">
      <w:pPr>
        <w:pStyle w:val="BodyText"/>
        <w:numPr>
          <w:ilvl w:val="1"/>
          <w:numId w:val="1"/>
        </w:numPr>
      </w:pPr>
      <w:r>
        <w:t>At [</w:t>
      </w:r>
      <w:r w:rsidR="0050494E">
        <w:fldChar w:fldCharType="begin"/>
      </w:r>
      <w:r w:rsidR="0050494E">
        <w:instrText xml:space="preserve"> REF _Ref118464159 \r \h </w:instrText>
      </w:r>
      <w:r w:rsidR="0050494E">
        <w:fldChar w:fldCharType="separate"/>
      </w:r>
      <w:r w:rsidR="00E762C8">
        <w:t>189</w:t>
      </w:r>
      <w:r w:rsidR="0050494E">
        <w:fldChar w:fldCharType="end"/>
      </w:r>
      <w:r>
        <w:t>] to [</w:t>
      </w:r>
      <w:r w:rsidR="00E35999">
        <w:fldChar w:fldCharType="begin"/>
      </w:r>
      <w:r w:rsidR="00E35999">
        <w:instrText xml:space="preserve"> REF _Ref118458085 \r \h </w:instrText>
      </w:r>
      <w:r w:rsidR="00E35999">
        <w:fldChar w:fldCharType="separate"/>
      </w:r>
      <w:r w:rsidR="00E762C8">
        <w:t>200</w:t>
      </w:r>
      <w:r w:rsidR="00E35999">
        <w:fldChar w:fldCharType="end"/>
      </w:r>
      <w:r>
        <w:t>] I consider whether there was a preference in fact, and its extent.</w:t>
      </w:r>
    </w:p>
    <w:p w14:paraId="76CCFEB9" w14:textId="3E8CDC88" w:rsidR="0028521A" w:rsidRDefault="0028521A" w:rsidP="00BD162B">
      <w:pPr>
        <w:pStyle w:val="BodyText"/>
        <w:numPr>
          <w:ilvl w:val="1"/>
          <w:numId w:val="1"/>
        </w:numPr>
      </w:pPr>
      <w:r>
        <w:t>The issue of desire to prefer is considered at [</w:t>
      </w:r>
      <w:r w:rsidR="00E35999">
        <w:fldChar w:fldCharType="begin"/>
      </w:r>
      <w:r w:rsidR="00E35999">
        <w:instrText xml:space="preserve"> REF _Ref118464194 \r \h </w:instrText>
      </w:r>
      <w:r w:rsidR="00E35999">
        <w:fldChar w:fldCharType="separate"/>
      </w:r>
      <w:r w:rsidR="00E762C8">
        <w:t>201</w:t>
      </w:r>
      <w:r w:rsidR="00E35999">
        <w:fldChar w:fldCharType="end"/>
      </w:r>
      <w:r>
        <w:t>] to [</w:t>
      </w:r>
      <w:r w:rsidR="00901057">
        <w:fldChar w:fldCharType="begin"/>
      </w:r>
      <w:r w:rsidR="00901057">
        <w:instrText xml:space="preserve"> REF _Ref118464232 \r \h </w:instrText>
      </w:r>
      <w:r w:rsidR="00901057">
        <w:fldChar w:fldCharType="separate"/>
      </w:r>
      <w:r w:rsidR="00E762C8">
        <w:t>274</w:t>
      </w:r>
      <w:r w:rsidR="00901057">
        <w:fldChar w:fldCharType="end"/>
      </w:r>
      <w:r>
        <w:t>].</w:t>
      </w:r>
    </w:p>
    <w:p w14:paraId="50DDA670" w14:textId="4DD41A4E" w:rsidR="0028521A" w:rsidRPr="0071626D" w:rsidRDefault="004411C0" w:rsidP="00BD162B">
      <w:pPr>
        <w:pStyle w:val="BodyText"/>
        <w:numPr>
          <w:ilvl w:val="1"/>
          <w:numId w:val="1"/>
        </w:numPr>
      </w:pPr>
      <w:r>
        <w:t>Finally, the question of remedy is considered at [</w:t>
      </w:r>
      <w:r w:rsidR="00901057">
        <w:fldChar w:fldCharType="begin"/>
      </w:r>
      <w:r w:rsidR="00901057">
        <w:instrText xml:space="preserve"> REF _Ref118464241 \r \h </w:instrText>
      </w:r>
      <w:r w:rsidR="00901057">
        <w:fldChar w:fldCharType="separate"/>
      </w:r>
      <w:r w:rsidR="00E762C8">
        <w:t>275</w:t>
      </w:r>
      <w:r w:rsidR="00901057">
        <w:fldChar w:fldCharType="end"/>
      </w:r>
      <w:r>
        <w:t>] to [</w:t>
      </w:r>
      <w:r w:rsidR="00901057">
        <w:fldChar w:fldCharType="begin"/>
      </w:r>
      <w:r w:rsidR="00901057">
        <w:instrText xml:space="preserve"> REF _Ref118464252 \r \h </w:instrText>
      </w:r>
      <w:r w:rsidR="00901057">
        <w:fldChar w:fldCharType="separate"/>
      </w:r>
      <w:r w:rsidR="00E762C8">
        <w:t>293</w:t>
      </w:r>
      <w:r w:rsidR="00901057">
        <w:fldChar w:fldCharType="end"/>
      </w:r>
      <w:r>
        <w:t>].</w:t>
      </w:r>
    </w:p>
    <w:p w14:paraId="3C4DCBB4" w14:textId="6CA68BB9" w:rsidR="00720534" w:rsidRDefault="00E81B1A" w:rsidP="00E81B1A">
      <w:pPr>
        <w:pStyle w:val="Heading1"/>
        <w:spacing w:before="480"/>
      </w:pPr>
      <w:r>
        <w:t xml:space="preserve">The factual background and </w:t>
      </w:r>
      <w:r w:rsidR="00F67073">
        <w:t>Disposal</w:t>
      </w:r>
      <w:r>
        <w:t xml:space="preserve"> terms</w:t>
      </w:r>
    </w:p>
    <w:p w14:paraId="152B6B52" w14:textId="672C2BAE" w:rsidR="00E81B1A" w:rsidRDefault="00065CC7" w:rsidP="00065CC7">
      <w:pPr>
        <w:pStyle w:val="Heading2"/>
      </w:pPr>
      <w:r>
        <w:t>Kesa</w:t>
      </w:r>
      <w:r w:rsidR="00CA4D14">
        <w:t>,</w:t>
      </w:r>
      <w:r>
        <w:t xml:space="preserve"> Comet</w:t>
      </w:r>
      <w:r w:rsidR="00CA4D14">
        <w:t xml:space="preserve"> and the decision to sell</w:t>
      </w:r>
    </w:p>
    <w:p w14:paraId="6939E79C" w14:textId="7D8889CD" w:rsidR="00065CC7" w:rsidRDefault="00126674" w:rsidP="00065CC7">
      <w:pPr>
        <w:pStyle w:val="BodyText"/>
      </w:pPr>
      <w:bookmarkStart w:id="0" w:name="_Ref118463978"/>
      <w:r>
        <w:t xml:space="preserve">Comet </w:t>
      </w:r>
      <w:r w:rsidR="00825086">
        <w:t>was</w:t>
      </w:r>
      <w:r>
        <w:t xml:space="preserve"> founded in 1933. By 2011 it had 249 stores</w:t>
      </w:r>
      <w:r w:rsidR="00D271BA">
        <w:t xml:space="preserve"> and was </w:t>
      </w:r>
      <w:r w:rsidR="00865CE3">
        <w:t>on</w:t>
      </w:r>
      <w:r w:rsidR="003818E3">
        <w:t>e</w:t>
      </w:r>
      <w:r w:rsidR="00865CE3">
        <w:t xml:space="preserve"> of</w:t>
      </w:r>
      <w:r w:rsidR="003818E3">
        <w:t xml:space="preserve"> the</w:t>
      </w:r>
      <w:r w:rsidR="00D271BA">
        <w:t xml:space="preserve"> UK’s largest electrical retailer</w:t>
      </w:r>
      <w:r w:rsidR="00865CE3">
        <w:t>s</w:t>
      </w:r>
      <w:r w:rsidR="009967E8">
        <w:t>. It was part of the Kesa group</w:t>
      </w:r>
      <w:r w:rsidR="006E4A96">
        <w:t xml:space="preserve">. Kesa had been formed following a </w:t>
      </w:r>
      <w:r w:rsidR="001416BB">
        <w:t>demerger</w:t>
      </w:r>
      <w:r w:rsidR="006E4A96">
        <w:t xml:space="preserve"> </w:t>
      </w:r>
      <w:r w:rsidR="009B513D">
        <w:t xml:space="preserve">from Kingfisher plc in June 2003. KEP’s shares were listed on the London Stock </w:t>
      </w:r>
      <w:r w:rsidR="004F73E1">
        <w:t xml:space="preserve">Exchange, with a secondary listing in Paris. The bulk of </w:t>
      </w:r>
      <w:r w:rsidR="00825086">
        <w:t>Kesa</w:t>
      </w:r>
      <w:r w:rsidR="00350B02">
        <w:t>’s</w:t>
      </w:r>
      <w:r w:rsidR="004F73E1">
        <w:t xml:space="preserve"> profits were generated </w:t>
      </w:r>
      <w:r w:rsidR="0019037E">
        <w:t xml:space="preserve">from businesses in </w:t>
      </w:r>
      <w:r w:rsidR="00B74A44">
        <w:t>contin</w:t>
      </w:r>
      <w:r w:rsidR="00727FBE">
        <w:t>ental Europe</w:t>
      </w:r>
      <w:r w:rsidR="0019037E">
        <w:t xml:space="preserve">, </w:t>
      </w:r>
      <w:r w:rsidR="0019037E" w:rsidRPr="00727FBE">
        <w:t>in particular</w:t>
      </w:r>
      <w:r w:rsidR="00727FBE">
        <w:t xml:space="preserve"> the French electrical retailer</w:t>
      </w:r>
      <w:r w:rsidR="0019037E" w:rsidRPr="00727FBE">
        <w:t xml:space="preserve"> Darty</w:t>
      </w:r>
      <w:r w:rsidR="0019037E">
        <w:t>.</w:t>
      </w:r>
      <w:bookmarkEnd w:id="0"/>
    </w:p>
    <w:p w14:paraId="060D8F72" w14:textId="77777777" w:rsidR="003C7136" w:rsidRDefault="00F1693B" w:rsidP="004A135C">
      <w:pPr>
        <w:pStyle w:val="BodyText"/>
      </w:pPr>
      <w:r>
        <w:t>At material times</w:t>
      </w:r>
      <w:r w:rsidR="0005752E">
        <w:t xml:space="preserve"> prior to </w:t>
      </w:r>
      <w:r w:rsidR="00CE3AAD">
        <w:t>the Disposal</w:t>
      </w:r>
      <w:r>
        <w:t xml:space="preserve">, the relevant corporate structure was as follows. </w:t>
      </w:r>
      <w:r w:rsidR="006514FD">
        <w:t>Comet was owned by KEP through an intermediate holding company, Kesa Holdings Limited (“KHL”)</w:t>
      </w:r>
      <w:r w:rsidR="006A096A">
        <w:t>.</w:t>
      </w:r>
      <w:r w:rsidR="003C7136">
        <w:t xml:space="preserve"> </w:t>
      </w:r>
      <w:r w:rsidR="006A096A">
        <w:t xml:space="preserve">KHL </w:t>
      </w:r>
      <w:r w:rsidR="00A85F49">
        <w:t>additionally</w:t>
      </w:r>
      <w:r w:rsidR="006A096A">
        <w:t xml:space="preserve"> owned </w:t>
      </w:r>
      <w:r w:rsidR="00613C36">
        <w:t>Triptych Insurance NV</w:t>
      </w:r>
      <w:r w:rsidR="007D0819">
        <w:t xml:space="preserve"> (“Triptych”)</w:t>
      </w:r>
      <w:r w:rsidR="00E75CB7">
        <w:t xml:space="preserve">, </w:t>
      </w:r>
      <w:r w:rsidR="007E19B1">
        <w:t>a</w:t>
      </w:r>
      <w:r w:rsidR="00E75CB7">
        <w:t xml:space="preserve"> </w:t>
      </w:r>
      <w:r w:rsidR="00C25638">
        <w:t>Curaca</w:t>
      </w:r>
      <w:r w:rsidR="0024734C">
        <w:t>o</w:t>
      </w:r>
      <w:r w:rsidR="00E75CB7">
        <w:t xml:space="preserve"> incorporated b</w:t>
      </w:r>
      <w:r w:rsidR="007E19B1">
        <w:t>ut UK tax resident captive insurer</w:t>
      </w:r>
      <w:r w:rsidR="007D0819">
        <w:t>.</w:t>
      </w:r>
      <w:r w:rsidR="007D0819" w:rsidRPr="007D0819">
        <w:t xml:space="preserve"> Triptych</w:t>
      </w:r>
      <w:r w:rsidR="007D0819">
        <w:t xml:space="preserve"> provide</w:t>
      </w:r>
      <w:r w:rsidR="009F61CA">
        <w:t>d</w:t>
      </w:r>
      <w:r w:rsidR="007D0819">
        <w:t xml:space="preserve"> </w:t>
      </w:r>
      <w:r w:rsidR="009F61CA">
        <w:t>extended warranties to Comet customers.</w:t>
      </w:r>
      <w:r w:rsidR="009040A1">
        <w:t xml:space="preserve"> </w:t>
      </w:r>
    </w:p>
    <w:p w14:paraId="206B0679" w14:textId="4A18556A" w:rsidR="00554725" w:rsidRDefault="003C7136" w:rsidP="003A014B">
      <w:pPr>
        <w:pStyle w:val="BodyText"/>
      </w:pPr>
      <w:bookmarkStart w:id="1" w:name="_Ref118126006"/>
      <w:r>
        <w:t xml:space="preserve">Comet’s Board comprised Thierry </w:t>
      </w:r>
      <w:r w:rsidR="001F0730" w:rsidRPr="003C7136">
        <w:t>Falqu</w:t>
      </w:r>
      <w:r w:rsidR="001F0730">
        <w:t>e-</w:t>
      </w:r>
      <w:r>
        <w:t>Pierroti</w:t>
      </w:r>
      <w:r w:rsidR="00C24495">
        <w:t>n</w:t>
      </w:r>
      <w:r>
        <w:t>, Dominic Plat</w:t>
      </w:r>
      <w:r w:rsidR="00C24495">
        <w:t>t</w:t>
      </w:r>
      <w:r>
        <w:t xml:space="preserve">, Simon Enoch, Patrick Terrier and Robert Darke. Mr </w:t>
      </w:r>
      <w:r w:rsidRPr="003C7136">
        <w:t xml:space="preserve">Falque-Pierrotin </w:t>
      </w:r>
      <w:r>
        <w:t xml:space="preserve">was </w:t>
      </w:r>
      <w:r w:rsidRPr="003C7136">
        <w:t>Kesa’s CEO</w:t>
      </w:r>
      <w:r>
        <w:t xml:space="preserve">. </w:t>
      </w:r>
      <w:r w:rsidR="00C54859">
        <w:t>Mr Platt was Kesa’s CFO</w:t>
      </w:r>
      <w:r w:rsidR="00AF71A0">
        <w:t>.</w:t>
      </w:r>
      <w:r w:rsidRPr="003C7136">
        <w:t xml:space="preserve"> </w:t>
      </w:r>
      <w:r w:rsidR="00AF71A0">
        <w:t xml:space="preserve">Mr Enoch was </w:t>
      </w:r>
      <w:r w:rsidR="008C023C">
        <w:t xml:space="preserve">Kesa’s General Counsel and </w:t>
      </w:r>
      <w:r w:rsidR="007C2735">
        <w:t>the</w:t>
      </w:r>
      <w:r w:rsidR="008C023C">
        <w:t xml:space="preserve"> company secret</w:t>
      </w:r>
      <w:r w:rsidR="005D0563">
        <w:t>ary</w:t>
      </w:r>
      <w:r w:rsidR="007C2735">
        <w:t xml:space="preserve"> of each of KEP, KHL and KIL</w:t>
      </w:r>
      <w:r w:rsidR="005D0563">
        <w:t xml:space="preserve">. Mr Terrier was </w:t>
      </w:r>
      <w:r w:rsidR="0044705B" w:rsidRPr="00097FF7">
        <w:t xml:space="preserve">an </w:t>
      </w:r>
      <w:r w:rsidR="00097FF7" w:rsidRPr="00097FF7">
        <w:t xml:space="preserve">employee of </w:t>
      </w:r>
      <w:r w:rsidR="005D0563" w:rsidRPr="00097FF7">
        <w:t>Kesa</w:t>
      </w:r>
      <w:r w:rsidR="00097FF7">
        <w:t>’s French business</w:t>
      </w:r>
      <w:r w:rsidR="005D0563">
        <w:t>. Mr Darke</w:t>
      </w:r>
      <w:r w:rsidR="00040C57">
        <w:t xml:space="preserve"> had </w:t>
      </w:r>
      <w:r w:rsidR="002C2E13">
        <w:t xml:space="preserve">joined Comet in 2000 and became its CEO </w:t>
      </w:r>
      <w:r w:rsidR="00C47E03">
        <w:t xml:space="preserve">in May 2011. </w:t>
      </w:r>
      <w:r>
        <w:t xml:space="preserve">Comet’s own Head of Finance, Michael Walters, was not a </w:t>
      </w:r>
      <w:r w:rsidR="00C24495">
        <w:t xml:space="preserve">Comet </w:t>
      </w:r>
      <w:r>
        <w:t>Board member.</w:t>
      </w:r>
      <w:r w:rsidR="0089234C" w:rsidRPr="0089234C">
        <w:t xml:space="preserve"> </w:t>
      </w:r>
      <w:r w:rsidR="0089234C">
        <w:t>Mr Darke was therefore the only member of the Comet Board</w:t>
      </w:r>
      <w:r w:rsidR="00B0346D">
        <w:t xml:space="preserve"> whose executive role was confined to Comet rather than the wider Kesa group.</w:t>
      </w:r>
      <w:bookmarkEnd w:id="1"/>
    </w:p>
    <w:p w14:paraId="52CC977C" w14:textId="5E276ECF" w:rsidR="00671FCE" w:rsidRDefault="00AF209A" w:rsidP="006E16F9">
      <w:pPr>
        <w:pStyle w:val="BodyText"/>
      </w:pPr>
      <w:r>
        <w:t>KIL</w:t>
      </w:r>
      <w:r w:rsidR="00554725">
        <w:t xml:space="preserve"> was Kesa’s group treasury company.</w:t>
      </w:r>
      <w:r w:rsidR="002431DF">
        <w:t xml:space="preserve"> It was an indirect subsidiary of KHL. </w:t>
      </w:r>
      <w:r w:rsidR="00475C96">
        <w:t>Comet was financed</w:t>
      </w:r>
      <w:r w:rsidR="00A85DA6">
        <w:t xml:space="preserve"> </w:t>
      </w:r>
      <w:r w:rsidR="00475C96">
        <w:t>through</w:t>
      </w:r>
      <w:r w:rsidR="008B4C91">
        <w:t xml:space="preserve"> the provision by KIL of</w:t>
      </w:r>
      <w:r w:rsidR="00475C96">
        <w:t xml:space="preserve"> a £300m revolving capital facility</w:t>
      </w:r>
      <w:r w:rsidR="008B4C91">
        <w:t>, which had been</w:t>
      </w:r>
      <w:r w:rsidR="00A85F49">
        <w:t xml:space="preserve"> </w:t>
      </w:r>
      <w:r w:rsidR="00177B7F">
        <w:t>entered into</w:t>
      </w:r>
      <w:r w:rsidR="00764E87">
        <w:t xml:space="preserve"> at</w:t>
      </w:r>
      <w:r w:rsidR="00177B7F">
        <w:t xml:space="preserve"> around the time of the demer</w:t>
      </w:r>
      <w:r w:rsidR="00C6137E">
        <w:t>ger from Kingfisher</w:t>
      </w:r>
      <w:r w:rsidR="005F16AD">
        <w:t xml:space="preserve"> (the “KIL RCF”)</w:t>
      </w:r>
      <w:r w:rsidR="00704C69">
        <w:t xml:space="preserve">. </w:t>
      </w:r>
      <w:r w:rsidR="007C7F49">
        <w:t xml:space="preserve">The interest rate on the </w:t>
      </w:r>
      <w:r w:rsidR="005F16AD">
        <w:t>KIL RCF</w:t>
      </w:r>
      <w:r w:rsidR="007C7F49">
        <w:t xml:space="preserve"> was </w:t>
      </w:r>
      <w:r w:rsidR="00903D0E">
        <w:t xml:space="preserve">equal to KIL’s costs of funds plus 1.27%. </w:t>
      </w:r>
      <w:r w:rsidR="00704C69">
        <w:t xml:space="preserve">Conversely, </w:t>
      </w:r>
      <w:r w:rsidR="00596BA3">
        <w:t xml:space="preserve">at a similar time </w:t>
      </w:r>
      <w:r w:rsidR="00704C69">
        <w:t xml:space="preserve">the cash-rich Triptych </w:t>
      </w:r>
      <w:r w:rsidR="006C3599">
        <w:t xml:space="preserve">had </w:t>
      </w:r>
      <w:r w:rsidR="00480F57">
        <w:t xml:space="preserve">entered into </w:t>
      </w:r>
      <w:r w:rsidR="00596BA3">
        <w:t>an intra-group loan facility with KIL</w:t>
      </w:r>
      <w:r w:rsidR="00075D80">
        <w:t>, agreeing to lend it up to £70m.</w:t>
      </w:r>
      <w:r w:rsidR="002F2A00">
        <w:t xml:space="preserve"> Both</w:t>
      </w:r>
      <w:r w:rsidR="00764E87">
        <w:t xml:space="preserve"> loans</w:t>
      </w:r>
      <w:r w:rsidR="002F2A00">
        <w:t xml:space="preserve"> were repayable on demand.</w:t>
      </w:r>
    </w:p>
    <w:p w14:paraId="4421A807" w14:textId="624BEB48" w:rsidR="00E03FFB" w:rsidRDefault="00DC5AEF" w:rsidP="00065CC7">
      <w:pPr>
        <w:pStyle w:val="BodyText"/>
      </w:pPr>
      <w:r>
        <w:t>Comet started to run into difficulties, with increased competition</w:t>
      </w:r>
      <w:r w:rsidR="00C928FC">
        <w:t xml:space="preserve"> and declining footfall. It made a </w:t>
      </w:r>
      <w:r w:rsidR="00A024AA">
        <w:t>£3.8m loss on ordinary activities in the year to April 2010</w:t>
      </w:r>
      <w:r w:rsidR="00596A35">
        <w:t xml:space="preserve"> (FY2010)</w:t>
      </w:r>
      <w:r w:rsidR="00A024AA">
        <w:t xml:space="preserve">, rising to £31.8m </w:t>
      </w:r>
      <w:r w:rsidR="00350B02">
        <w:t>in the year to April 2011</w:t>
      </w:r>
      <w:r w:rsidR="00596A35">
        <w:t xml:space="preserve"> (FY2011)</w:t>
      </w:r>
      <w:r w:rsidR="00350B02">
        <w:t>. (</w:t>
      </w:r>
      <w:r w:rsidR="007448E7">
        <w:t>In the rest of this judgment I</w:t>
      </w:r>
      <w:r w:rsidR="00350B02">
        <w:t xml:space="preserve"> will refer to fin</w:t>
      </w:r>
      <w:r w:rsidR="00957CEC">
        <w:t xml:space="preserve">ancial </w:t>
      </w:r>
      <w:r w:rsidR="00E6160E">
        <w:t>years</w:t>
      </w:r>
      <w:r w:rsidR="00957CEC">
        <w:t xml:space="preserve"> in </w:t>
      </w:r>
      <w:r w:rsidR="00596A35">
        <w:t>the manner just shown</w:t>
      </w:r>
      <w:r w:rsidR="00957CEC">
        <w:t>, meaning the financial year end</w:t>
      </w:r>
      <w:r w:rsidR="000667E5">
        <w:t>ed</w:t>
      </w:r>
      <w:r w:rsidR="00957CEC">
        <w:t xml:space="preserve"> in the April of the year stated</w:t>
      </w:r>
      <w:r w:rsidR="00E6160E">
        <w:t>.)</w:t>
      </w:r>
      <w:r w:rsidR="00562F71">
        <w:t xml:space="preserve"> Although </w:t>
      </w:r>
      <w:r w:rsidR="00D2307D">
        <w:t>a turnaround plan was devised</w:t>
      </w:r>
      <w:r w:rsidR="00652522">
        <w:t xml:space="preserve"> with a view </w:t>
      </w:r>
      <w:r w:rsidR="00414A24">
        <w:t xml:space="preserve">to streamlining the product range and improving productivity </w:t>
      </w:r>
      <w:r w:rsidR="00E03FFB">
        <w:t>and</w:t>
      </w:r>
      <w:r w:rsidR="00414A24">
        <w:t xml:space="preserve"> </w:t>
      </w:r>
      <w:r w:rsidR="00E03FFB">
        <w:t>efficiency</w:t>
      </w:r>
      <w:r w:rsidR="00D2307D">
        <w:t xml:space="preserve">, a concern </w:t>
      </w:r>
      <w:r w:rsidR="00514158">
        <w:t xml:space="preserve">developed </w:t>
      </w:r>
      <w:r w:rsidR="00D2307D">
        <w:t xml:space="preserve">that </w:t>
      </w:r>
      <w:r w:rsidR="00787B3B">
        <w:t>Comet was becoming a “drag” on KEP’s</w:t>
      </w:r>
      <w:r w:rsidR="007E350B">
        <w:t xml:space="preserve"> earnings and</w:t>
      </w:r>
      <w:r w:rsidR="00787B3B">
        <w:t xml:space="preserve"> share price</w:t>
      </w:r>
      <w:r w:rsidR="00514158">
        <w:t xml:space="preserve">, and an activist </w:t>
      </w:r>
      <w:r w:rsidR="00062EDB">
        <w:t>shareholder</w:t>
      </w:r>
      <w:r w:rsidR="00331DD3">
        <w:t xml:space="preserve"> (Knight Vinke Asset Management)</w:t>
      </w:r>
      <w:r w:rsidR="00062EDB">
        <w:t xml:space="preserve"> started agitating for Comet to be demerged.</w:t>
      </w:r>
      <w:r w:rsidR="0069222E">
        <w:t xml:space="preserve"> </w:t>
      </w:r>
    </w:p>
    <w:p w14:paraId="24CC0B2B" w14:textId="2B9FC1D1" w:rsidR="00252094" w:rsidRDefault="00252094" w:rsidP="00065CC7">
      <w:pPr>
        <w:pStyle w:val="BodyText"/>
      </w:pPr>
      <w:r>
        <w:t>OpCapita first expressed interest in</w:t>
      </w:r>
      <w:r w:rsidR="00564F0E">
        <w:t xml:space="preserve"> purchasing</w:t>
      </w:r>
      <w:r>
        <w:t xml:space="preserve"> </w:t>
      </w:r>
      <w:r w:rsidR="00A95DA1">
        <w:t xml:space="preserve">Comet </w:t>
      </w:r>
      <w:r w:rsidR="00F84311">
        <w:t xml:space="preserve">in </w:t>
      </w:r>
      <w:r w:rsidR="00A95DA1">
        <w:t>around April 2011</w:t>
      </w:r>
      <w:r w:rsidR="007902B7">
        <w:t xml:space="preserve">, when </w:t>
      </w:r>
      <w:r w:rsidR="00A60D99">
        <w:t>Henry Jackson</w:t>
      </w:r>
      <w:r w:rsidR="00D7393B">
        <w:t xml:space="preserve">, its managing partner, </w:t>
      </w:r>
      <w:r w:rsidR="00564F0E">
        <w:t>contacted</w:t>
      </w:r>
      <w:r w:rsidR="00D7393B">
        <w:t xml:space="preserve"> Mr Enoch.</w:t>
      </w:r>
      <w:r w:rsidR="00564F0E">
        <w:t xml:space="preserve"> </w:t>
      </w:r>
      <w:r w:rsidR="00120745">
        <w:t>OpCapita was known to Kesa from a p</w:t>
      </w:r>
      <w:r w:rsidR="00E91ED4">
        <w:t xml:space="preserve">revious </w:t>
      </w:r>
      <w:r w:rsidR="002077D7">
        <w:t>transaction</w:t>
      </w:r>
      <w:r w:rsidR="00E91ED4">
        <w:t xml:space="preserve"> when it had acquired the French </w:t>
      </w:r>
      <w:r w:rsidR="002077D7">
        <w:t>furniture</w:t>
      </w:r>
      <w:r w:rsidR="00E91ED4">
        <w:t xml:space="preserve"> retailer BUT from Kesa</w:t>
      </w:r>
      <w:r w:rsidR="0063518A">
        <w:t xml:space="preserve"> and </w:t>
      </w:r>
      <w:r w:rsidR="003C0627">
        <w:t>subsequently</w:t>
      </w:r>
      <w:r w:rsidR="0063518A">
        <w:t xml:space="preserve"> sold it at a profit</w:t>
      </w:r>
      <w:r w:rsidR="002077D7">
        <w:t xml:space="preserve">. </w:t>
      </w:r>
      <w:r w:rsidR="00564F0E">
        <w:t>A formal expre</w:t>
      </w:r>
      <w:r w:rsidR="00670202">
        <w:t>ssion of interest was sent on 15 April 2011</w:t>
      </w:r>
      <w:r w:rsidR="00B0612A">
        <w:t>, in which OpCapita stressed its “experience in operati</w:t>
      </w:r>
      <w:r w:rsidR="003C601B">
        <w:t>onally driven turnarounds”</w:t>
      </w:r>
      <w:r w:rsidR="00670202">
        <w:t>.</w:t>
      </w:r>
    </w:p>
    <w:p w14:paraId="55F7537B" w14:textId="770EF86A" w:rsidR="00EE126E" w:rsidRDefault="0069222E" w:rsidP="00065CC7">
      <w:pPr>
        <w:pStyle w:val="BodyText"/>
      </w:pPr>
      <w:r>
        <w:t xml:space="preserve">After initially taking strategic advice from Lazard, </w:t>
      </w:r>
      <w:r w:rsidR="00AC4FF5">
        <w:t>Kesa then turned to Bank of America Merrill Lynch</w:t>
      </w:r>
      <w:r w:rsidR="00753AFE">
        <w:t xml:space="preserve"> (“BAML”)</w:t>
      </w:r>
      <w:r w:rsidR="00747A77">
        <w:t>, who b</w:t>
      </w:r>
      <w:r w:rsidR="00C218F6">
        <w:t>y</w:t>
      </w:r>
      <w:r w:rsidR="00747A77">
        <w:t xml:space="preserve"> June 2011 were recommending </w:t>
      </w:r>
      <w:r w:rsidR="00C218F6">
        <w:t>a sale as the best option.</w:t>
      </w:r>
      <w:r w:rsidR="0012193A">
        <w:t xml:space="preserve"> </w:t>
      </w:r>
      <w:r w:rsidR="00D5206C">
        <w:t xml:space="preserve">Kesa announced on </w:t>
      </w:r>
      <w:r w:rsidR="0070250D">
        <w:t>22 June 2011</w:t>
      </w:r>
      <w:r w:rsidR="004346F5">
        <w:t xml:space="preserve"> </w:t>
      </w:r>
      <w:r w:rsidR="00D5206C">
        <w:t xml:space="preserve">that it was examining strategic </w:t>
      </w:r>
      <w:r w:rsidR="004346F5">
        <w:t>alternatives</w:t>
      </w:r>
      <w:r w:rsidR="00D5206C">
        <w:t xml:space="preserve"> for Comet</w:t>
      </w:r>
      <w:r w:rsidR="004346F5">
        <w:t>. Shortly thereafter</w:t>
      </w:r>
      <w:r w:rsidR="00D5206C">
        <w:t xml:space="preserve"> </w:t>
      </w:r>
      <w:r w:rsidR="004346F5">
        <w:t>a</w:t>
      </w:r>
      <w:r w:rsidR="0012193A">
        <w:t xml:space="preserve">n information memorandum was </w:t>
      </w:r>
      <w:r w:rsidR="005A1A9C">
        <w:t>issued to interested parties, with first round offers</w:t>
      </w:r>
      <w:r w:rsidR="00CD59BF">
        <w:t xml:space="preserve"> </w:t>
      </w:r>
      <w:r w:rsidR="004346F5">
        <w:t xml:space="preserve">being invited </w:t>
      </w:r>
      <w:r w:rsidR="00CD59BF">
        <w:t>for Comet and Triptych</w:t>
      </w:r>
      <w:r w:rsidR="006C4E35">
        <w:t xml:space="preserve"> </w:t>
      </w:r>
      <w:r w:rsidR="005A1A9C">
        <w:t>by 20 July</w:t>
      </w:r>
      <w:r w:rsidR="00CD59BF">
        <w:t xml:space="preserve"> 2011</w:t>
      </w:r>
      <w:r w:rsidR="004346F5">
        <w:t>,</w:t>
      </w:r>
      <w:r w:rsidR="004346F5" w:rsidRPr="004346F5">
        <w:t xml:space="preserve"> </w:t>
      </w:r>
      <w:r w:rsidR="004346F5">
        <w:t>on a “</w:t>
      </w:r>
      <w:r w:rsidR="004346F5" w:rsidRPr="009079F4">
        <w:t>debt-free cash-free</w:t>
      </w:r>
      <w:r w:rsidR="004346F5">
        <w:t xml:space="preserve"> basis”</w:t>
      </w:r>
      <w:r w:rsidR="00CD59BF">
        <w:t xml:space="preserve">. </w:t>
      </w:r>
      <w:r w:rsidR="00FC5170">
        <w:t>I pause here to note that all this means is that pricing should be on a basis that ignores existing debt and/or cash in the business: the idea is to obtain</w:t>
      </w:r>
      <w:r w:rsidR="009079F4">
        <w:t xml:space="preserve"> an “enterprise value” for the business. It says nothing about what the </w:t>
      </w:r>
      <w:r w:rsidR="004B54ED">
        <w:t>financial structure will actually be.</w:t>
      </w:r>
    </w:p>
    <w:p w14:paraId="355C0BEF" w14:textId="22DB9473" w:rsidR="00157E87" w:rsidRDefault="00157E87" w:rsidP="00065CC7">
      <w:pPr>
        <w:pStyle w:val="BodyText"/>
      </w:pPr>
      <w:bookmarkStart w:id="2" w:name="_Ref118450502"/>
      <w:r>
        <w:t>Also during this period</w:t>
      </w:r>
      <w:r w:rsidR="00D24DA7">
        <w:t>, steps</w:t>
      </w:r>
      <w:r w:rsidR="008729E8">
        <w:t xml:space="preserve"> were taken</w:t>
      </w:r>
      <w:r w:rsidR="00D24DA7">
        <w:t xml:space="preserve"> to provide assurances to </w:t>
      </w:r>
      <w:r w:rsidR="007B43A5" w:rsidRPr="007B43A5">
        <w:t>Comet Trustee Company Limited (“CTCL”)</w:t>
      </w:r>
      <w:r w:rsidR="007B43A5">
        <w:t xml:space="preserve">, </w:t>
      </w:r>
      <w:r w:rsidR="007B43A5" w:rsidRPr="007B43A5">
        <w:t>the trustee</w:t>
      </w:r>
      <w:r w:rsidR="007B43A5">
        <w:t xml:space="preserve"> of</w:t>
      </w:r>
      <w:r w:rsidR="00634AF9" w:rsidRPr="00634AF9">
        <w:t xml:space="preserve"> Comet’s defined benefit pension scheme (the “</w:t>
      </w:r>
      <w:r w:rsidR="000A5071">
        <w:t xml:space="preserve">DB </w:t>
      </w:r>
      <w:r w:rsidR="00634AF9" w:rsidRPr="00634AF9">
        <w:t>Scheme”)</w:t>
      </w:r>
      <w:r w:rsidR="008629A6">
        <w:t xml:space="preserve">. </w:t>
      </w:r>
      <w:r w:rsidR="00755248">
        <w:t xml:space="preserve">As at 31 March 2010 the DB Scheme had an estimated deficit of around £307m. </w:t>
      </w:r>
      <w:r w:rsidR="008629A6">
        <w:t>In early 2011 a recovery plan had been agreed to add</w:t>
      </w:r>
      <w:r w:rsidR="008729E8">
        <w:t>ress the deficit,</w:t>
      </w:r>
      <w:r w:rsidR="007B43A5">
        <w:t xml:space="preserve"> </w:t>
      </w:r>
      <w:r w:rsidR="00452A58">
        <w:t>under which Comet</w:t>
      </w:r>
      <w:r w:rsidR="00F47A44">
        <w:t xml:space="preserve"> had</w:t>
      </w:r>
      <w:r w:rsidR="00452A58">
        <w:t xml:space="preserve"> agreed to contribute £6.1m per annum</w:t>
      </w:r>
      <w:r w:rsidR="00580F66">
        <w:t xml:space="preserve">. In </w:t>
      </w:r>
      <w:r w:rsidR="006C17FD">
        <w:t>June</w:t>
      </w:r>
      <w:r w:rsidR="00580F66">
        <w:t xml:space="preserve"> 2011 </w:t>
      </w:r>
      <w:r w:rsidR="00202AAC">
        <w:t xml:space="preserve">KEP </w:t>
      </w:r>
      <w:r w:rsidR="00A31E5E">
        <w:t>entered into a formal</w:t>
      </w:r>
      <w:r w:rsidR="007C25AD">
        <w:t xml:space="preserve"> deed of support </w:t>
      </w:r>
      <w:r w:rsidR="00A31E5E">
        <w:t>in favour of CTCL</w:t>
      </w:r>
      <w:r w:rsidR="00B1223D">
        <w:t>, replacing an earlier letter of support</w:t>
      </w:r>
      <w:r w:rsidR="00B9377E">
        <w:t>. The deed</w:t>
      </w:r>
      <w:r w:rsidR="00457B18">
        <w:t xml:space="preserve"> </w:t>
      </w:r>
      <w:r w:rsidR="00C012BD">
        <w:t>effectively guarantee</w:t>
      </w:r>
      <w:r w:rsidR="00B9377E">
        <w:t>d</w:t>
      </w:r>
      <w:r w:rsidR="00C012BD">
        <w:t xml:space="preserve"> </w:t>
      </w:r>
      <w:r w:rsidR="00F23541">
        <w:t>the funding</w:t>
      </w:r>
      <w:r w:rsidR="00D41DD4">
        <w:t xml:space="preserve"> </w:t>
      </w:r>
      <w:r w:rsidR="00F23541">
        <w:t>of</w:t>
      </w:r>
      <w:r w:rsidR="00D41DD4">
        <w:t xml:space="preserve"> any deficit derived from </w:t>
      </w:r>
      <w:r w:rsidR="005A06C4">
        <w:t xml:space="preserve">the original transfer in to the </w:t>
      </w:r>
      <w:r w:rsidR="000A5071">
        <w:t xml:space="preserve">DB </w:t>
      </w:r>
      <w:r w:rsidR="005A06C4">
        <w:t>Scheme at the time of the demerger.</w:t>
      </w:r>
      <w:r w:rsidR="00004C4A">
        <w:t xml:space="preserve"> </w:t>
      </w:r>
      <w:r w:rsidR="003F2176">
        <w:t>I underst</w:t>
      </w:r>
      <w:r w:rsidR="004414DC">
        <w:t>and</w:t>
      </w:r>
      <w:r w:rsidR="003F2176">
        <w:t xml:space="preserve"> </w:t>
      </w:r>
      <w:r w:rsidR="009F32F2">
        <w:t xml:space="preserve">that this covered around 80% of the total exposure. </w:t>
      </w:r>
      <w:r w:rsidR="00004C4A">
        <w:t xml:space="preserve">The chairman of CTCL, Ian Edwards, </w:t>
      </w:r>
      <w:r w:rsidR="00F47A44">
        <w:t xml:space="preserve">also </w:t>
      </w:r>
      <w:r w:rsidR="00004C4A">
        <w:t xml:space="preserve">received an assurance </w:t>
      </w:r>
      <w:r w:rsidR="00F37B29">
        <w:t>from Kesa that “a closure of the business is not on the agenda”.</w:t>
      </w:r>
      <w:bookmarkEnd w:id="2"/>
    </w:p>
    <w:p w14:paraId="33FEA4D1" w14:textId="285B9789" w:rsidR="0000011F" w:rsidRDefault="00C44F41" w:rsidP="00065CC7">
      <w:pPr>
        <w:pStyle w:val="BodyText"/>
      </w:pPr>
      <w:bookmarkStart w:id="3" w:name="_Ref118450491"/>
      <w:r>
        <w:t>Kesa’s announcement</w:t>
      </w:r>
      <w:r w:rsidR="00F80B9B">
        <w:t xml:space="preserve"> </w:t>
      </w:r>
      <w:r w:rsidR="00BA4170">
        <w:t xml:space="preserve">that it was exploring options for Comet </w:t>
      </w:r>
      <w:r w:rsidR="00F80B9B">
        <w:t xml:space="preserve">also raised concerns with credit insurers. </w:t>
      </w:r>
      <w:r w:rsidR="002729B3">
        <w:t xml:space="preserve">These are </w:t>
      </w:r>
      <w:r w:rsidR="00B90385">
        <w:t>entities</w:t>
      </w:r>
      <w:r w:rsidR="00E94942">
        <w:t xml:space="preserve"> that </w:t>
      </w:r>
      <w:r w:rsidR="00B90385">
        <w:t>provide insurance to manufacturers</w:t>
      </w:r>
      <w:r w:rsidR="00AD47EB">
        <w:t xml:space="preserve"> in respect of credit they supply to customers. Although the</w:t>
      </w:r>
      <w:r w:rsidR="006B7CE7">
        <w:t xml:space="preserve"> insurers’</w:t>
      </w:r>
      <w:r w:rsidR="00AD47EB">
        <w:t xml:space="preserve"> </w:t>
      </w:r>
      <w:r w:rsidR="00105F4D">
        <w:t xml:space="preserve">legal relationship would be with the manufacturer, their willingness to provide cover was </w:t>
      </w:r>
      <w:r w:rsidR="006B7CE7">
        <w:t xml:space="preserve">commercially </w:t>
      </w:r>
      <w:r w:rsidR="00105F4D">
        <w:t>important</w:t>
      </w:r>
      <w:r w:rsidR="006B7CE7">
        <w:t xml:space="preserve"> not only</w:t>
      </w:r>
      <w:r w:rsidR="00105F4D">
        <w:t xml:space="preserve"> to </w:t>
      </w:r>
      <w:r w:rsidR="002670A4">
        <w:t>Comet</w:t>
      </w:r>
      <w:r w:rsidR="006B7CE7">
        <w:t xml:space="preserve"> but</w:t>
      </w:r>
      <w:r w:rsidR="002670A4">
        <w:t xml:space="preserve"> to Kesa’s wider business, because without it manufacturers would not offer credit, or at least not on such favourable terms.</w:t>
      </w:r>
      <w:r w:rsidR="00175FA6">
        <w:t xml:space="preserve"> </w:t>
      </w:r>
      <w:r w:rsidR="00231A51">
        <w:t xml:space="preserve">The absence of </w:t>
      </w:r>
      <w:r w:rsidR="0008711C">
        <w:t xml:space="preserve">such credit had a material effect on working capital requirements. </w:t>
      </w:r>
      <w:r w:rsidR="0088143B">
        <w:t xml:space="preserve">It was clear from Mr Platt’s evidence that he spent a lot of </w:t>
      </w:r>
      <w:r w:rsidR="0000011F">
        <w:t>time both in the ordinary course of business, and in particular during the negotiations for the Disposal, working closely with credit insurers.</w:t>
      </w:r>
      <w:bookmarkEnd w:id="3"/>
      <w:r w:rsidR="0000011F">
        <w:t xml:space="preserve"> </w:t>
      </w:r>
    </w:p>
    <w:p w14:paraId="126F39E0" w14:textId="5A1A46E8" w:rsidR="004B1CFB" w:rsidRDefault="00DE49DF" w:rsidP="00065CC7">
      <w:pPr>
        <w:pStyle w:val="BodyText"/>
      </w:pPr>
      <w:bookmarkStart w:id="4" w:name="_Ref118116620"/>
      <w:r>
        <w:t>The evidence shows that</w:t>
      </w:r>
      <w:r w:rsidR="00E41844">
        <w:t>,</w:t>
      </w:r>
      <w:r>
        <w:t xml:space="preserve"> in the after</w:t>
      </w:r>
      <w:r w:rsidR="00D04934">
        <w:t>math of</w:t>
      </w:r>
      <w:r w:rsidR="00E94942">
        <w:t xml:space="preserve"> the </w:t>
      </w:r>
      <w:r w:rsidR="00D04934">
        <w:t>announcement</w:t>
      </w:r>
      <w:r w:rsidR="00E94942">
        <w:t xml:space="preserve"> in June 2011</w:t>
      </w:r>
      <w:r w:rsidR="00E41844">
        <w:t>,</w:t>
      </w:r>
      <w:r w:rsidR="00E94942">
        <w:t xml:space="preserve"> Kesa </w:t>
      </w:r>
      <w:r w:rsidR="00D04934">
        <w:t>provided direct assurances to Samsung</w:t>
      </w:r>
      <w:r w:rsidR="00C025D2">
        <w:t>’s insurer</w:t>
      </w:r>
      <w:r w:rsidR="00100A99">
        <w:t xml:space="preserve"> </w:t>
      </w:r>
      <w:r w:rsidR="00C477BA">
        <w:t>Atradius</w:t>
      </w:r>
      <w:r w:rsidR="008C47EC">
        <w:t>, and to another insurer, that</w:t>
      </w:r>
      <w:r w:rsidR="000F3F79">
        <w:t xml:space="preserve"> while it rem</w:t>
      </w:r>
      <w:r w:rsidR="00ED5BDC">
        <w:t>a</w:t>
      </w:r>
      <w:r w:rsidR="000F3F79">
        <w:t xml:space="preserve">ined in Kesa’s </w:t>
      </w:r>
      <w:r w:rsidR="00606D8A">
        <w:t>ownership</w:t>
      </w:r>
      <w:r w:rsidR="000F3F79">
        <w:t xml:space="preserve"> Kesa would </w:t>
      </w:r>
      <w:r w:rsidR="00606D8A">
        <w:t>ensure that Comet would be financially supported to pay trade suppliers in full.</w:t>
      </w:r>
      <w:bookmarkEnd w:id="4"/>
    </w:p>
    <w:p w14:paraId="5B0AB932" w14:textId="68715A43" w:rsidR="001160A7" w:rsidRDefault="00B47ADD" w:rsidP="00503693">
      <w:pPr>
        <w:pStyle w:val="BodyText"/>
      </w:pPr>
      <w:bookmarkStart w:id="5" w:name="_Ref118116213"/>
      <w:r>
        <w:t>On 26 July 2011</w:t>
      </w:r>
      <w:r w:rsidR="000A3BE7">
        <w:t xml:space="preserve"> </w:t>
      </w:r>
      <w:r w:rsidR="004F4B06">
        <w:t xml:space="preserve">KEP </w:t>
      </w:r>
      <w:r w:rsidR="000A3BE7">
        <w:t>also provided a letter of support to</w:t>
      </w:r>
      <w:r w:rsidR="004F4B06">
        <w:t xml:space="preserve"> Comet</w:t>
      </w:r>
      <w:r w:rsidR="00391CF5">
        <w:t xml:space="preserve">. It </w:t>
      </w:r>
      <w:r w:rsidR="001160A7">
        <w:t>read:</w:t>
      </w:r>
      <w:bookmarkEnd w:id="5"/>
    </w:p>
    <w:p w14:paraId="4145859E" w14:textId="4020F396" w:rsidR="00E20A76" w:rsidRDefault="001B2E25" w:rsidP="001160A7">
      <w:pPr>
        <w:pStyle w:val="Citations"/>
      </w:pPr>
      <w:r>
        <w:t>“</w:t>
      </w:r>
      <w:r w:rsidR="001160A7" w:rsidRPr="001160A7">
        <w:t>We are pleased to confirm that Kesa Electricals PLC (</w:t>
      </w:r>
      <w:r w:rsidR="00CB00F6">
        <w:t>“</w:t>
      </w:r>
      <w:r w:rsidR="001160A7" w:rsidRPr="001160A7">
        <w:t>Kesa</w:t>
      </w:r>
      <w:r w:rsidR="00CB00F6">
        <w:t>”</w:t>
      </w:r>
      <w:r w:rsidR="001160A7" w:rsidRPr="001160A7">
        <w:t>) will</w:t>
      </w:r>
      <w:r w:rsidR="00E20A76">
        <w:t xml:space="preserve"> provide financial support to Comet Group </w:t>
      </w:r>
      <w:r w:rsidR="007253E9">
        <w:t>plc</w:t>
      </w:r>
      <w:r w:rsidR="00E20A76">
        <w:t xml:space="preserve"> (</w:t>
      </w:r>
      <w:r w:rsidR="00CB00F6">
        <w:t>“</w:t>
      </w:r>
      <w:r w:rsidR="00E20A76">
        <w:t>Comet</w:t>
      </w:r>
      <w:r w:rsidR="00CB00F6">
        <w:t>”</w:t>
      </w:r>
      <w:r w:rsidR="00E20A76">
        <w:t xml:space="preserve">) in order that Comet meets its commitments as they fall due for so long as it remains a part of the Kesa Group. </w:t>
      </w:r>
    </w:p>
    <w:p w14:paraId="7014234B" w14:textId="11E812B5" w:rsidR="00E20A76" w:rsidRDefault="00E20A76" w:rsidP="001160A7">
      <w:pPr>
        <w:pStyle w:val="Citations"/>
      </w:pPr>
      <w:r>
        <w:t>The Kesa Group is currently evaluating some strategic structure options which include the possible sale of Comet. Should Comet be sold, it is the current intention of Kesa that Comet be sold as a going concern. Therefore, at this point in time, Kesa expects Comet to remain a going concern for a period of not less than 12 months from the date of this letter.</w:t>
      </w:r>
    </w:p>
    <w:p w14:paraId="2FD64710" w14:textId="35B9B11B" w:rsidR="00D67882" w:rsidRDefault="006C7007" w:rsidP="00D67882">
      <w:pPr>
        <w:pStyle w:val="Citations"/>
      </w:pPr>
      <w:r>
        <w:t>We also confirm that, whilst Comet is part of the Group, we will not demand repayment of any amount owed by Comet to any other companies within the Kesa Group within the next 12 months.</w:t>
      </w:r>
      <w:r w:rsidR="001160A7">
        <w:t>”</w:t>
      </w:r>
    </w:p>
    <w:p w14:paraId="2FCC2264" w14:textId="0474B727" w:rsidR="00D67882" w:rsidRDefault="00D67882" w:rsidP="00D67882">
      <w:pPr>
        <w:pStyle w:val="BodyText"/>
        <w:numPr>
          <w:ilvl w:val="0"/>
          <w:numId w:val="0"/>
        </w:numPr>
        <w:ind w:left="567"/>
      </w:pPr>
      <w:r>
        <w:t>It was not disputed that this letter was provided in connection with</w:t>
      </w:r>
      <w:r w:rsidR="005074E1">
        <w:t xml:space="preserve"> the au</w:t>
      </w:r>
      <w:r w:rsidR="00D326DA">
        <w:t>dit of</w:t>
      </w:r>
      <w:r>
        <w:t xml:space="preserve"> Comet’s statutory accounts for </w:t>
      </w:r>
      <w:r w:rsidR="00300BD2">
        <w:t>FY</w:t>
      </w:r>
      <w:r w:rsidR="00A86378">
        <w:t>2011</w:t>
      </w:r>
      <w:r w:rsidR="00096D2A">
        <w:t xml:space="preserve">, </w:t>
      </w:r>
      <w:r w:rsidR="003818E3">
        <w:t>which were signed the following day.</w:t>
      </w:r>
      <w:r w:rsidR="002A368F">
        <w:t xml:space="preserve"> A letter had also been pr</w:t>
      </w:r>
      <w:r w:rsidR="008358C6">
        <w:t>ovided</w:t>
      </w:r>
      <w:r w:rsidR="002A368F">
        <w:t xml:space="preserve"> the previous year, </w:t>
      </w:r>
      <w:r w:rsidR="00CB00F6">
        <w:t>but without any caveat about</w:t>
      </w:r>
      <w:r w:rsidR="00BF54B3">
        <w:t xml:space="preserve"> Comet</w:t>
      </w:r>
      <w:r w:rsidR="00CB00F6">
        <w:t xml:space="preserve"> remaining part of the group.</w:t>
      </w:r>
    </w:p>
    <w:p w14:paraId="3FE17CD8" w14:textId="7E5D295D" w:rsidR="00667FDC" w:rsidRDefault="00E7552C" w:rsidP="00667FDC">
      <w:pPr>
        <w:pStyle w:val="BodyText"/>
      </w:pPr>
      <w:r>
        <w:t>Six potential bidders submitted first round offers</w:t>
      </w:r>
      <w:r w:rsidR="000C3F63">
        <w:t xml:space="preserve"> for Comet</w:t>
      </w:r>
      <w:r w:rsidR="005C6C06">
        <w:t xml:space="preserve">, which were considered by the </w:t>
      </w:r>
      <w:r w:rsidR="008F4D6C">
        <w:t>KEP Board on 26 July</w:t>
      </w:r>
      <w:r w:rsidR="008D1722">
        <w:t xml:space="preserve"> 2011</w:t>
      </w:r>
      <w:r w:rsidR="00B8344A">
        <w:t xml:space="preserve">. </w:t>
      </w:r>
      <w:r w:rsidR="00B8413D">
        <w:t>Three</w:t>
      </w:r>
      <w:r w:rsidR="00FE2A2B">
        <w:t xml:space="preserve"> bids</w:t>
      </w:r>
      <w:r w:rsidR="00B8413D">
        <w:t xml:space="preserve"> were discounted, one of which because it was based on putting Comet</w:t>
      </w:r>
      <w:r w:rsidR="009D6AE9">
        <w:t xml:space="preserve"> into administration</w:t>
      </w:r>
      <w:r w:rsidR="008F4D6C">
        <w:t>, and the following day second round bids were invited from the remaining three</w:t>
      </w:r>
      <w:r w:rsidR="008D1722">
        <w:t xml:space="preserve"> bidders</w:t>
      </w:r>
      <w:r w:rsidR="00B54369">
        <w:t xml:space="preserve">. </w:t>
      </w:r>
      <w:r w:rsidR="00B946CD">
        <w:t>One of those</w:t>
      </w:r>
      <w:r w:rsidR="008B0E4D">
        <w:t xml:space="preserve"> subsequently</w:t>
      </w:r>
      <w:r w:rsidR="00B54369">
        <w:t xml:space="preserve"> pulled out, leaving two re</w:t>
      </w:r>
      <w:r w:rsidR="00776CAC">
        <w:t>maining</w:t>
      </w:r>
      <w:r w:rsidR="00B54369">
        <w:t xml:space="preserve">, </w:t>
      </w:r>
      <w:r w:rsidR="000607F5">
        <w:t>namely OpCapita</w:t>
      </w:r>
      <w:r w:rsidR="008F4736">
        <w:t xml:space="preserve"> and Valco Capital Partners LP</w:t>
      </w:r>
      <w:r w:rsidR="005B71C4">
        <w:t xml:space="preserve"> (“Valco”)</w:t>
      </w:r>
      <w:r w:rsidR="008F4736">
        <w:t xml:space="preserve">, the private </w:t>
      </w:r>
      <w:r w:rsidR="005B71C4">
        <w:t>equity arm of the restructuring specialist Hilco. OpCapi</w:t>
      </w:r>
      <w:r w:rsidR="00017529">
        <w:t>ta offered £60m</w:t>
      </w:r>
      <w:r w:rsidR="008B0E4D">
        <w:t xml:space="preserve"> in its first round bid</w:t>
      </w:r>
      <w:r w:rsidR="00017529">
        <w:t xml:space="preserve"> but, contrary to </w:t>
      </w:r>
      <w:r w:rsidR="004D5F52">
        <w:t xml:space="preserve">what BAML had specified, declined to take on </w:t>
      </w:r>
      <w:r w:rsidR="00AF0D82">
        <w:t xml:space="preserve">any </w:t>
      </w:r>
      <w:r w:rsidR="004D5F52">
        <w:t xml:space="preserve">exposure to </w:t>
      </w:r>
      <w:r w:rsidR="000A5071">
        <w:t xml:space="preserve">the DB Scheme. </w:t>
      </w:r>
      <w:r w:rsidR="00AC702A">
        <w:t xml:space="preserve">Second round bids were </w:t>
      </w:r>
      <w:r w:rsidR="00F37E15">
        <w:t>requ</w:t>
      </w:r>
      <w:r w:rsidR="00815C2A">
        <w:t>ested</w:t>
      </w:r>
      <w:r w:rsidR="00F37E15">
        <w:t xml:space="preserve"> to be provided</w:t>
      </w:r>
      <w:r w:rsidR="00BC0C70">
        <w:t xml:space="preserve"> by the remaining bidders</w:t>
      </w:r>
      <w:r w:rsidR="00AC702A">
        <w:t xml:space="preserve"> by 2 September 2011</w:t>
      </w:r>
      <w:r w:rsidR="004D3340">
        <w:t>.</w:t>
      </w:r>
    </w:p>
    <w:p w14:paraId="6397A07B" w14:textId="08369E64" w:rsidR="00465702" w:rsidRDefault="00E455E0" w:rsidP="00667FDC">
      <w:pPr>
        <w:pStyle w:val="BodyText"/>
      </w:pPr>
      <w:bookmarkStart w:id="6" w:name="_Ref118219425"/>
      <w:r>
        <w:t xml:space="preserve">During this period, further issues clearly arose in relation to trade credit. </w:t>
      </w:r>
      <w:r w:rsidR="004919CA">
        <w:t>The documentary evidence indicates that OpCapita suggested</w:t>
      </w:r>
      <w:r w:rsidR="00044A7B">
        <w:t xml:space="preserve"> among other things</w:t>
      </w:r>
      <w:r w:rsidR="004919CA">
        <w:t xml:space="preserve"> that Kesa </w:t>
      </w:r>
      <w:r w:rsidR="00FA5031">
        <w:t>act as a buying agent for a transitional period</w:t>
      </w:r>
      <w:r w:rsidR="004C2E25">
        <w:t xml:space="preserve">. A </w:t>
      </w:r>
      <w:r w:rsidR="00622376">
        <w:t>Kesa paper</w:t>
      </w:r>
      <w:r w:rsidR="00CB7F32">
        <w:t xml:space="preserve"> dating from August 2011</w:t>
      </w:r>
      <w:r w:rsidR="00622376">
        <w:t xml:space="preserve"> recognised</w:t>
      </w:r>
      <w:r w:rsidR="00CB7F32">
        <w:t xml:space="preserve"> that this</w:t>
      </w:r>
      <w:r w:rsidR="00622376">
        <w:t xml:space="preserve"> would </w:t>
      </w:r>
      <w:r w:rsidR="00B364AE">
        <w:t>mean that it was Comet’s largest creditor, w</w:t>
      </w:r>
      <w:r w:rsidR="001A39B9">
        <w:t>hich “could leave Kesa with a significant cash loss</w:t>
      </w:r>
      <w:r w:rsidR="00EE04CA">
        <w:t xml:space="preserve">” in the event of a “further </w:t>
      </w:r>
      <w:r w:rsidR="00EE04CA" w:rsidRPr="00EE04CA">
        <w:t>deterioration in Comet</w:t>
      </w:r>
      <w:r w:rsidR="0028658C">
        <w:t>’</w:t>
      </w:r>
      <w:r w:rsidR="00EE04CA" w:rsidRPr="00EE04CA">
        <w:t>s performance including possible bankruptcy</w:t>
      </w:r>
      <w:r w:rsidR="002E4488">
        <w:t>”</w:t>
      </w:r>
      <w:r w:rsidR="006B5807">
        <w:t>.</w:t>
      </w:r>
      <w:bookmarkEnd w:id="6"/>
    </w:p>
    <w:p w14:paraId="326719DA" w14:textId="453D1B31" w:rsidR="0028658C" w:rsidRDefault="00D2788E" w:rsidP="00667FDC">
      <w:pPr>
        <w:pStyle w:val="BodyText"/>
      </w:pPr>
      <w:r>
        <w:t xml:space="preserve">OpCapita’s second round bid envisaged </w:t>
      </w:r>
      <w:r w:rsidR="00853744">
        <w:t>an acquisition for nominal consideration</w:t>
      </w:r>
      <w:r w:rsidR="00221B2B">
        <w:t xml:space="preserve">, with </w:t>
      </w:r>
      <w:r w:rsidR="00392724">
        <w:t>Comet having working capital of £110m funded by £20m from OpCapita</w:t>
      </w:r>
      <w:r w:rsidR="001A6667">
        <w:t>,</w:t>
      </w:r>
      <w:r w:rsidR="006C7875">
        <w:t xml:space="preserve"> </w:t>
      </w:r>
      <w:r w:rsidR="003D3009">
        <w:t>a £40m asset</w:t>
      </w:r>
      <w:r w:rsidR="000822F7">
        <w:t>-backed loan facility (“ABL</w:t>
      </w:r>
      <w:r w:rsidR="00641947">
        <w:t xml:space="preserve"> facility</w:t>
      </w:r>
      <w:r w:rsidR="000822F7">
        <w:t>”)</w:t>
      </w:r>
      <w:r w:rsidR="00833BEB">
        <w:t xml:space="preserve"> from a third party</w:t>
      </w:r>
      <w:r w:rsidR="000822F7">
        <w:t xml:space="preserve"> and £50m cas</w:t>
      </w:r>
      <w:r w:rsidR="00504115">
        <w:t>h on the balance sheet at the point of acquisition</w:t>
      </w:r>
      <w:r w:rsidR="00646838">
        <w:t>, with the DB Scheme</w:t>
      </w:r>
      <w:r w:rsidR="00A25CBF">
        <w:t xml:space="preserve"> still</w:t>
      </w:r>
      <w:r w:rsidR="00646838">
        <w:t xml:space="preserve"> remaining with Kesa</w:t>
      </w:r>
      <w:r w:rsidR="00504115">
        <w:t>.</w:t>
      </w:r>
      <w:r w:rsidR="00352C56">
        <w:t xml:space="preserve"> </w:t>
      </w:r>
      <w:r w:rsidR="00132A02">
        <w:t>The offer letter indicated that OpCapita’s plans did not contemplate material store closures</w:t>
      </w:r>
      <w:r w:rsidR="003C548B">
        <w:t xml:space="preserve">, and referred to its proposal for a “robust capitalisation of </w:t>
      </w:r>
      <w:r w:rsidR="002C182B">
        <w:t>[</w:t>
      </w:r>
      <w:r w:rsidR="003C548B">
        <w:t>Comet’s</w:t>
      </w:r>
      <w:r w:rsidR="002C182B">
        <w:t>]</w:t>
      </w:r>
      <w:r w:rsidR="003C548B">
        <w:t xml:space="preserve"> balance sheet</w:t>
      </w:r>
      <w:r w:rsidR="00F546A5">
        <w:t xml:space="preserve"> and reinforcement of its liquidity position”</w:t>
      </w:r>
      <w:r w:rsidR="0003327C">
        <w:t xml:space="preserve"> to address concerns about the ongoing support of suppliers.</w:t>
      </w:r>
      <w:r w:rsidR="00194372">
        <w:rPr>
          <w:i/>
          <w:iCs/>
        </w:rPr>
        <w:t xml:space="preserve"> </w:t>
      </w:r>
      <w:r w:rsidR="00A25CBF">
        <w:t xml:space="preserve">Valco’s bid </w:t>
      </w:r>
      <w:r w:rsidR="001E1C74">
        <w:t xml:space="preserve">also </w:t>
      </w:r>
      <w:r w:rsidR="00092336">
        <w:t>envisaged</w:t>
      </w:r>
      <w:r w:rsidR="001E1C74">
        <w:t xml:space="preserve"> nominal consideration</w:t>
      </w:r>
      <w:r w:rsidR="00482DBE">
        <w:t xml:space="preserve">, </w:t>
      </w:r>
      <w:r w:rsidR="001E1C74">
        <w:t>but</w:t>
      </w:r>
      <w:r w:rsidR="001F476E">
        <w:t xml:space="preserve"> it</w:t>
      </w:r>
      <w:r w:rsidR="001E1C74">
        <w:t xml:space="preserve"> required</w:t>
      </w:r>
      <w:r w:rsidR="00092336">
        <w:t xml:space="preserve"> a £145m “dowry”</w:t>
      </w:r>
      <w:r w:rsidR="00B878BC">
        <w:t xml:space="preserve">, or alternatively </w:t>
      </w:r>
      <w:r w:rsidR="00CC227B">
        <w:t xml:space="preserve">a form of joint venture </w:t>
      </w:r>
      <w:r w:rsidR="000F4325">
        <w:t xml:space="preserve">involving </w:t>
      </w:r>
      <w:r w:rsidR="00B878BC">
        <w:t>continued funding from Kesa</w:t>
      </w:r>
      <w:r w:rsidR="00CC227B">
        <w:t xml:space="preserve"> in return for an equity stake.</w:t>
      </w:r>
    </w:p>
    <w:p w14:paraId="62CB3AFC" w14:textId="1724617F" w:rsidR="00261071" w:rsidRDefault="00943D75" w:rsidP="00667FDC">
      <w:pPr>
        <w:pStyle w:val="BodyText"/>
      </w:pPr>
      <w:r>
        <w:t>The KEP Board met on 14 September 2011</w:t>
      </w:r>
      <w:r w:rsidR="00776CEA">
        <w:t xml:space="preserve"> and resolved to proceed with</w:t>
      </w:r>
      <w:r w:rsidR="00081EBE">
        <w:t xml:space="preserve"> a </w:t>
      </w:r>
      <w:r w:rsidR="00A447E7">
        <w:t>modified</w:t>
      </w:r>
      <w:r w:rsidR="00081EBE">
        <w:t xml:space="preserve"> </w:t>
      </w:r>
      <w:r w:rsidR="00A447E7">
        <w:t>version of</w:t>
      </w:r>
      <w:r w:rsidR="00776CEA">
        <w:t xml:space="preserve"> OpCapita’s</w:t>
      </w:r>
      <w:r w:rsidR="00A447E7">
        <w:t xml:space="preserve"> second round</w:t>
      </w:r>
      <w:r w:rsidR="00776CEA">
        <w:t xml:space="preserve"> proposal</w:t>
      </w:r>
      <w:r w:rsidR="00416107">
        <w:t xml:space="preserve">, under which OpCapita would </w:t>
      </w:r>
      <w:r w:rsidR="00C60AE4">
        <w:t xml:space="preserve">inject £30m and the £50m from Kesa </w:t>
      </w:r>
      <w:r w:rsidR="006F561B">
        <w:t>would be a contribution that gave it a minority stake in the new structure</w:t>
      </w:r>
      <w:r>
        <w:t xml:space="preserve">. </w:t>
      </w:r>
      <w:r w:rsidR="00E6407F">
        <w:t>A briefing paper for the Board</w:t>
      </w:r>
      <w:r w:rsidR="00F27535">
        <w:t xml:space="preserve"> </w:t>
      </w:r>
      <w:r w:rsidR="00033602">
        <w:t xml:space="preserve">for which </w:t>
      </w:r>
      <w:r w:rsidR="00F27535">
        <w:t>Mr Platt</w:t>
      </w:r>
      <w:r w:rsidR="00D513FD">
        <w:t xml:space="preserve"> was responsible</w:t>
      </w:r>
      <w:r w:rsidR="00033602">
        <w:t xml:space="preserve"> </w:t>
      </w:r>
      <w:r w:rsidR="00356A12">
        <w:t>noted that Comet’s prospects had worsened since the</w:t>
      </w:r>
      <w:r w:rsidR="00966CE0">
        <w:t xml:space="preserve"> turnaround plan had been presented </w:t>
      </w:r>
      <w:r w:rsidR="001526B4">
        <w:t xml:space="preserve">to the Board </w:t>
      </w:r>
      <w:r w:rsidR="00356A12">
        <w:t xml:space="preserve">in </w:t>
      </w:r>
      <w:r w:rsidR="00781B3B">
        <w:t>June 2011,</w:t>
      </w:r>
      <w:r w:rsidR="009A4DF0">
        <w:t xml:space="preserve"> </w:t>
      </w:r>
      <w:r w:rsidR="00FB7C75">
        <w:t>with tougher market conditions</w:t>
      </w:r>
      <w:r w:rsidR="000532F3">
        <w:t xml:space="preserve"> and </w:t>
      </w:r>
      <w:r w:rsidR="00E004CA">
        <w:t xml:space="preserve">an increased concern that </w:t>
      </w:r>
      <w:r w:rsidR="009D54B9">
        <w:t xml:space="preserve">the plan </w:t>
      </w:r>
      <w:r w:rsidR="001C4724">
        <w:t>would not achieve sustainable profitabili</w:t>
      </w:r>
      <w:r w:rsidR="0017711F">
        <w:t xml:space="preserve">ty. </w:t>
      </w:r>
      <w:r w:rsidR="00641947">
        <w:t>The paper</w:t>
      </w:r>
      <w:r w:rsidR="005C5C40">
        <w:t xml:space="preserve"> commented that, unlike Valco’s bid</w:t>
      </w:r>
      <w:r w:rsidR="00641947">
        <w:t>,</w:t>
      </w:r>
      <w:r w:rsidR="005C5C40">
        <w:t xml:space="preserve"> the OpCapita bid would allow for a “short term clean break, with our downside capped and a potential upside should [they] sell on the business in due </w:t>
      </w:r>
      <w:r w:rsidR="00CB16AB">
        <w:t>course”. It</w:t>
      </w:r>
      <w:r w:rsidR="00781B3B">
        <w:t xml:space="preserve"> explained that the alternatives of demerger and closure were less attractive than </w:t>
      </w:r>
      <w:r w:rsidR="00E43ACA">
        <w:t xml:space="preserve">a </w:t>
      </w:r>
      <w:r w:rsidR="00781B3B">
        <w:t>sale</w:t>
      </w:r>
      <w:r w:rsidR="007337AE">
        <w:t xml:space="preserve">, with </w:t>
      </w:r>
      <w:r w:rsidR="00E43ACA">
        <w:t xml:space="preserve">a </w:t>
      </w:r>
      <w:r w:rsidR="007337AE">
        <w:t>demerger requiring a £2</w:t>
      </w:r>
      <w:r w:rsidR="004449F5">
        <w:t>0</w:t>
      </w:r>
      <w:r w:rsidR="007337AE">
        <w:t xml:space="preserve">0m-£330m </w:t>
      </w:r>
      <w:r w:rsidR="00D30AAE">
        <w:t>contribution</w:t>
      </w:r>
      <w:r w:rsidR="00232FAC">
        <w:t xml:space="preserve"> </w:t>
      </w:r>
      <w:r w:rsidR="00D30AAE">
        <w:t>and closure</w:t>
      </w:r>
      <w:r w:rsidR="00E43ACA">
        <w:t xml:space="preserve"> involving a cost of</w:t>
      </w:r>
      <w:r w:rsidR="00D30AAE">
        <w:t xml:space="preserve"> £270m</w:t>
      </w:r>
      <w:r w:rsidR="009D7F66">
        <w:t>-£470m</w:t>
      </w:r>
      <w:r w:rsidR="009A57C4">
        <w:t>, in each case</w:t>
      </w:r>
      <w:r w:rsidR="009D7F66">
        <w:t xml:space="preserve"> excluding the</w:t>
      </w:r>
      <w:r w:rsidR="009A57C4">
        <w:t xml:space="preserve"> cost of the</w:t>
      </w:r>
      <w:r w:rsidR="009D7F66">
        <w:t xml:space="preserve"> DB Scheme</w:t>
      </w:r>
      <w:r w:rsidR="00CB7CF5">
        <w:t xml:space="preserve">. </w:t>
      </w:r>
      <w:r w:rsidR="001C3B27">
        <w:t xml:space="preserve">In contrast a sale could provide “certainty on downside </w:t>
      </w:r>
      <w:r w:rsidR="00DE0B4E">
        <w:t>risk”</w:t>
      </w:r>
      <w:r w:rsidR="00CB16AB">
        <w:t>.</w:t>
      </w:r>
      <w:r w:rsidR="00DE0B4E">
        <w:t xml:space="preserve"> </w:t>
      </w:r>
    </w:p>
    <w:p w14:paraId="05BCF3FB" w14:textId="7A6B29C3" w:rsidR="00B357CE" w:rsidRDefault="00521E08" w:rsidP="00667FDC">
      <w:pPr>
        <w:pStyle w:val="BodyText"/>
      </w:pPr>
      <w:bookmarkStart w:id="7" w:name="_Ref118103286"/>
      <w:r>
        <w:t xml:space="preserve">The paper included the </w:t>
      </w:r>
      <w:r w:rsidRPr="002D11B1">
        <w:t xml:space="preserve">following </w:t>
      </w:r>
      <w:r w:rsidR="00C46022" w:rsidRPr="002D11B1">
        <w:t>comment</w:t>
      </w:r>
      <w:r w:rsidR="00304C16" w:rsidRPr="002D11B1">
        <w:t>s</w:t>
      </w:r>
      <w:r w:rsidR="00C46022">
        <w:t xml:space="preserve"> about </w:t>
      </w:r>
      <w:r w:rsidR="00304C16">
        <w:t>the detail of OpCapita’s bid</w:t>
      </w:r>
      <w:r w:rsidR="00C46022">
        <w:t>:</w:t>
      </w:r>
      <w:bookmarkEnd w:id="7"/>
    </w:p>
    <w:p w14:paraId="43E6BE86" w14:textId="77777777" w:rsidR="0093211C" w:rsidRDefault="002D11B1" w:rsidP="00DE3708">
      <w:pPr>
        <w:pStyle w:val="Citations"/>
      </w:pPr>
      <w:r>
        <w:t>“</w:t>
      </w:r>
      <w:r w:rsidR="00DE3708">
        <w:t>Putting aside the level of our contribution, the key question for the OpCapita bid is the adequacy of their financing proposal for the business (£120m capital) to support the working capital of Comet. Under our ownership, Comet has seen working capital swings of £100m through the peak season. The risk we see is that suppliers and more importantly credit insurers do not consider Comet to be adequately capitalised and take actions which would result in materially worse payment terms for Comet than its current 48 days - a 1 day worsening in terms costs £</w:t>
      </w:r>
      <w:r w:rsidR="00FC1EA2">
        <w:t>5</w:t>
      </w:r>
      <w:r w:rsidR="00DE3708">
        <w:t xml:space="preserve">m in working capital. Our discussions with credit insurers over the summer have highlighted how concerned they are about their exposure, </w:t>
      </w:r>
      <w:r w:rsidR="00DE3708" w:rsidRPr="009C53F5">
        <w:t>particularly in an environment where a financial buyer may be more ready or able to put the business into administration than we are perceived to be,</w:t>
      </w:r>
      <w:r w:rsidR="00DE3708">
        <w:t xml:space="preserve"> but on the other hand they are willing to support financial buyers with a clear long term plan for business supported by adequate</w:t>
      </w:r>
      <w:r w:rsidR="006D53AF">
        <w:t xml:space="preserve"> capital.</w:t>
      </w:r>
    </w:p>
    <w:p w14:paraId="67E34DD8" w14:textId="77777777" w:rsidR="00290D1A" w:rsidRDefault="00290D1A" w:rsidP="00DE3708">
      <w:pPr>
        <w:pStyle w:val="Citations"/>
      </w:pPr>
    </w:p>
    <w:p w14:paraId="5A325994" w14:textId="35C3D971" w:rsidR="00665228" w:rsidRDefault="00290D1A" w:rsidP="00DE3708">
      <w:pPr>
        <w:pStyle w:val="Citations"/>
      </w:pPr>
      <w:r>
        <w:t>[Some further detail of the discussions with OpCapita then follows, including</w:t>
      </w:r>
      <w:r w:rsidR="00290555">
        <w:t xml:space="preserve"> work they planned to do to improve working capital</w:t>
      </w:r>
      <w:r w:rsidR="008B4E4B">
        <w:t>, and the proposed £50 contribution from Kesa</w:t>
      </w:r>
      <w:r>
        <w:t>.]</w:t>
      </w:r>
    </w:p>
    <w:p w14:paraId="2C16B552" w14:textId="77777777" w:rsidR="000C71EB" w:rsidRDefault="000C71EB" w:rsidP="00DE3708">
      <w:pPr>
        <w:pStyle w:val="Citations"/>
      </w:pPr>
    </w:p>
    <w:p w14:paraId="0197A95C" w14:textId="2A3FFD90" w:rsidR="00C46022" w:rsidRDefault="000C71EB" w:rsidP="000C71EB">
      <w:pPr>
        <w:pStyle w:val="Citations"/>
      </w:pPr>
      <w:r>
        <w:t xml:space="preserve">This arrangement would provide a short term clean break, with our downside capped and a potential upside should </w:t>
      </w:r>
      <w:r w:rsidR="008B4E4B">
        <w:t>[</w:t>
      </w:r>
      <w:r>
        <w:t>the</w:t>
      </w:r>
      <w:r w:rsidR="008B4E4B">
        <w:t>y]</w:t>
      </w:r>
      <w:r>
        <w:t xml:space="preserve"> sell on the business in due course.</w:t>
      </w:r>
      <w:r w:rsidR="00290D1A">
        <w:t>”</w:t>
      </w:r>
    </w:p>
    <w:p w14:paraId="3C1765B6" w14:textId="4BF6702C" w:rsidR="00BB63A9" w:rsidRDefault="00BB63A9" w:rsidP="00667FDC">
      <w:pPr>
        <w:pStyle w:val="BodyText"/>
      </w:pPr>
      <w:r>
        <w:t xml:space="preserve">BAML </w:t>
      </w:r>
      <w:r w:rsidR="00712F5F">
        <w:t>also produced a paper for the Board</w:t>
      </w:r>
      <w:r w:rsidR="00D14578">
        <w:t xml:space="preserve"> meeting, which indicated that by this stage only OpCapita was actively</w:t>
      </w:r>
      <w:r w:rsidR="00783CFF">
        <w:t xml:space="preserve"> engaged in the process, and retention by Kesa was the</w:t>
      </w:r>
      <w:r w:rsidR="00D71CB7">
        <w:t xml:space="preserve"> “most credible competition”.</w:t>
      </w:r>
      <w:r w:rsidR="006A1540">
        <w:t xml:space="preserve"> The paper </w:t>
      </w:r>
      <w:r w:rsidR="00D71CB7">
        <w:t>commented that OpCapita</w:t>
      </w:r>
      <w:r w:rsidR="006A1540">
        <w:t xml:space="preserve"> plan</w:t>
      </w:r>
      <w:r w:rsidR="009C53F5">
        <w:t>ned</w:t>
      </w:r>
      <w:r w:rsidR="006A1540">
        <w:t xml:space="preserve"> to run the</w:t>
      </w:r>
      <w:r w:rsidR="003451D5">
        <w:t xml:space="preserve"> Comet</w:t>
      </w:r>
      <w:r w:rsidR="006A1540">
        <w:t xml:space="preserve"> business with substantially all the existing store portfolio and had no plans to put it into administration</w:t>
      </w:r>
      <w:r w:rsidR="00E1760C">
        <w:t>. In contrast</w:t>
      </w:r>
      <w:r w:rsidR="007A176B">
        <w:t>, there were “significant obstacles” to</w:t>
      </w:r>
      <w:r w:rsidR="00173FCE">
        <w:t xml:space="preserve"> Comet </w:t>
      </w:r>
      <w:r w:rsidR="007A176B">
        <w:t>executing a successful turnaround plan</w:t>
      </w:r>
      <w:r w:rsidR="00173FCE">
        <w:t xml:space="preserve"> under Kesa’s ownership</w:t>
      </w:r>
      <w:r w:rsidR="00D82330">
        <w:t xml:space="preserve">. The plan involved </w:t>
      </w:r>
      <w:r w:rsidR="007A176B">
        <w:t>significant risk</w:t>
      </w:r>
      <w:r w:rsidR="00D94449">
        <w:t>, with “very significant lease, personnel and other costs associated with closing the business”</w:t>
      </w:r>
      <w:r w:rsidR="00D82330">
        <w:t xml:space="preserve"> in the event that it was unsuccessful.</w:t>
      </w:r>
      <w:r w:rsidR="00855F0D">
        <w:t xml:space="preserve"> Research analysts had ascribed a negative value to</w:t>
      </w:r>
      <w:r w:rsidR="003451D5">
        <w:t xml:space="preserve"> Comet’s </w:t>
      </w:r>
      <w:r w:rsidR="00855F0D">
        <w:t>operating business of between</w:t>
      </w:r>
      <w:r w:rsidR="00356520">
        <w:t xml:space="preserve"> (minus)</w:t>
      </w:r>
      <w:r w:rsidR="00CE59D7">
        <w:t xml:space="preserve"> £27m and £250m.</w:t>
      </w:r>
      <w:r w:rsidR="00D06FFA">
        <w:t xml:space="preserve"> The £50m</w:t>
      </w:r>
      <w:r w:rsidR="003451D5">
        <w:t xml:space="preserve"> cost of OpCapita’s proposal was at the low end of the range and would remove the downside risk regarding closure.</w:t>
      </w:r>
    </w:p>
    <w:p w14:paraId="516C34D1" w14:textId="61E98818" w:rsidR="00286A78" w:rsidRDefault="00143684" w:rsidP="00667FDC">
      <w:pPr>
        <w:pStyle w:val="BodyText"/>
      </w:pPr>
      <w:r>
        <w:t>The Board minutes</w:t>
      </w:r>
      <w:r w:rsidR="00A721D7">
        <w:t xml:space="preserve"> for 14 September 2011</w:t>
      </w:r>
      <w:r>
        <w:t xml:space="preserve"> echo the advice about the risks of the turnaround plan</w:t>
      </w:r>
      <w:r w:rsidR="007B2512">
        <w:t xml:space="preserve"> and refer to</w:t>
      </w:r>
      <w:r w:rsidR="00173FCE">
        <w:t xml:space="preserve"> an adverse </w:t>
      </w:r>
      <w:r w:rsidR="007B2512">
        <w:t>change in management’s view about the</w:t>
      </w:r>
      <w:r w:rsidR="006B568B">
        <w:t xml:space="preserve"> longer term sustainability of Comet, in part driven by the deteriorating economic environment</w:t>
      </w:r>
      <w:r w:rsidR="00833F95">
        <w:t xml:space="preserve">. </w:t>
      </w:r>
      <w:r w:rsidR="00662238">
        <w:t xml:space="preserve">They also record an agreement that it was important that any financial buyer (such as OpCapita) </w:t>
      </w:r>
      <w:r w:rsidR="00662238" w:rsidRPr="000E6814">
        <w:t>had adequate working capital facilities</w:t>
      </w:r>
      <w:r w:rsidR="00995B6D" w:rsidRPr="000E6814">
        <w:t xml:space="preserve"> to run the business, particularly through the peak </w:t>
      </w:r>
      <w:r w:rsidR="009C53F5">
        <w:t xml:space="preserve">Christmas </w:t>
      </w:r>
      <w:r w:rsidR="00995B6D" w:rsidRPr="000E6814">
        <w:t>trading period, given that Comet’s intra-week working capital requirements could be around £100m</w:t>
      </w:r>
      <w:r w:rsidR="00F56CA9" w:rsidRPr="000E6814">
        <w:t xml:space="preserve"> during that time</w:t>
      </w:r>
      <w:r w:rsidR="00F56CA9">
        <w:t>.</w:t>
      </w:r>
      <w:r w:rsidR="00317C77">
        <w:t xml:space="preserve"> </w:t>
      </w:r>
      <w:r w:rsidR="00A445FD">
        <w:t>The view was also expressed that a</w:t>
      </w:r>
      <w:r w:rsidR="00CB6C59">
        <w:t xml:space="preserve"> financial buyer would have the ability to be much tougher in its management of working capital.</w:t>
      </w:r>
    </w:p>
    <w:p w14:paraId="64489C3A" w14:textId="0A7B6071" w:rsidR="001E2F6C" w:rsidRDefault="001E2F6C" w:rsidP="00667FDC">
      <w:pPr>
        <w:pStyle w:val="BodyText"/>
      </w:pPr>
      <w:r>
        <w:t>Heads of terms were agree</w:t>
      </w:r>
      <w:r w:rsidR="00542AC6">
        <w:t>d</w:t>
      </w:r>
      <w:r>
        <w:t xml:space="preserve"> with OpCapita</w:t>
      </w:r>
      <w:r w:rsidR="00016E7A">
        <w:t xml:space="preserve"> on </w:t>
      </w:r>
      <w:r w:rsidR="00542AC6">
        <w:t>13 October 20</w:t>
      </w:r>
      <w:r w:rsidR="00C122F6">
        <w:t>11.</w:t>
      </w:r>
      <w:r w:rsidR="00B9468F">
        <w:t xml:space="preserve"> In summary, th</w:t>
      </w:r>
      <w:r w:rsidR="004C350D">
        <w:t>ese</w:t>
      </w:r>
      <w:r w:rsidR="00B9468F">
        <w:t xml:space="preserve"> envisaged</w:t>
      </w:r>
      <w:r w:rsidR="0063449B">
        <w:t xml:space="preserve"> a sale of Comet and Triptych</w:t>
      </w:r>
      <w:r w:rsidR="00574002">
        <w:t xml:space="preserve"> for £1. </w:t>
      </w:r>
      <w:r w:rsidR="002D408E">
        <w:t>OpCapita</w:t>
      </w:r>
      <w:r w:rsidR="009C632A">
        <w:t xml:space="preserve"> would ensure that the purchasing vehicle</w:t>
      </w:r>
      <w:r w:rsidR="00863755">
        <w:t xml:space="preserve"> (Newco)</w:t>
      </w:r>
      <w:r w:rsidR="009C632A">
        <w:t xml:space="preserve"> was capitalised </w:t>
      </w:r>
      <w:r w:rsidR="00047080">
        <w:t xml:space="preserve">with </w:t>
      </w:r>
      <w:r w:rsidR="00CF4FA2">
        <w:t xml:space="preserve">at least £30m of share capital and a committed £40m ABL facility. </w:t>
      </w:r>
      <w:r w:rsidR="00150297">
        <w:t>Ke</w:t>
      </w:r>
      <w:r w:rsidR="006D4C28">
        <w:t>sa</w:t>
      </w:r>
      <w:r w:rsidR="00150297">
        <w:t xml:space="preserve"> would retain the DB Scheme</w:t>
      </w:r>
      <w:r w:rsidR="00C10428">
        <w:t xml:space="preserve"> and provide £50m of </w:t>
      </w:r>
      <w:r w:rsidR="00736A27">
        <w:t xml:space="preserve">share </w:t>
      </w:r>
      <w:r w:rsidR="00C10428">
        <w:t>capital</w:t>
      </w:r>
      <w:r w:rsidR="00736A27">
        <w:t xml:space="preserve"> to Newco</w:t>
      </w:r>
      <w:r w:rsidR="00150297">
        <w:t xml:space="preserve">. </w:t>
      </w:r>
      <w:r w:rsidR="00FE518F">
        <w:t xml:space="preserve">A </w:t>
      </w:r>
      <w:r w:rsidR="00C07111">
        <w:t xml:space="preserve">form of </w:t>
      </w:r>
      <w:r w:rsidR="00FE518F">
        <w:t>“locked box”</w:t>
      </w:r>
      <w:r w:rsidR="00890169">
        <w:t xml:space="preserve"> </w:t>
      </w:r>
      <w:r w:rsidR="00C07111">
        <w:t xml:space="preserve">mechanism </w:t>
      </w:r>
      <w:r w:rsidR="00212C47">
        <w:t>was envisaged by reference to the 30 April 2011 balance sheet</w:t>
      </w:r>
      <w:r w:rsidR="001B1E1C">
        <w:t xml:space="preserve"> (as to which see further below)</w:t>
      </w:r>
      <w:r w:rsidR="00C476C5">
        <w:t>, with forecast net debt</w:t>
      </w:r>
      <w:r w:rsidR="00D979DD">
        <w:t xml:space="preserve"> </w:t>
      </w:r>
      <w:r w:rsidR="00356520">
        <w:t>owed by Comet</w:t>
      </w:r>
      <w:r w:rsidR="004E277D">
        <w:t xml:space="preserve"> of </w:t>
      </w:r>
      <w:r w:rsidR="00610DAC">
        <w:t>£26.9m,</w:t>
      </w:r>
      <w:r w:rsidR="00D979DD">
        <w:t xml:space="preserve"> </w:t>
      </w:r>
      <w:r w:rsidR="003C0ACC">
        <w:t xml:space="preserve">the calculation of which </w:t>
      </w:r>
      <w:r w:rsidR="00D979DD">
        <w:t>includ</w:t>
      </w:r>
      <w:r w:rsidR="003C0ACC">
        <w:t>ed</w:t>
      </w:r>
      <w:r w:rsidR="00D979DD">
        <w:t xml:space="preserve"> £42.5m owed to Kesa</w:t>
      </w:r>
      <w:r w:rsidR="00212C47">
        <w:t>.</w:t>
      </w:r>
      <w:r w:rsidR="003000B8">
        <w:t xml:space="preserve"> </w:t>
      </w:r>
      <w:r w:rsidR="00574002">
        <w:t>The target date for completion was 3 February 2012</w:t>
      </w:r>
      <w:r w:rsidR="00327EA9">
        <w:t>, a date chosen to ensure that</w:t>
      </w:r>
      <w:r w:rsidR="001F4437">
        <w:t xml:space="preserve"> </w:t>
      </w:r>
      <w:r w:rsidR="00C945EF">
        <w:t>OpCapita took over</w:t>
      </w:r>
      <w:r w:rsidR="009F6DD2">
        <w:t xml:space="preserve"> immediately</w:t>
      </w:r>
      <w:r w:rsidR="00C945EF">
        <w:t xml:space="preserve"> after the peak trading season,</w:t>
      </w:r>
      <w:r w:rsidR="001416DB">
        <w:t xml:space="preserve"> at a point when working capital requirements were at their lowest</w:t>
      </w:r>
      <w:r w:rsidR="00212171">
        <w:t>, rather than</w:t>
      </w:r>
      <w:r w:rsidR="007B74AB">
        <w:t xml:space="preserve"> the originally planned earlier date which would have involved a change of ownership during the peak period</w:t>
      </w:r>
      <w:r w:rsidR="0062468F">
        <w:t xml:space="preserve">. </w:t>
      </w:r>
      <w:r w:rsidR="005246DB">
        <w:t xml:space="preserve">(This point is </w:t>
      </w:r>
      <w:r w:rsidR="005E2B6F">
        <w:t xml:space="preserve">also </w:t>
      </w:r>
      <w:r w:rsidR="005246DB">
        <w:t>reflected in the minutes of the 14 September meeting</w:t>
      </w:r>
      <w:r w:rsidR="005E2B6F">
        <w:t>, which</w:t>
      </w:r>
      <w:r w:rsidR="005246DB">
        <w:t xml:space="preserve"> note that completion in late January would allow the buyer nine months to improve working capital usage before the next peak period.</w:t>
      </w:r>
      <w:r w:rsidR="005E2B6F">
        <w:t>)</w:t>
      </w:r>
      <w:r w:rsidR="005246DB">
        <w:t xml:space="preserve"> </w:t>
      </w:r>
      <w:r w:rsidR="00214399">
        <w:t xml:space="preserve">There was also an undertaking from OpCapita to conduct the business of Comet as a going concern </w:t>
      </w:r>
      <w:bookmarkStart w:id="8" w:name="_Hlk117516888"/>
      <w:r w:rsidR="00214399">
        <w:t>for at least 18 months from completion</w:t>
      </w:r>
      <w:bookmarkEnd w:id="8"/>
      <w:r w:rsidR="00214399">
        <w:t>.</w:t>
      </w:r>
    </w:p>
    <w:p w14:paraId="7E0E8FC7" w14:textId="0F3FE2FC" w:rsidR="00A3639A" w:rsidRDefault="00D5249A" w:rsidP="00225A52">
      <w:pPr>
        <w:pStyle w:val="BodyText"/>
      </w:pPr>
      <w:bookmarkStart w:id="9" w:name="_Ref118105986"/>
      <w:r>
        <w:t xml:space="preserve">The </w:t>
      </w:r>
      <w:r w:rsidR="00B20997">
        <w:t xml:space="preserve">debt </w:t>
      </w:r>
      <w:r>
        <w:t xml:space="preserve">figures in the heads of terms reflected </w:t>
      </w:r>
      <w:r w:rsidR="00A4779A">
        <w:t xml:space="preserve">the way in which Comet’s figures were presented internally, namely on a consolidated basis with </w:t>
      </w:r>
      <w:r w:rsidR="00C636C1">
        <w:t xml:space="preserve">its sister entity Triptych. </w:t>
      </w:r>
      <w:r w:rsidR="00A34A7D">
        <w:t xml:space="preserve">As discussed further below, it became apparent </w:t>
      </w:r>
      <w:r w:rsidR="0042240F">
        <w:t xml:space="preserve">from an explanation given by </w:t>
      </w:r>
      <w:r w:rsidR="00DD11C8">
        <w:t>Mr</w:t>
      </w:r>
      <w:r w:rsidR="0042240F">
        <w:t xml:space="preserve"> Walters</w:t>
      </w:r>
      <w:r w:rsidR="00311ABB">
        <w:t xml:space="preserve"> at a </w:t>
      </w:r>
      <w:r w:rsidR="002C5CE8">
        <w:t xml:space="preserve">due diligence </w:t>
      </w:r>
      <w:r w:rsidR="00311ABB">
        <w:t xml:space="preserve">meeting </w:t>
      </w:r>
      <w:r w:rsidR="00B5142C">
        <w:t>on 18 October 2011 that</w:t>
      </w:r>
      <w:r w:rsidR="005F314E">
        <w:t>,</w:t>
      </w:r>
      <w:r w:rsidR="00B5142C">
        <w:t xml:space="preserve"> </w:t>
      </w:r>
      <w:r w:rsidR="00AE1337">
        <w:t xml:space="preserve">in addition to Comet being </w:t>
      </w:r>
      <w:r w:rsidR="00B5142C">
        <w:t>indebted to KIL</w:t>
      </w:r>
      <w:r w:rsidR="00AE1337">
        <w:t xml:space="preserve">, </w:t>
      </w:r>
      <w:r w:rsidR="00B5142C">
        <w:t>KI</w:t>
      </w:r>
      <w:r w:rsidR="00EF2005">
        <w:t>L</w:t>
      </w:r>
      <w:r w:rsidR="00B5142C">
        <w:t xml:space="preserve"> was indebted to Triptych</w:t>
      </w:r>
      <w:r w:rsidR="00EF2005">
        <w:t>, with</w:t>
      </w:r>
      <w:r w:rsidR="00AE1337">
        <w:t xml:space="preserve"> only the net </w:t>
      </w:r>
      <w:r w:rsidR="00EF2005">
        <w:t>figure appearing on consolidation</w:t>
      </w:r>
      <w:r w:rsidR="00AE1337">
        <w:t>.</w:t>
      </w:r>
      <w:bookmarkEnd w:id="9"/>
    </w:p>
    <w:p w14:paraId="28094CFA" w14:textId="1F88FB51" w:rsidR="007B3AE3" w:rsidRDefault="003062FE" w:rsidP="00245A67">
      <w:pPr>
        <w:pStyle w:val="BodyText"/>
      </w:pPr>
      <w:r>
        <w:t xml:space="preserve">The </w:t>
      </w:r>
      <w:r w:rsidR="008C479F">
        <w:t>s</w:t>
      </w:r>
      <w:r w:rsidR="005527D5">
        <w:t xml:space="preserve">hare purchase agreement </w:t>
      </w:r>
      <w:r w:rsidR="00F9539A">
        <w:t xml:space="preserve">(“SPA”) </w:t>
      </w:r>
      <w:r w:rsidR="005527D5">
        <w:t>was entered into on 9 November 2011</w:t>
      </w:r>
      <w:r w:rsidR="00556444">
        <w:t>.</w:t>
      </w:r>
      <w:r w:rsidR="00D16799">
        <w:t xml:space="preserve"> </w:t>
      </w:r>
      <w:r w:rsidR="00556444">
        <w:t>Its terms are</w:t>
      </w:r>
      <w:r w:rsidR="00F9539A">
        <w:t xml:space="preserve"> discussed further below. </w:t>
      </w:r>
      <w:r w:rsidR="000B7820">
        <w:t>Two days earlier, on 7 November 2011</w:t>
      </w:r>
      <w:r w:rsidR="00CD18A7">
        <w:t xml:space="preserve">, </w:t>
      </w:r>
      <w:r w:rsidR="00471483">
        <w:t>the sale</w:t>
      </w:r>
      <w:r w:rsidR="002C5D34">
        <w:t xml:space="preserve"> wa</w:t>
      </w:r>
      <w:r w:rsidR="00471483">
        <w:t xml:space="preserve">s approved by </w:t>
      </w:r>
      <w:r w:rsidR="00CD18A7">
        <w:t>KEP’s Board</w:t>
      </w:r>
      <w:r w:rsidR="00C950B1">
        <w:t xml:space="preserve">. </w:t>
      </w:r>
      <w:r w:rsidR="007B3AE3">
        <w:t>The briefing paper presented to the Board</w:t>
      </w:r>
      <w:r w:rsidR="002E03EE">
        <w:t xml:space="preserve"> </w:t>
      </w:r>
      <w:r w:rsidR="006B3685">
        <w:t>broadly reflected the paper for the September Board</w:t>
      </w:r>
      <w:r w:rsidR="0097645B">
        <w:t xml:space="preserve"> meeting</w:t>
      </w:r>
      <w:r w:rsidR="006B3685">
        <w:t xml:space="preserve"> in terms of the options available</w:t>
      </w:r>
      <w:r w:rsidR="000969C8">
        <w:t>, and summarised the proposed</w:t>
      </w:r>
      <w:r w:rsidR="00A3220D">
        <w:t xml:space="preserve"> transaction</w:t>
      </w:r>
      <w:r w:rsidR="000969C8">
        <w:t xml:space="preserve"> term</w:t>
      </w:r>
      <w:r w:rsidR="00A3220D">
        <w:t>s</w:t>
      </w:r>
      <w:r w:rsidR="00C82007">
        <w:t xml:space="preserve">. </w:t>
      </w:r>
      <w:r w:rsidR="00FA5FB2">
        <w:t>It includes revised forecast numbers</w:t>
      </w:r>
      <w:r w:rsidR="004865AC">
        <w:t xml:space="preserve"> </w:t>
      </w:r>
      <w:r w:rsidR="008865AF">
        <w:t>for</w:t>
      </w:r>
      <w:r w:rsidR="004865AC">
        <w:t xml:space="preserve"> the turnaround plan</w:t>
      </w:r>
      <w:r w:rsidR="00F0148F">
        <w:t xml:space="preserve">, with the “high case” </w:t>
      </w:r>
      <w:r w:rsidR="00D24832">
        <w:t xml:space="preserve">returning to </w:t>
      </w:r>
      <w:r w:rsidR="002C0999">
        <w:t xml:space="preserve">modest </w:t>
      </w:r>
      <w:r w:rsidR="00D24832">
        <w:t xml:space="preserve">positive </w:t>
      </w:r>
      <w:r w:rsidR="005E4F19">
        <w:t>cash flow in FY2014 and the “low case”</w:t>
      </w:r>
      <w:r w:rsidR="00B25DA8">
        <w:t xml:space="preserve"> remaining loss making through to 2017 and beyond.</w:t>
      </w:r>
    </w:p>
    <w:p w14:paraId="7E8FEF4E" w14:textId="680CA324" w:rsidR="00057B47" w:rsidRDefault="00A23639" w:rsidP="00667FDC">
      <w:pPr>
        <w:pStyle w:val="BodyText"/>
      </w:pPr>
      <w:bookmarkStart w:id="10" w:name="_Ref118195941"/>
      <w:r>
        <w:t xml:space="preserve">The draft </w:t>
      </w:r>
      <w:r w:rsidR="00DA7624">
        <w:t>B</w:t>
      </w:r>
      <w:r>
        <w:t xml:space="preserve">oard minutes </w:t>
      </w:r>
      <w:r w:rsidR="00ED7A7B">
        <w:t xml:space="preserve">that are </w:t>
      </w:r>
      <w:r>
        <w:t>available record that</w:t>
      </w:r>
      <w:r w:rsidR="00625C86">
        <w:t xml:space="preserve"> market conditions were “increasingly tough and likely to remain so”, that the turnaround had a “very high execution risk resulting in a high risk of incurring substantial losses”</w:t>
      </w:r>
      <w:r w:rsidR="00B0169A">
        <w:t xml:space="preserve"> </w:t>
      </w:r>
      <w:r w:rsidR="008101CC">
        <w:t xml:space="preserve">and </w:t>
      </w:r>
      <w:r w:rsidR="00B0169A">
        <w:t>that the purchaser</w:t>
      </w:r>
      <w:r w:rsidR="008101CC">
        <w:t xml:space="preserve"> would </w:t>
      </w:r>
      <w:r w:rsidR="00B0169A">
        <w:t>be running Comet “for cash, rather than profit”</w:t>
      </w:r>
      <w:r w:rsidR="008101CC">
        <w:t>.</w:t>
      </w:r>
      <w:r w:rsidR="00697AFB">
        <w:t xml:space="preserve"> It was noted that if the deal failed then “Plan B”</w:t>
      </w:r>
      <w:r w:rsidR="00571E50">
        <w:t xml:space="preserve"> would </w:t>
      </w:r>
      <w:r w:rsidR="00697AFB">
        <w:t>be to</w:t>
      </w:r>
      <w:r w:rsidR="00571E50">
        <w:t xml:space="preserve"> “continue implementing the existing turnaround plan”. There was also a reference to meetings</w:t>
      </w:r>
      <w:r w:rsidR="00C0077F">
        <w:t xml:space="preserve"> with credit insurers</w:t>
      </w:r>
      <w:r w:rsidR="00CF0F76">
        <w:t xml:space="preserve"> and planned meetings with suppliers.</w:t>
      </w:r>
      <w:r w:rsidR="00577014">
        <w:t xml:space="preserve"> </w:t>
      </w:r>
      <w:bookmarkEnd w:id="10"/>
    </w:p>
    <w:p w14:paraId="51F8AA9F" w14:textId="0BBD9C24" w:rsidR="0062617E" w:rsidRDefault="00057B47" w:rsidP="00667FDC">
      <w:pPr>
        <w:pStyle w:val="BodyText"/>
      </w:pPr>
      <w:r>
        <w:t xml:space="preserve">One </w:t>
      </w:r>
      <w:r w:rsidR="00CE447B">
        <w:t>of the workstreams</w:t>
      </w:r>
      <w:r w:rsidR="00861B67">
        <w:t xml:space="preserve"> arising from the proposed</w:t>
      </w:r>
      <w:r w:rsidR="00BA3E9A">
        <w:t xml:space="preserve"> Disposal</w:t>
      </w:r>
      <w:r w:rsidR="00CE447B">
        <w:t xml:space="preserve"> related to the steps that needed to be taken </w:t>
      </w:r>
      <w:r w:rsidR="002C41EA">
        <w:t xml:space="preserve">for Comet to withdraw as principal employer of the DB Scheme. </w:t>
      </w:r>
      <w:r w:rsidR="00AC452E">
        <w:t>This raised the issue of the comparative str</w:t>
      </w:r>
      <w:r w:rsidR="00022D27">
        <w:t>ength of the covenant that KEP could offer as compared to Comet</w:t>
      </w:r>
      <w:r w:rsidR="002D6A47">
        <w:t xml:space="preserve">, due to the structural subordination involved in </w:t>
      </w:r>
      <w:r w:rsidR="00756EDC">
        <w:t>having a claim only against a holding company rather than a trading entity</w:t>
      </w:r>
      <w:r w:rsidR="00022D27">
        <w:t>.</w:t>
      </w:r>
      <w:r w:rsidR="00864019">
        <w:t xml:space="preserve"> </w:t>
      </w:r>
      <w:r w:rsidR="0062617E">
        <w:t xml:space="preserve">Ultimately the </w:t>
      </w:r>
      <w:r w:rsidR="00F44013">
        <w:t>issue was resolved by an arrangement</w:t>
      </w:r>
      <w:r w:rsidR="000E2570">
        <w:t>,</w:t>
      </w:r>
      <w:r w:rsidR="00F44013">
        <w:t xml:space="preserve"> cleared by the Pension</w:t>
      </w:r>
      <w:r w:rsidR="000E2570">
        <w:t>s</w:t>
      </w:r>
      <w:r w:rsidR="00F44013">
        <w:t xml:space="preserve"> </w:t>
      </w:r>
      <w:r w:rsidR="00903ED8">
        <w:t>R</w:t>
      </w:r>
      <w:r w:rsidR="00F44013">
        <w:t xml:space="preserve">egulator, under which </w:t>
      </w:r>
      <w:r w:rsidR="00997941">
        <w:t>KEP took on responsibility for the DB Scheme on terms that required</w:t>
      </w:r>
      <w:r w:rsidR="00534B29">
        <w:t xml:space="preserve"> increased deficit contributions of £10m per annum</w:t>
      </w:r>
      <w:r w:rsidR="00903ED8">
        <w:t xml:space="preserve">, and </w:t>
      </w:r>
      <w:r w:rsidR="002801AB">
        <w:t>support from</w:t>
      </w:r>
      <w:r w:rsidR="00903ED8">
        <w:t xml:space="preserve"> KIL and KHL</w:t>
      </w:r>
      <w:r w:rsidR="000E2570">
        <w:t>.</w:t>
      </w:r>
    </w:p>
    <w:p w14:paraId="0F6E6D62" w14:textId="0DE416C5" w:rsidR="00782691" w:rsidRDefault="00742A15" w:rsidP="004E4DDF">
      <w:pPr>
        <w:pStyle w:val="BodyText"/>
      </w:pPr>
      <w:r>
        <w:t xml:space="preserve">Of particular relevance for present purposes is that </w:t>
      </w:r>
      <w:r w:rsidR="00814F69">
        <w:t xml:space="preserve">one part of </w:t>
      </w:r>
      <w:r>
        <w:t>t</w:t>
      </w:r>
      <w:r w:rsidR="00E12826">
        <w:t xml:space="preserve">he process that led to </w:t>
      </w:r>
      <w:r>
        <w:t xml:space="preserve">the </w:t>
      </w:r>
      <w:r w:rsidR="00814F69">
        <w:t xml:space="preserve">pensions issue </w:t>
      </w:r>
      <w:r w:rsidR="00E12826">
        <w:t xml:space="preserve">being resolved </w:t>
      </w:r>
      <w:r w:rsidR="00DE7A28">
        <w:t>involved</w:t>
      </w:r>
      <w:r w:rsidR="000F6C4F">
        <w:t xml:space="preserve"> a covenant review by</w:t>
      </w:r>
      <w:r w:rsidR="00DE7A28">
        <w:t xml:space="preserve"> </w:t>
      </w:r>
      <w:r w:rsidR="009B5224">
        <w:t>Ernst &amp; Young (“EY”)</w:t>
      </w:r>
      <w:r w:rsidR="00B34C4C">
        <w:t>.</w:t>
      </w:r>
      <w:r w:rsidR="008A3AC9">
        <w:t xml:space="preserve"> </w:t>
      </w:r>
      <w:r w:rsidR="00617323">
        <w:t>The final dr</w:t>
      </w:r>
      <w:r w:rsidR="00EE32FB">
        <w:t>aft of their report</w:t>
      </w:r>
      <w:r w:rsidR="00EF558E">
        <w:t>,</w:t>
      </w:r>
      <w:r w:rsidR="00EE32FB">
        <w:t xml:space="preserve"> dated 15 December </w:t>
      </w:r>
      <w:r w:rsidR="00FE5596">
        <w:t>2011</w:t>
      </w:r>
      <w:r w:rsidR="00EF558E">
        <w:t>,</w:t>
      </w:r>
      <w:r w:rsidR="004608E2">
        <w:t xml:space="preserve"> </w:t>
      </w:r>
      <w:r w:rsidR="00FE5596">
        <w:t xml:space="preserve">suggested that the DB Scheme would </w:t>
      </w:r>
      <w:r w:rsidR="00D95A4C">
        <w:t>receive a dividend</w:t>
      </w:r>
      <w:r w:rsidR="00DE7A28">
        <w:t xml:space="preserve"> </w:t>
      </w:r>
      <w:r w:rsidR="00D95A4C">
        <w:t xml:space="preserve">of between </w:t>
      </w:r>
      <w:r w:rsidR="00EE32FB">
        <w:t>3.3p</w:t>
      </w:r>
      <w:r w:rsidR="005162E1">
        <w:t>/£</w:t>
      </w:r>
      <w:r w:rsidR="00EE32FB">
        <w:t xml:space="preserve"> </w:t>
      </w:r>
      <w:r w:rsidR="00D67A45">
        <w:t xml:space="preserve">and </w:t>
      </w:r>
      <w:r w:rsidR="00EE32FB">
        <w:t>13</w:t>
      </w:r>
      <w:r w:rsidR="00D67A45">
        <w:t>p</w:t>
      </w:r>
      <w:r w:rsidR="005162E1">
        <w:t>/£</w:t>
      </w:r>
      <w:r w:rsidR="00D67A45">
        <w:t xml:space="preserve"> as an unsecured creditor in a Comet insolvency, </w:t>
      </w:r>
      <w:r w:rsidR="006E77B1">
        <w:t>based on a claim of £307m.</w:t>
      </w:r>
      <w:r w:rsidR="00F03001" w:rsidRPr="00F03001">
        <w:t xml:space="preserve"> </w:t>
      </w:r>
    </w:p>
    <w:p w14:paraId="0C82C39B" w14:textId="4DEF5CDC" w:rsidR="00DB2DD6" w:rsidRDefault="00581A59" w:rsidP="004E4DDF">
      <w:pPr>
        <w:pStyle w:val="BodyText"/>
      </w:pPr>
      <w:bookmarkStart w:id="11" w:name="_Ref118103555"/>
      <w:r>
        <w:t>Another workstream related to credit insurers</w:t>
      </w:r>
      <w:r w:rsidR="004029DD">
        <w:t xml:space="preserve">. </w:t>
      </w:r>
      <w:r w:rsidR="00EA5019">
        <w:t xml:space="preserve">Shortly before the SPA was signed </w:t>
      </w:r>
      <w:r w:rsidR="00D02A59">
        <w:t xml:space="preserve">a presentation was made to </w:t>
      </w:r>
      <w:r w:rsidR="00E1721C">
        <w:t xml:space="preserve">a </w:t>
      </w:r>
      <w:r w:rsidR="00C23066">
        <w:t>number of credit insurers</w:t>
      </w:r>
      <w:r w:rsidR="000D4CBF">
        <w:t xml:space="preserve">, at which </w:t>
      </w:r>
      <w:r w:rsidR="00B80031">
        <w:t>Kesa (and in particular Mr Platt) introduced OpCapita</w:t>
      </w:r>
      <w:r w:rsidR="00894C56">
        <w:t xml:space="preserve"> and its plans for Co</w:t>
      </w:r>
      <w:r w:rsidR="008126BC">
        <w:t>met</w:t>
      </w:r>
      <w:r w:rsidR="00894C56">
        <w:t>. Mr Darke w</w:t>
      </w:r>
      <w:r w:rsidR="00F66938">
        <w:t>as</w:t>
      </w:r>
      <w:r w:rsidR="00894C56">
        <w:t xml:space="preserve"> also involved</w:t>
      </w:r>
      <w:r w:rsidR="00F66938">
        <w:t>, along with</w:t>
      </w:r>
      <w:r w:rsidR="00F66938" w:rsidRPr="00F66938">
        <w:t xml:space="preserve"> </w:t>
      </w:r>
      <w:r w:rsidR="00F66938">
        <w:t>John Clare, whose role is discussed below</w:t>
      </w:r>
      <w:r w:rsidR="00894C56">
        <w:t>.</w:t>
      </w:r>
      <w:r w:rsidR="008126BC">
        <w:t xml:space="preserve"> Mr Platt explained </w:t>
      </w:r>
      <w:r w:rsidR="000C349C">
        <w:t xml:space="preserve">in his evidence </w:t>
      </w:r>
      <w:r w:rsidR="008126BC">
        <w:t>that the idea was to give OpCapita a “long runway”</w:t>
      </w:r>
      <w:r w:rsidR="0093085D">
        <w:t xml:space="preserve"> before completion</w:t>
      </w:r>
      <w:r w:rsidR="00162CB9">
        <w:t>,</w:t>
      </w:r>
      <w:r w:rsidR="008C6CC2">
        <w:t xml:space="preserve"> and before the next peak</w:t>
      </w:r>
      <w:r w:rsidR="0093085D">
        <w:t xml:space="preserve"> </w:t>
      </w:r>
      <w:r w:rsidR="008C6CC2">
        <w:t xml:space="preserve">trading period, </w:t>
      </w:r>
      <w:r w:rsidR="0093085D">
        <w:t>to build up their relationship with the credit insurers</w:t>
      </w:r>
      <w:r w:rsidR="00B57023">
        <w:t>.</w:t>
      </w:r>
      <w:bookmarkEnd w:id="11"/>
    </w:p>
    <w:p w14:paraId="2E62427E" w14:textId="47BE14CA" w:rsidR="00B57023" w:rsidRDefault="00B57023" w:rsidP="004E4DDF">
      <w:pPr>
        <w:pStyle w:val="BodyText"/>
      </w:pPr>
      <w:bookmarkStart w:id="12" w:name="_Ref118103631"/>
      <w:r>
        <w:t>The presentation document</w:t>
      </w:r>
      <w:r w:rsidR="00492F8D">
        <w:t xml:space="preserve"> states that the parties had “devoted considerable resources” to addressing issues</w:t>
      </w:r>
      <w:r w:rsidR="00CA06EC">
        <w:t xml:space="preserve"> of </w:t>
      </w:r>
      <w:r w:rsidR="00492F8D">
        <w:t>“ample liquidity</w:t>
      </w:r>
      <w:r w:rsidR="00CA06EC">
        <w:t>”, timing and “stability and support”</w:t>
      </w:r>
      <w:r w:rsidR="00021D1A">
        <w:t>. It states that Comet would have £120m of liquidity available,</w:t>
      </w:r>
      <w:r w:rsidR="00D704CB">
        <w:t xml:space="preserve"> comprising contributions by </w:t>
      </w:r>
      <w:r w:rsidR="00021D1A">
        <w:t>Kesa and OpCapita</w:t>
      </w:r>
      <w:r w:rsidR="00D704CB">
        <w:t xml:space="preserve"> of </w:t>
      </w:r>
      <w:r w:rsidR="00FC284E">
        <w:t>£50</w:t>
      </w:r>
      <w:r w:rsidR="00D704CB">
        <w:t>m</w:t>
      </w:r>
      <w:r w:rsidR="00FC284E">
        <w:t xml:space="preserve"> and £30</w:t>
      </w:r>
      <w:r w:rsidR="00D704CB">
        <w:t>m</w:t>
      </w:r>
      <w:r w:rsidR="00FC284E">
        <w:t xml:space="preserve"> respectively, and a £40</w:t>
      </w:r>
      <w:r w:rsidR="00D704CB">
        <w:t>m</w:t>
      </w:r>
      <w:r w:rsidR="00FC284E">
        <w:t xml:space="preserve"> ABL facility</w:t>
      </w:r>
      <w:r w:rsidR="00D704CB">
        <w:t>.</w:t>
      </w:r>
      <w:r w:rsidR="003553BD">
        <w:t xml:space="preserve"> An “indicative deal structure</w:t>
      </w:r>
      <w:r w:rsidR="001C3269">
        <w:t>” chart shows the £80m from Kesa and OpCapita being injected</w:t>
      </w:r>
      <w:r w:rsidR="004878CF">
        <w:t xml:space="preserve"> into Comet by the purchasing vehicle</w:t>
      </w:r>
      <w:r w:rsidR="007F1D30">
        <w:t xml:space="preserve"> as a revolving facility to fund day-to-day working capital requirements</w:t>
      </w:r>
      <w:r w:rsidR="004878CF">
        <w:t xml:space="preserve">, as well as </w:t>
      </w:r>
      <w:r w:rsidR="0046657C">
        <w:t>supplemental liquidity available</w:t>
      </w:r>
      <w:r w:rsidR="00403248">
        <w:t xml:space="preserve"> to Comet directly</w:t>
      </w:r>
      <w:r w:rsidR="0046657C">
        <w:t xml:space="preserve"> via </w:t>
      </w:r>
      <w:r w:rsidR="004878CF">
        <w:t>the ABL facility.</w:t>
      </w:r>
      <w:bookmarkEnd w:id="12"/>
    </w:p>
    <w:p w14:paraId="5D446646" w14:textId="63F39ED7" w:rsidR="000D62AB" w:rsidRDefault="003D5E9F" w:rsidP="004E4DDF">
      <w:pPr>
        <w:pStyle w:val="BodyText"/>
      </w:pPr>
      <w:bookmarkStart w:id="13" w:name="_Ref117849417"/>
      <w:r>
        <w:t xml:space="preserve">In the event, Comet’s credit </w:t>
      </w:r>
      <w:r w:rsidR="00130623">
        <w:t>insurers</w:t>
      </w:r>
      <w:r>
        <w:t xml:space="preserve"> ceased to provide cover in</w:t>
      </w:r>
      <w:r w:rsidR="00130623">
        <w:t xml:space="preserve"> respect of Comet</w:t>
      </w:r>
      <w:r>
        <w:t xml:space="preserve"> </w:t>
      </w:r>
      <w:r w:rsidR="00130623">
        <w:t xml:space="preserve">in </w:t>
      </w:r>
      <w:r>
        <w:t>late</w:t>
      </w:r>
      <w:r w:rsidR="00130623">
        <w:t xml:space="preserve"> January</w:t>
      </w:r>
      <w:r>
        <w:t xml:space="preserve"> 2012</w:t>
      </w:r>
      <w:r w:rsidR="00E929A9">
        <w:t xml:space="preserve">. Mr Platt’s </w:t>
      </w:r>
      <w:r w:rsidR="0045413B">
        <w:t>evidence was that</w:t>
      </w:r>
      <w:r w:rsidR="00F73983">
        <w:t>, on the assumption that</w:t>
      </w:r>
      <w:r w:rsidR="0045413B">
        <w:t xml:space="preserve"> </w:t>
      </w:r>
      <w:r w:rsidR="00F73983">
        <w:t>the £120m of capital was in place</w:t>
      </w:r>
      <w:r w:rsidR="00E566A0">
        <w:t xml:space="preserve"> – a point about whi</w:t>
      </w:r>
      <w:r w:rsidR="00C22E4D">
        <w:t>ch Kesa had been clear in negotiations</w:t>
      </w:r>
      <w:r w:rsidR="00F7686C">
        <w:t xml:space="preserve"> and which was reflected in the </w:t>
      </w:r>
      <w:r w:rsidR="00314644">
        <w:t>transaction</w:t>
      </w:r>
      <w:r w:rsidR="00F7686C">
        <w:t xml:space="preserve"> documents</w:t>
      </w:r>
      <w:r w:rsidR="00C22E4D">
        <w:t xml:space="preserve"> –</w:t>
      </w:r>
      <w:r w:rsidR="005C4AC3">
        <w:t xml:space="preserve"> this did not impact </w:t>
      </w:r>
      <w:r w:rsidR="00E566A0">
        <w:t>solvency</w:t>
      </w:r>
      <w:r w:rsidR="005C4AC3">
        <w:t xml:space="preserve"> because the peak trading period was then over</w:t>
      </w:r>
      <w:r w:rsidR="00C22E4D">
        <w:t>.</w:t>
      </w:r>
      <w:r w:rsidR="00F73983">
        <w:t xml:space="preserve"> </w:t>
      </w:r>
      <w:bookmarkEnd w:id="13"/>
    </w:p>
    <w:p w14:paraId="65DC6373" w14:textId="725086D3" w:rsidR="00A721D7" w:rsidRDefault="00063F89" w:rsidP="004E4DDF">
      <w:pPr>
        <w:pStyle w:val="BodyText"/>
      </w:pPr>
      <w:r>
        <w:t>Kesa also had to seek shareholder approval</w:t>
      </w:r>
      <w:r w:rsidR="00314644">
        <w:t xml:space="preserve">, which it obtained on </w:t>
      </w:r>
      <w:r w:rsidR="007C0F0C">
        <w:t>15 December 2011</w:t>
      </w:r>
      <w:r>
        <w:t xml:space="preserve">. The circular states </w:t>
      </w:r>
      <w:r w:rsidR="006D7CE3">
        <w:t>that:</w:t>
      </w:r>
    </w:p>
    <w:p w14:paraId="61B27278" w14:textId="597E0E0B" w:rsidR="006D7CE3" w:rsidRDefault="002B61C4" w:rsidP="006D7CE3">
      <w:pPr>
        <w:pStyle w:val="Citations"/>
      </w:pPr>
      <w:r w:rsidRPr="002B61C4">
        <w:t>“[t]he Board believes that the proposed capital structure of Hailey 2 LP</w:t>
      </w:r>
      <w:r w:rsidR="00904175">
        <w:t xml:space="preserve"> [the parent acquisition vehicle</w:t>
      </w:r>
      <w:r w:rsidR="00E1362A">
        <w:t>, see below]</w:t>
      </w:r>
      <w:r w:rsidRPr="002B61C4">
        <w:t xml:space="preserve"> gives Comet the funding capacity to operate in the current trading environment. It is the Purchasers’ current intention to conduct the business of Comet as a going concern for at least 18 months from the Completion Date</w:t>
      </w:r>
      <w:r w:rsidR="00275A93">
        <w:t>.”</w:t>
      </w:r>
    </w:p>
    <w:p w14:paraId="44CC4130" w14:textId="554D7CAD" w:rsidR="00275A93" w:rsidRDefault="007C0F0C" w:rsidP="00275A93">
      <w:pPr>
        <w:pStyle w:val="BodyText"/>
      </w:pPr>
      <w:bookmarkStart w:id="14" w:name="_Ref117595132"/>
      <w:r>
        <w:t>In December 2011 Alvarez &amp; Marsal</w:t>
      </w:r>
      <w:r w:rsidR="00C41972">
        <w:t xml:space="preserve"> began working with Comet’s managemen</w:t>
      </w:r>
      <w:r w:rsidR="002A14D6">
        <w:t>t on the development of a “100 day”</w:t>
      </w:r>
      <w:r w:rsidR="008D67C4">
        <w:t xml:space="preserve"> restructuring plan</w:t>
      </w:r>
      <w:r w:rsidR="00B41F27">
        <w:t xml:space="preserve"> and a financial plan for the first 18 months post-acquisition</w:t>
      </w:r>
      <w:r w:rsidR="00EB5C79">
        <w:t>, including cash-flow projections</w:t>
      </w:r>
      <w:r w:rsidR="00B41F27">
        <w:t>.</w:t>
      </w:r>
      <w:bookmarkEnd w:id="14"/>
    </w:p>
    <w:p w14:paraId="18B4D7B6" w14:textId="2FD2606B" w:rsidR="00603959" w:rsidRDefault="00B63BE8" w:rsidP="00275A93">
      <w:pPr>
        <w:pStyle w:val="BodyText"/>
      </w:pPr>
      <w:r>
        <w:t>Up to the point that the SPA was signed, Mr Darke and Mr Walters had very little involvement in the</w:t>
      </w:r>
      <w:r w:rsidR="00473C6E">
        <w:t xml:space="preserve"> </w:t>
      </w:r>
      <w:r w:rsidR="00654B79">
        <w:t>D</w:t>
      </w:r>
      <w:r w:rsidR="00473C6E">
        <w:t xml:space="preserve">isposal. Mr Darke had been involved </w:t>
      </w:r>
      <w:r w:rsidR="003B21EB">
        <w:t xml:space="preserve">at an earlier stage </w:t>
      </w:r>
      <w:r w:rsidR="007D795D">
        <w:t>in the information memorandum</w:t>
      </w:r>
      <w:r w:rsidR="003B21EB">
        <w:t xml:space="preserve"> process, </w:t>
      </w:r>
      <w:r w:rsidR="000364FF">
        <w:t>and Mr Walters</w:t>
      </w:r>
      <w:r w:rsidR="000710F2">
        <w:t xml:space="preserve"> had attended a couple of meetings</w:t>
      </w:r>
      <w:r w:rsidR="00967116">
        <w:t xml:space="preserve">, one between Kesa and </w:t>
      </w:r>
      <w:r w:rsidR="00957141">
        <w:t xml:space="preserve">its advisers </w:t>
      </w:r>
      <w:r w:rsidR="00967116">
        <w:t>where the DB Scheme was discussed</w:t>
      </w:r>
      <w:r w:rsidR="00957141">
        <w:t xml:space="preserve">, and </w:t>
      </w:r>
      <w:r w:rsidR="00495DDE">
        <w:t xml:space="preserve">the </w:t>
      </w:r>
      <w:r w:rsidR="002C5CE8">
        <w:t xml:space="preserve">due diligence </w:t>
      </w:r>
      <w:r w:rsidR="004F140C">
        <w:t>meeting referred to at [</w:t>
      </w:r>
      <w:r w:rsidR="004F140C">
        <w:fldChar w:fldCharType="begin"/>
      </w:r>
      <w:r w:rsidR="004F140C">
        <w:instrText xml:space="preserve"> REF _Ref118105986 \r \h </w:instrText>
      </w:r>
      <w:r w:rsidR="004F140C">
        <w:fldChar w:fldCharType="separate"/>
      </w:r>
      <w:r w:rsidR="00E762C8">
        <w:t>26</w:t>
      </w:r>
      <w:r w:rsidR="004F140C">
        <w:fldChar w:fldCharType="end"/>
      </w:r>
      <w:r w:rsidR="004F140C">
        <w:t>] above</w:t>
      </w:r>
      <w:r w:rsidR="00B879BC">
        <w:t>. They only received copies of the SPA once it was signe</w:t>
      </w:r>
      <w:r w:rsidR="00E10B27">
        <w:t>d.</w:t>
      </w:r>
    </w:p>
    <w:p w14:paraId="4FAE70E5" w14:textId="41177932" w:rsidR="005650C6" w:rsidRDefault="00BD7744" w:rsidP="00720534">
      <w:pPr>
        <w:pStyle w:val="Heading2"/>
      </w:pPr>
      <w:r>
        <w:t xml:space="preserve">The structure and terms of </w:t>
      </w:r>
      <w:r w:rsidR="006319A7">
        <w:t xml:space="preserve">the </w:t>
      </w:r>
      <w:r w:rsidR="00641709">
        <w:t>D</w:t>
      </w:r>
      <w:r w:rsidR="006319A7">
        <w:t>isposal</w:t>
      </w:r>
    </w:p>
    <w:p w14:paraId="685FF51E" w14:textId="67D38CB8" w:rsidR="00782691" w:rsidRDefault="00087303" w:rsidP="00087303">
      <w:pPr>
        <w:pStyle w:val="Heading3"/>
      </w:pPr>
      <w:r>
        <w:t>OpCapita’s structure</w:t>
      </w:r>
    </w:p>
    <w:p w14:paraId="39CA647B" w14:textId="1AB305D5" w:rsidR="00087303" w:rsidRPr="00087303" w:rsidRDefault="00631066" w:rsidP="00087303">
      <w:pPr>
        <w:pStyle w:val="BodyText"/>
      </w:pPr>
      <w:r>
        <w:t>A three tier structure was established</w:t>
      </w:r>
      <w:r w:rsidR="006C6CBD">
        <w:t xml:space="preserve"> to make the acquisition. At the top was a limited partnership, Hailey 2</w:t>
      </w:r>
      <w:r w:rsidR="00C32A6B">
        <w:t xml:space="preserve"> LP (“H2L”)</w:t>
      </w:r>
      <w:r w:rsidR="00231DBD">
        <w:t>. H2L</w:t>
      </w:r>
      <w:r w:rsidR="0018360E">
        <w:t xml:space="preserve"> </w:t>
      </w:r>
      <w:r w:rsidR="0030067B">
        <w:t>owned</w:t>
      </w:r>
      <w:r w:rsidR="0030067B" w:rsidRPr="0030067B">
        <w:t xml:space="preserve"> Hailey Holdings Limited (“HHL”)</w:t>
      </w:r>
      <w:r w:rsidR="00231DBD">
        <w:t>, and</w:t>
      </w:r>
      <w:r w:rsidR="0030067B">
        <w:t xml:space="preserve"> HHL in turn owned </w:t>
      </w:r>
      <w:r w:rsidR="0030067B" w:rsidRPr="0030067B">
        <w:t>Hailey Acquisitions Limited (“HAL”)</w:t>
      </w:r>
      <w:r w:rsidR="0030067B">
        <w:t>.</w:t>
      </w:r>
      <w:r w:rsidR="00231DBD">
        <w:t xml:space="preserve"> Kesa’s</w:t>
      </w:r>
      <w:r w:rsidR="00CE7BF6">
        <w:t xml:space="preserve"> investment was to be at the top of the structure, in </w:t>
      </w:r>
      <w:r w:rsidR="009839D4">
        <w:t>H2L</w:t>
      </w:r>
      <w:r w:rsidR="00621AFB">
        <w:t>, alongside OpCapita, or more accurately</w:t>
      </w:r>
      <w:r w:rsidR="00F91B3E">
        <w:t xml:space="preserve"> an investor or</w:t>
      </w:r>
      <w:r w:rsidR="00621AFB">
        <w:t xml:space="preserve"> </w:t>
      </w:r>
      <w:r w:rsidR="001D642E">
        <w:t>investors procured by it (the “Investors”)</w:t>
      </w:r>
      <w:r w:rsidR="00546513">
        <w:t>.</w:t>
      </w:r>
      <w:r w:rsidR="00F15C4F">
        <w:t xml:space="preserve"> </w:t>
      </w:r>
    </w:p>
    <w:p w14:paraId="6BBA1690" w14:textId="0B896BC9" w:rsidR="00E27A5E" w:rsidRDefault="003012E9" w:rsidP="003012E9">
      <w:pPr>
        <w:pStyle w:val="Heading3"/>
      </w:pPr>
      <w:r>
        <w:t>The SPA</w:t>
      </w:r>
    </w:p>
    <w:p w14:paraId="4C373C6B" w14:textId="01EB6E8F" w:rsidR="00E03577" w:rsidRDefault="00E03577" w:rsidP="00312C5C">
      <w:pPr>
        <w:pStyle w:val="BodyText"/>
      </w:pPr>
      <w:r>
        <w:t>The parties to the SPA</w:t>
      </w:r>
      <w:r w:rsidR="006124AE">
        <w:t xml:space="preserve"> were KHL as seller of the shares, KEP,</w:t>
      </w:r>
      <w:r w:rsidR="00FF7E35">
        <w:t xml:space="preserve"> and </w:t>
      </w:r>
      <w:r w:rsidR="006124AE">
        <w:t>HHL and HAL</w:t>
      </w:r>
      <w:r w:rsidR="00FF7E35">
        <w:t xml:space="preserve"> as the purchasing entities</w:t>
      </w:r>
      <w:r w:rsidR="006124AE">
        <w:t>.</w:t>
      </w:r>
    </w:p>
    <w:p w14:paraId="191A1CD3" w14:textId="52E67D00" w:rsidR="006A7BA8" w:rsidRDefault="007A026D" w:rsidP="00312C5C">
      <w:pPr>
        <w:pStyle w:val="BodyText"/>
      </w:pPr>
      <w:r>
        <w:t xml:space="preserve">The SPA provided for the sale of the shares of </w:t>
      </w:r>
      <w:r w:rsidR="008F04E8">
        <w:t>Comet</w:t>
      </w:r>
      <w:r w:rsidR="00F62086">
        <w:t xml:space="preserve"> to </w:t>
      </w:r>
      <w:r w:rsidR="00201D1B">
        <w:t>HAL</w:t>
      </w:r>
      <w:r w:rsidR="008F04E8">
        <w:t xml:space="preserve"> and Triptych</w:t>
      </w:r>
      <w:r w:rsidR="00201D1B">
        <w:t xml:space="preserve"> to HHL, in each case</w:t>
      </w:r>
      <w:r w:rsidR="00506DC5">
        <w:t xml:space="preserve"> for £</w:t>
      </w:r>
      <w:r w:rsidR="00201D1B">
        <w:t>1</w:t>
      </w:r>
      <w:r w:rsidR="00506DC5">
        <w:t xml:space="preserve">, subject to the </w:t>
      </w:r>
      <w:r w:rsidR="00E958C2">
        <w:t>satisfaction of certain conditions</w:t>
      </w:r>
      <w:r w:rsidR="00757B55">
        <w:t xml:space="preserve">, the major ones being </w:t>
      </w:r>
      <w:r w:rsidR="00BC3677">
        <w:t>KEP</w:t>
      </w:r>
      <w:r w:rsidR="00113E33">
        <w:t xml:space="preserve"> </w:t>
      </w:r>
      <w:r w:rsidR="00E958C2">
        <w:t>shareholder approval</w:t>
      </w:r>
      <w:r w:rsidR="00143569">
        <w:t xml:space="preserve"> and </w:t>
      </w:r>
      <w:r w:rsidR="00B60A76">
        <w:t>the removal of Comet</w:t>
      </w:r>
      <w:r w:rsidR="00994246">
        <w:t xml:space="preserve"> from exposure to the DB Scheme.</w:t>
      </w:r>
      <w:r w:rsidR="00467CA0">
        <w:t xml:space="preserve"> There was a locked box mechanism by reference to</w:t>
      </w:r>
      <w:r w:rsidR="005E7D4C">
        <w:t xml:space="preserve"> the date of the last statutory accounts,</w:t>
      </w:r>
      <w:r w:rsidR="00467CA0">
        <w:t xml:space="preserve"> 30 A</w:t>
      </w:r>
      <w:r w:rsidR="005E7D4C">
        <w:t>pril 2011</w:t>
      </w:r>
      <w:r w:rsidR="004E4F24">
        <w:t xml:space="preserve">. </w:t>
      </w:r>
      <w:r w:rsidR="00625F56">
        <w:t>T</w:t>
      </w:r>
      <w:r w:rsidR="00245BD3">
        <w:t xml:space="preserve">he basic idea of a locked box </w:t>
      </w:r>
      <w:r w:rsidR="00901F27">
        <w:t xml:space="preserve">mechanism is that </w:t>
      </w:r>
      <w:r w:rsidR="00625F56">
        <w:t>the purchaser</w:t>
      </w:r>
      <w:r w:rsidR="00E62039">
        <w:t xml:space="preserve"> buys </w:t>
      </w:r>
      <w:r w:rsidR="00926295">
        <w:t>by referen</w:t>
      </w:r>
      <w:r w:rsidR="00E87E3B">
        <w:t>ce to the balance sheet at</w:t>
      </w:r>
      <w:r w:rsidR="00E62039">
        <w:t xml:space="preserve"> </w:t>
      </w:r>
      <w:r w:rsidR="00E87E3B">
        <w:t>the locked box date and</w:t>
      </w:r>
      <w:r w:rsidR="00625F56">
        <w:t xml:space="preserve"> </w:t>
      </w:r>
      <w:r w:rsidR="00A83F18">
        <w:t xml:space="preserve">takes the benefit </w:t>
      </w:r>
      <w:r w:rsidR="00E62039">
        <w:t xml:space="preserve">of profit, or the burden of losses, from </w:t>
      </w:r>
      <w:r w:rsidR="00E87E3B">
        <w:t xml:space="preserve">that point, with no </w:t>
      </w:r>
      <w:r w:rsidR="00B01FFD">
        <w:t xml:space="preserve">“leakage”, such as dividends or other unanticipated extractions of value, being </w:t>
      </w:r>
      <w:r w:rsidR="00E46B7C">
        <w:t>permitted.</w:t>
      </w:r>
    </w:p>
    <w:p w14:paraId="5E8B1E26" w14:textId="77777777" w:rsidR="008F1244" w:rsidRDefault="00916C88" w:rsidP="00312C5C">
      <w:pPr>
        <w:pStyle w:val="BodyText"/>
      </w:pPr>
      <w:bookmarkStart w:id="15" w:name="_Ref118144257"/>
      <w:r>
        <w:t>In this case, the locked box mechanism was modified, no doubt reflecting the anticipated need for KIL to continue to provide working capital to Comet over the peak period.</w:t>
      </w:r>
      <w:r w:rsidR="00284B47">
        <w:t xml:space="preserve"> The SPA envisaged that net debt would be determined as at 31 January 2012</w:t>
      </w:r>
      <w:r w:rsidR="00B347E7">
        <w:t xml:space="preserve">. </w:t>
      </w:r>
      <w:r w:rsidR="000008B4">
        <w:t>Clause 7.5 provided that the purchasers (HAL</w:t>
      </w:r>
      <w:r w:rsidR="001F34CD">
        <w:t xml:space="preserve"> and HHL)</w:t>
      </w:r>
      <w:r w:rsidR="000008B4">
        <w:t xml:space="preserve"> would procure that</w:t>
      </w:r>
      <w:r w:rsidR="001F34CD">
        <w:t xml:space="preserve"> intercompany balances owed</w:t>
      </w:r>
      <w:r w:rsidR="00AE7C69">
        <w:t xml:space="preserve"> by Comet and </w:t>
      </w:r>
      <w:r w:rsidR="004A28D5">
        <w:t>T</w:t>
      </w:r>
      <w:r w:rsidR="00AE7C69">
        <w:t>riptych</w:t>
      </w:r>
      <w:r w:rsidR="00302134">
        <w:t>, as</w:t>
      </w:r>
      <w:r w:rsidR="00403A74">
        <w:t xml:space="preserve"> </w:t>
      </w:r>
      <w:r w:rsidR="00302134">
        <w:t xml:space="preserve">determined at that date, </w:t>
      </w:r>
      <w:r w:rsidR="00AE7C69">
        <w:t>would be repaid at completion, and</w:t>
      </w:r>
      <w:r w:rsidR="00CA1BDF">
        <w:t xml:space="preserve"> the seller (KHL)</w:t>
      </w:r>
      <w:r w:rsidR="004A28D5">
        <w:t xml:space="preserve"> would procure that intercompany balances owed by the</w:t>
      </w:r>
      <w:r w:rsidR="00CE3DB4">
        <w:t xml:space="preserve"> retained Kesa group would be paid to Comet and Triptych</w:t>
      </w:r>
      <w:r w:rsidR="00F51D2B">
        <w:t>.</w:t>
      </w:r>
      <w:bookmarkEnd w:id="15"/>
      <w:r w:rsidR="00A25F7D">
        <w:t xml:space="preserve"> </w:t>
      </w:r>
    </w:p>
    <w:p w14:paraId="63E44B92" w14:textId="343CABC2" w:rsidR="00916C88" w:rsidRDefault="005A45DA" w:rsidP="00312C5C">
      <w:pPr>
        <w:pStyle w:val="BodyText"/>
      </w:pPr>
      <w:r>
        <w:t xml:space="preserve">The </w:t>
      </w:r>
      <w:r w:rsidR="008D4487">
        <w:t xml:space="preserve">SPA went </w:t>
      </w:r>
      <w:r w:rsidR="009A6924">
        <w:t>on to</w:t>
      </w:r>
      <w:r w:rsidR="00AD4CB1">
        <w:t xml:space="preserve"> set out further detail</w:t>
      </w:r>
      <w:r w:rsidR="0054371A">
        <w:t xml:space="preserve"> about how this would be achieved</w:t>
      </w:r>
      <w:r w:rsidR="00AD4CB1">
        <w:t>. In particular</w:t>
      </w:r>
      <w:r w:rsidR="0030220E">
        <w:t>,</w:t>
      </w:r>
      <w:r w:rsidR="009A6924">
        <w:t xml:space="preserve"> clause 8</w:t>
      </w:r>
      <w:r w:rsidR="0030220E">
        <w:t xml:space="preserve"> </w:t>
      </w:r>
      <w:r w:rsidR="009A6924">
        <w:t xml:space="preserve">required </w:t>
      </w:r>
      <w:r w:rsidR="0030220E">
        <w:t>all of the follo</w:t>
      </w:r>
      <w:r w:rsidR="00D26C6E">
        <w:t xml:space="preserve">wing </w:t>
      </w:r>
      <w:r w:rsidR="008D4487">
        <w:t xml:space="preserve">to occur </w:t>
      </w:r>
      <w:r w:rsidR="00987EC9">
        <w:t>“</w:t>
      </w:r>
      <w:r w:rsidR="008D4487">
        <w:t>prior to</w:t>
      </w:r>
      <w:r w:rsidR="00987EC9">
        <w:t>”</w:t>
      </w:r>
      <w:r w:rsidR="008D4487">
        <w:t xml:space="preserve"> completion</w:t>
      </w:r>
      <w:r w:rsidR="008D2D40">
        <w:t xml:space="preserve"> (although in fact</w:t>
      </w:r>
      <w:r w:rsidR="00192E7A">
        <w:t>, and rather inconsistently,</w:t>
      </w:r>
      <w:r w:rsidR="008D2D40">
        <w:t xml:space="preserve"> </w:t>
      </w:r>
      <w:r w:rsidR="004C4943">
        <w:t>Schedule 2 provided that any cash amounts would transfer only at completion</w:t>
      </w:r>
      <w:r w:rsidR="00192E7A">
        <w:t xml:space="preserve"> and </w:t>
      </w:r>
      <w:r w:rsidR="004436AC">
        <w:t xml:space="preserve">Board appointments would take effect immediately </w:t>
      </w:r>
      <w:r w:rsidR="00325C8D">
        <w:t>thereafter</w:t>
      </w:r>
      <w:r w:rsidR="004C4943">
        <w:t>)</w:t>
      </w:r>
      <w:r w:rsidR="00345F99">
        <w:t>:</w:t>
      </w:r>
    </w:p>
    <w:p w14:paraId="7497FFE7" w14:textId="7A2F19B3" w:rsidR="00345F99" w:rsidRDefault="00CA2EB3" w:rsidP="00345F99">
      <w:pPr>
        <w:pStyle w:val="BodyText"/>
        <w:numPr>
          <w:ilvl w:val="1"/>
          <w:numId w:val="1"/>
        </w:numPr>
      </w:pPr>
      <w:r>
        <w:t xml:space="preserve">Kesa </w:t>
      </w:r>
      <w:r w:rsidR="00E134A4">
        <w:t>was required to capitalise debt owed by Comet insofar</w:t>
      </w:r>
      <w:r w:rsidR="00AA269B">
        <w:t xml:space="preserve"> as net debt would otherwise exceed £(32</w:t>
      </w:r>
      <w:r w:rsidR="00E45567">
        <w:t>.27</w:t>
      </w:r>
      <w:r w:rsidR="009A3842">
        <w:t>5</w:t>
      </w:r>
      <w:r w:rsidR="00E45567">
        <w:t>m</w:t>
      </w:r>
      <w:r w:rsidR="00E20660">
        <w:t>)</w:t>
      </w:r>
      <w:r w:rsidR="00E45567">
        <w:t>, being the target</w:t>
      </w:r>
      <w:r w:rsidR="003D0021">
        <w:t xml:space="preserve"> of </w:t>
      </w:r>
      <w:r w:rsidR="00E20660">
        <w:t>£(26.9m)</w:t>
      </w:r>
      <w:r w:rsidR="00CD6203">
        <w:t xml:space="preserve"> plus an additional amount </w:t>
      </w:r>
      <w:r w:rsidR="00A71CB0">
        <w:t>to which the purchasing group agreed to be exposed</w:t>
      </w:r>
      <w:r w:rsidR="006F06F1">
        <w:t>.</w:t>
      </w:r>
      <w:r w:rsidR="00E04AC0">
        <w:t xml:space="preserve"> In the event</w:t>
      </w:r>
      <w:r w:rsidR="006F1EA0">
        <w:t xml:space="preserve"> the</w:t>
      </w:r>
      <w:r w:rsidR="00F72703">
        <w:t xml:space="preserve"> amount outstanding under the</w:t>
      </w:r>
      <w:r w:rsidR="006F1EA0">
        <w:t xml:space="preserve"> KIL RCF was</w:t>
      </w:r>
      <w:r w:rsidR="00A33357">
        <w:t xml:space="preserve"> approximately</w:t>
      </w:r>
      <w:r w:rsidR="006F1EA0">
        <w:t xml:space="preserve"> </w:t>
      </w:r>
      <w:r w:rsidR="00F72703">
        <w:t xml:space="preserve">£129m, </w:t>
      </w:r>
      <w:r w:rsidR="00A33357">
        <w:t>and just under</w:t>
      </w:r>
      <w:r w:rsidR="00F72703">
        <w:t xml:space="preserve"> </w:t>
      </w:r>
      <w:r w:rsidR="007F6607">
        <w:t>£13.6m was capitalised</w:t>
      </w:r>
      <w:r w:rsidR="00802B73">
        <w:t xml:space="preserve">, leaving </w:t>
      </w:r>
      <w:r w:rsidR="00A034DE">
        <w:t xml:space="preserve">£115,415,524 </w:t>
      </w:r>
      <w:r w:rsidR="008F0646">
        <w:t>owed by Comet to KIL</w:t>
      </w:r>
      <w:r w:rsidR="007F6607">
        <w:t>.</w:t>
      </w:r>
    </w:p>
    <w:p w14:paraId="711F7E4D" w14:textId="4A1F3E08" w:rsidR="000C4AC3" w:rsidRDefault="006F06F1" w:rsidP="000C4AC3">
      <w:pPr>
        <w:pStyle w:val="BodyText"/>
        <w:numPr>
          <w:ilvl w:val="1"/>
          <w:numId w:val="1"/>
        </w:numPr>
      </w:pPr>
      <w:r>
        <w:t>There was specific provision</w:t>
      </w:r>
      <w:r w:rsidR="007943FF">
        <w:t xml:space="preserve"> for a </w:t>
      </w:r>
      <w:r w:rsidR="00A15603">
        <w:t>B</w:t>
      </w:r>
      <w:r w:rsidR="007943FF">
        <w:t>oard meeting of Comet to be held at</w:t>
      </w:r>
      <w:r w:rsidR="00D93F27">
        <w:t xml:space="preserve"> which</w:t>
      </w:r>
      <w:r w:rsidR="007943FF">
        <w:t xml:space="preserve"> </w:t>
      </w:r>
      <w:r w:rsidR="00DD11C8">
        <w:t>all directors other than Mr Darke</w:t>
      </w:r>
      <w:r w:rsidR="00F51D76">
        <w:t xml:space="preserve"> would resign</w:t>
      </w:r>
      <w:r w:rsidR="00E607C1">
        <w:t xml:space="preserve"> and the purchasers’ nominees would be appointed</w:t>
      </w:r>
      <w:r w:rsidR="00D93F27">
        <w:t xml:space="preserve">. </w:t>
      </w:r>
      <w:r w:rsidR="00B85964">
        <w:t>Clause 8.3 provided that the</w:t>
      </w:r>
      <w:r w:rsidR="00D93F27">
        <w:t xml:space="preserve"> </w:t>
      </w:r>
      <w:r w:rsidR="00B85964">
        <w:t>newly constituted Board</w:t>
      </w:r>
      <w:r w:rsidR="00016E78">
        <w:t xml:space="preserve"> “shall </w:t>
      </w:r>
      <w:r w:rsidR="000C4AC3">
        <w:t>review the financial position of the Company” in the light of</w:t>
      </w:r>
      <w:r w:rsidR="00482462">
        <w:t xml:space="preserve"> a</w:t>
      </w:r>
      <w:r w:rsidR="000C4AC3">
        <w:t xml:space="preserve"> business plan</w:t>
      </w:r>
      <w:r w:rsidR="00482462" w:rsidRPr="00482462">
        <w:t xml:space="preserve"> </w:t>
      </w:r>
      <w:r w:rsidR="00482462">
        <w:t>for a minimum of 18 months</w:t>
      </w:r>
      <w:r w:rsidR="000C4AC3">
        <w:t xml:space="preserve">, </w:t>
      </w:r>
      <w:r w:rsidR="00C333E4">
        <w:t>the ABL facility and the revolving credit facility to be provided by HAL (the “HAL RCF”)</w:t>
      </w:r>
      <w:r w:rsidR="001F4CD6">
        <w:t>.</w:t>
      </w:r>
    </w:p>
    <w:p w14:paraId="217DD200" w14:textId="3887C57A" w:rsidR="006F06F1" w:rsidRDefault="005F16AD" w:rsidP="006E3C18">
      <w:pPr>
        <w:pStyle w:val="BodyText"/>
        <w:numPr>
          <w:ilvl w:val="1"/>
          <w:numId w:val="1"/>
        </w:numPr>
      </w:pPr>
      <w:r>
        <w:t>The KIL RCF</w:t>
      </w:r>
      <w:r w:rsidR="001D20D1">
        <w:t xml:space="preserve"> was dealt with in three tranches, Tranc</w:t>
      </w:r>
      <w:r w:rsidR="00B325E2">
        <w:t>he A, Tranche B and Tranche C</w:t>
      </w:r>
      <w:r w:rsidR="00A540B8">
        <w:t>, representing three tranches of the proposed HAL RCF</w:t>
      </w:r>
      <w:r w:rsidR="00B325E2">
        <w:t>. Tranche A</w:t>
      </w:r>
      <w:r w:rsidR="005312F5">
        <w:t xml:space="preserve"> </w:t>
      </w:r>
      <w:r w:rsidR="00FE4302">
        <w:t xml:space="preserve">of the HAL RCF </w:t>
      </w:r>
      <w:r w:rsidR="005312F5">
        <w:t>was £35m,</w:t>
      </w:r>
      <w:r w:rsidR="00B325E2">
        <w:t xml:space="preserve"> correspond</w:t>
      </w:r>
      <w:r w:rsidR="005312F5">
        <w:t>ing</w:t>
      </w:r>
      <w:r w:rsidR="00B325E2">
        <w:t xml:space="preserve"> to </w:t>
      </w:r>
      <w:r w:rsidR="00774CF9">
        <w:t xml:space="preserve">capital </w:t>
      </w:r>
      <w:r w:rsidR="00B325E2">
        <w:t>injection</w:t>
      </w:r>
      <w:r w:rsidR="00053D07">
        <w:t>s</w:t>
      </w:r>
      <w:r w:rsidR="005312F5">
        <w:t xml:space="preserve"> of that amount</w:t>
      </w:r>
      <w:r w:rsidR="00774CF9">
        <w:t xml:space="preserve"> by the Investors in</w:t>
      </w:r>
      <w:r w:rsidR="00053D07">
        <w:t xml:space="preserve">to </w:t>
      </w:r>
      <w:r w:rsidR="004B3E7D">
        <w:t>H2L</w:t>
      </w:r>
      <w:r w:rsidR="00993DBE">
        <w:t>, and then via HHL to</w:t>
      </w:r>
      <w:r w:rsidR="00B325E2">
        <w:t xml:space="preserve"> HAL</w:t>
      </w:r>
      <w:r w:rsidR="00FB7A8E">
        <w:t>.</w:t>
      </w:r>
      <w:r w:rsidR="00FF4F50">
        <w:t xml:space="preserve"> Tranche B</w:t>
      </w:r>
      <w:r w:rsidR="002D00D7">
        <w:t xml:space="preserve"> was equal to the amount owed by KIL to Triptych</w:t>
      </w:r>
      <w:r w:rsidR="002A2367">
        <w:t xml:space="preserve"> (the “Triptych Amount”)</w:t>
      </w:r>
      <w:r w:rsidR="002D00D7">
        <w:t xml:space="preserve">. Tranche C </w:t>
      </w:r>
      <w:r w:rsidR="003943AF">
        <w:t>covered</w:t>
      </w:r>
      <w:r w:rsidR="002D00D7">
        <w:t xml:space="preserve"> the </w:t>
      </w:r>
      <w:r w:rsidR="002D00D7" w:rsidRPr="00354BCC">
        <w:t>balancing amount</w:t>
      </w:r>
      <w:r w:rsidR="002D00D7">
        <w:t xml:space="preserve"> owed by Comet to KIL</w:t>
      </w:r>
      <w:r w:rsidR="00F10D42">
        <w:t xml:space="preserve"> plus additional headroom</w:t>
      </w:r>
      <w:r w:rsidR="00883BDC">
        <w:t>.</w:t>
      </w:r>
      <w:r w:rsidR="0082209B">
        <w:t xml:space="preserve"> </w:t>
      </w:r>
    </w:p>
    <w:p w14:paraId="0495DC6C" w14:textId="441A164E" w:rsidR="00312C5C" w:rsidRDefault="00495172" w:rsidP="009943FC">
      <w:pPr>
        <w:pStyle w:val="BodyText"/>
        <w:numPr>
          <w:ilvl w:val="1"/>
          <w:numId w:val="1"/>
        </w:numPr>
      </w:pPr>
      <w:r>
        <w:t xml:space="preserve">Clauses 8.9 and 8.10 provided for </w:t>
      </w:r>
      <w:r w:rsidR="00F646B7">
        <w:t xml:space="preserve">the </w:t>
      </w:r>
      <w:r w:rsidR="009943FC">
        <w:t>Tranche A</w:t>
      </w:r>
      <w:r w:rsidR="00F646B7">
        <w:t xml:space="preserve"> element</w:t>
      </w:r>
      <w:r>
        <w:t xml:space="preserve"> to be repaid by </w:t>
      </w:r>
      <w:r w:rsidR="00BF39E3">
        <w:t>Comet drawing down £35m under the HAL RCF</w:t>
      </w:r>
      <w:r w:rsidR="0056643E">
        <w:t xml:space="preserve"> (i.e. Tranche A)</w:t>
      </w:r>
      <w:r w:rsidR="0099249F">
        <w:t xml:space="preserve"> and</w:t>
      </w:r>
      <w:r w:rsidR="00BD4519">
        <w:t xml:space="preserve"> a corresponding amount being demanded by </w:t>
      </w:r>
      <w:r w:rsidR="001F35F1">
        <w:t>the Kesa group (in practice KIL)</w:t>
      </w:r>
      <w:r w:rsidR="0099249F">
        <w:t xml:space="preserve">, whereupon </w:t>
      </w:r>
      <w:r w:rsidR="009A1D1F">
        <w:t>Comet “shall agree to repay such amount”.</w:t>
      </w:r>
      <w:r w:rsidR="00BD4519">
        <w:t xml:space="preserve"> </w:t>
      </w:r>
      <w:r w:rsidR="002A68D5">
        <w:t>Clause 7.6 contemplated that cash would move directly from HAL</w:t>
      </w:r>
      <w:r w:rsidR="00027293">
        <w:t xml:space="preserve"> to</w:t>
      </w:r>
      <w:r w:rsidR="00940A79">
        <w:t xml:space="preserve"> the </w:t>
      </w:r>
      <w:r w:rsidR="001F35F1">
        <w:t>Kesa group.</w:t>
      </w:r>
    </w:p>
    <w:p w14:paraId="022BB185" w14:textId="50666109" w:rsidR="00037B90" w:rsidRDefault="00144BE3" w:rsidP="009943FC">
      <w:pPr>
        <w:pStyle w:val="BodyText"/>
        <w:numPr>
          <w:ilvl w:val="1"/>
          <w:numId w:val="1"/>
        </w:numPr>
      </w:pPr>
      <w:r>
        <w:t>Clauses 8.11-8.15</w:t>
      </w:r>
      <w:r w:rsidR="00940A79">
        <w:t xml:space="preserve"> contemplated Triptych being repaid</w:t>
      </w:r>
      <w:r w:rsidR="00AD2104">
        <w:t xml:space="preserve"> </w:t>
      </w:r>
      <w:r w:rsidR="000F37E6">
        <w:t xml:space="preserve">the </w:t>
      </w:r>
      <w:r w:rsidR="002A2367">
        <w:t>Triptych Amount</w:t>
      </w:r>
      <w:r w:rsidR="00013AB4">
        <w:t xml:space="preserve"> by KIL</w:t>
      </w:r>
      <w:r w:rsidR="00ED5B53">
        <w:t>, Triptych lending the same amount</w:t>
      </w:r>
      <w:r w:rsidR="00F924C3">
        <w:t xml:space="preserve"> </w:t>
      </w:r>
      <w:r w:rsidR="00ED5B53">
        <w:t>to HHL</w:t>
      </w:r>
      <w:r w:rsidR="00826802">
        <w:t xml:space="preserve"> and</w:t>
      </w:r>
      <w:r w:rsidR="00ED5B53">
        <w:t xml:space="preserve"> </w:t>
      </w:r>
      <w:r w:rsidR="00CF74A6">
        <w:t>HHL lending it on to HAL</w:t>
      </w:r>
      <w:r w:rsidR="00826802">
        <w:t>.</w:t>
      </w:r>
      <w:r w:rsidR="00105013">
        <w:t xml:space="preserve"> Comet </w:t>
      </w:r>
      <w:r w:rsidR="00826802">
        <w:t xml:space="preserve">would then </w:t>
      </w:r>
      <w:r w:rsidR="00105013">
        <w:t>draw an amount equal to the</w:t>
      </w:r>
      <w:r w:rsidR="00105013" w:rsidRPr="00105013">
        <w:t xml:space="preserve"> Triptych Amount</w:t>
      </w:r>
      <w:r w:rsidR="00105013">
        <w:t xml:space="preserve"> under the HAL RCF</w:t>
      </w:r>
      <w:r w:rsidR="00E35668">
        <w:t xml:space="preserve"> (Tranche B)</w:t>
      </w:r>
      <w:r w:rsidR="002B39E4">
        <w:t xml:space="preserve">, with </w:t>
      </w:r>
      <w:r w:rsidR="00AE43FD">
        <w:t xml:space="preserve">a further demand from </w:t>
      </w:r>
      <w:r w:rsidR="00BA5362">
        <w:t>the Kesa group</w:t>
      </w:r>
      <w:r w:rsidR="0021373E">
        <w:t xml:space="preserve"> in that amount and Comet again agreeing to repay</w:t>
      </w:r>
      <w:r w:rsidR="004D2290">
        <w:t xml:space="preserve"> it.</w:t>
      </w:r>
      <w:r w:rsidR="00B44684">
        <w:t xml:space="preserve"> Clause 7.6(</w:t>
      </w:r>
      <w:r w:rsidR="007E2E9A">
        <w:t>A</w:t>
      </w:r>
      <w:r w:rsidR="00B44684">
        <w:t>) contemplated that this would all be achieved “by way of set-off”.</w:t>
      </w:r>
    </w:p>
    <w:p w14:paraId="1B25F0AA" w14:textId="2C387807" w:rsidR="008C29CF" w:rsidRDefault="00E05DE2" w:rsidP="000F4A5C">
      <w:pPr>
        <w:pStyle w:val="BodyText"/>
        <w:numPr>
          <w:ilvl w:val="1"/>
          <w:numId w:val="1"/>
        </w:numPr>
      </w:pPr>
      <w:r>
        <w:t>Clauses 8.16-8.21 dealt with Tranche C</w:t>
      </w:r>
      <w:r w:rsidR="006001C7">
        <w:t xml:space="preserve">. </w:t>
      </w:r>
      <w:r w:rsidR="00E03577">
        <w:t>It provided for K</w:t>
      </w:r>
      <w:r w:rsidR="00D27107">
        <w:t>IL</w:t>
      </w:r>
      <w:r w:rsidR="00554381">
        <w:t xml:space="preserve"> to make a £50m capital contribution to </w:t>
      </w:r>
      <w:r w:rsidR="00EA447C">
        <w:t>H2L, together with an</w:t>
      </w:r>
      <w:r w:rsidR="00AA6798">
        <w:t xml:space="preserve"> agreed</w:t>
      </w:r>
      <w:r w:rsidR="00EA447C">
        <w:t xml:space="preserve"> additional amount</w:t>
      </w:r>
      <w:r w:rsidR="00AA6798">
        <w:t xml:space="preserve"> of £22.</w:t>
      </w:r>
      <w:r w:rsidR="00317FF5">
        <w:t xml:space="preserve">66m plus </w:t>
      </w:r>
      <w:r w:rsidR="00664BF6">
        <w:t xml:space="preserve">a further </w:t>
      </w:r>
      <w:r w:rsidR="00317FF5">
        <w:t>pen</w:t>
      </w:r>
      <w:r w:rsidR="003A77D8">
        <w:t>sions related amount</w:t>
      </w:r>
      <w:r w:rsidR="00003F26">
        <w:t xml:space="preserve"> of </w:t>
      </w:r>
      <w:r w:rsidR="00E51993">
        <w:t>£5.8m, a total of £78.46m</w:t>
      </w:r>
      <w:r w:rsidR="00247AD5">
        <w:t xml:space="preserve">. </w:t>
      </w:r>
      <w:r w:rsidR="0094130A">
        <w:t>This amount would be passed down to HAL via HHL</w:t>
      </w:r>
      <w:r w:rsidR="00804710">
        <w:t>. There</w:t>
      </w:r>
      <w:r w:rsidR="00016218">
        <w:t xml:space="preserve"> </w:t>
      </w:r>
      <w:r w:rsidR="00BA5362">
        <w:t xml:space="preserve">would </w:t>
      </w:r>
      <w:r w:rsidR="00804710">
        <w:t xml:space="preserve">then </w:t>
      </w:r>
      <w:r w:rsidR="00BA5362">
        <w:t xml:space="preserve">be a further demand </w:t>
      </w:r>
      <w:r w:rsidR="00216B22">
        <w:t>for the balance owed to Kesa, with Comet again agreeing to repay it</w:t>
      </w:r>
      <w:r w:rsidR="00FC30F7">
        <w:t>, using funds drawn from Tranche C</w:t>
      </w:r>
      <w:r w:rsidR="00216B22">
        <w:t>.</w:t>
      </w:r>
      <w:r w:rsidR="00F140FF">
        <w:t xml:space="preserve"> Clause 7.6(C) </w:t>
      </w:r>
      <w:r w:rsidR="00F36464">
        <w:t>contemplated a net payment mechanism</w:t>
      </w:r>
      <w:r w:rsidR="00804710">
        <w:t xml:space="preserve"> in respect of this tranche</w:t>
      </w:r>
      <w:r w:rsidR="00F36464">
        <w:t>.</w:t>
      </w:r>
    </w:p>
    <w:p w14:paraId="008B5A16" w14:textId="1883CCAF" w:rsidR="004670A3" w:rsidRDefault="004670A3" w:rsidP="00AE77C6">
      <w:pPr>
        <w:pStyle w:val="BodyText"/>
      </w:pPr>
      <w:r>
        <w:t xml:space="preserve">Clause </w:t>
      </w:r>
      <w:r w:rsidR="004E454E">
        <w:t>11.6 replaced the undertaking</w:t>
      </w:r>
      <w:r w:rsidR="00A237B2">
        <w:t xml:space="preserve"> that had been included in the heads of terms to run Comet as a going concern</w:t>
      </w:r>
      <w:r w:rsidR="00893500">
        <w:t xml:space="preserve"> with a much weaker statement of intent under which HHL and HAL </w:t>
      </w:r>
      <w:r w:rsidR="00592F35">
        <w:t>confirmed that</w:t>
      </w:r>
      <w:r w:rsidR="00331DDA">
        <w:t>, on the basis of their current business plans</w:t>
      </w:r>
      <w:r w:rsidR="00641B9A">
        <w:t>, projections and related assumptions, it was their “current intention” to conduct the business as a going concern for at least 18 months</w:t>
      </w:r>
      <w:r w:rsidR="00BA0011">
        <w:t xml:space="preserve"> from completion</w:t>
      </w:r>
      <w:r w:rsidR="000752FC">
        <w:t xml:space="preserve">, and to consult with KHL if it </w:t>
      </w:r>
      <w:r w:rsidR="00B86A19">
        <w:t xml:space="preserve">was </w:t>
      </w:r>
      <w:r w:rsidR="000752FC">
        <w:t>proposed to commence</w:t>
      </w:r>
      <w:r w:rsidR="00B86A19">
        <w:t xml:space="preserve"> insolvency proceedings within that period.</w:t>
      </w:r>
    </w:p>
    <w:p w14:paraId="13501B7C" w14:textId="7BA89BF1" w:rsidR="005979F3" w:rsidRDefault="005979F3" w:rsidP="00AE77C6">
      <w:pPr>
        <w:pStyle w:val="BodyText"/>
      </w:pPr>
      <w:bookmarkStart w:id="16" w:name="_Ref118103829"/>
      <w:r>
        <w:t xml:space="preserve">It is also worth noting that </w:t>
      </w:r>
      <w:r w:rsidR="006A3572">
        <w:t xml:space="preserve">one of the purchasers’ </w:t>
      </w:r>
      <w:r w:rsidR="00B7274C">
        <w:t xml:space="preserve">completion </w:t>
      </w:r>
      <w:r w:rsidR="006A3572">
        <w:t xml:space="preserve">obligations </w:t>
      </w:r>
      <w:r w:rsidR="00B7274C">
        <w:t>was to provide a fully executed copy of the ABL facility.</w:t>
      </w:r>
      <w:r w:rsidR="00001250">
        <w:t xml:space="preserve"> </w:t>
      </w:r>
      <w:r w:rsidR="004C7F72">
        <w:t>C</w:t>
      </w:r>
      <w:r w:rsidR="00385BF4">
        <w:t>lause 2.4</w:t>
      </w:r>
      <w:r w:rsidR="004C7F72">
        <w:t xml:space="preserve"> provided that unless th</w:t>
      </w:r>
      <w:r w:rsidR="00DD129F">
        <w:t>at document</w:t>
      </w:r>
      <w:r w:rsidR="004C7F72">
        <w:t xml:space="preserve"> was provided</w:t>
      </w:r>
      <w:r w:rsidR="00DD129F">
        <w:t>, executed by all parties other than Comet, by the day before the proposed completion date then</w:t>
      </w:r>
      <w:r w:rsidR="00001250">
        <w:t xml:space="preserve"> Kesa was entitled to terminate the SPA</w:t>
      </w:r>
      <w:r w:rsidR="00B73D6C">
        <w:t xml:space="preserve"> and demand £30m in liquidated damages.</w:t>
      </w:r>
      <w:r w:rsidR="009807AF">
        <w:t xml:space="preserve"> </w:t>
      </w:r>
      <w:r w:rsidR="00385BF4">
        <w:t xml:space="preserve">This provision was included at the last minute, the previously proposed lender </w:t>
      </w:r>
      <w:r w:rsidR="00E94007">
        <w:t xml:space="preserve">under the ABL facility having </w:t>
      </w:r>
      <w:r w:rsidR="00D4347E">
        <w:t>dropped</w:t>
      </w:r>
      <w:r w:rsidR="00E94007">
        <w:t xml:space="preserve"> out on 8 November 2011.</w:t>
      </w:r>
      <w:r w:rsidR="006B3392">
        <w:t xml:space="preserve"> In the event</w:t>
      </w:r>
      <w:r w:rsidR="00BD573A">
        <w:t xml:space="preserve"> the required ABL facility was provided by a vehicle controlled by the </w:t>
      </w:r>
      <w:r w:rsidR="00C31E5B">
        <w:t>US hedge fund Elliott, which it transpired was also the Investor</w:t>
      </w:r>
      <w:r w:rsidR="00AF4F3B">
        <w:t>.</w:t>
      </w:r>
      <w:bookmarkEnd w:id="16"/>
      <w:r w:rsidR="00D97C5F">
        <w:t xml:space="preserve"> </w:t>
      </w:r>
      <w:r w:rsidR="008C7458">
        <w:t xml:space="preserve">Elliott was an activist investor whose name had previously come up in a </w:t>
      </w:r>
      <w:r w:rsidR="00863B83">
        <w:t xml:space="preserve">KEP </w:t>
      </w:r>
      <w:r w:rsidR="00A15603">
        <w:t>B</w:t>
      </w:r>
      <w:r w:rsidR="00863B83">
        <w:t>oard discussion as possibly looking at taking a position in KEP</w:t>
      </w:r>
      <w:r w:rsidR="001F1EAD">
        <w:t xml:space="preserve"> shares. </w:t>
      </w:r>
    </w:p>
    <w:p w14:paraId="5808363E" w14:textId="299A1E29" w:rsidR="00AE77C6" w:rsidRDefault="0073350D" w:rsidP="00AE77C6">
      <w:pPr>
        <w:pStyle w:val="BodyText"/>
      </w:pPr>
      <w:r>
        <w:t>Finally</w:t>
      </w:r>
      <w:r w:rsidR="005979F3">
        <w:t>, t</w:t>
      </w:r>
      <w:r w:rsidR="000812B7">
        <w:t xml:space="preserve">he SPA </w:t>
      </w:r>
      <w:r w:rsidR="00E3042C">
        <w:t xml:space="preserve">also </w:t>
      </w:r>
      <w:r w:rsidR="000812B7">
        <w:t xml:space="preserve">expressly contemplated that the HAL RCF would be secured </w:t>
      </w:r>
      <w:r w:rsidR="008E5116">
        <w:t>by a debenture.</w:t>
      </w:r>
    </w:p>
    <w:p w14:paraId="31F6761E" w14:textId="7A6C6564" w:rsidR="005977C2" w:rsidRDefault="00BD29A2" w:rsidP="005977C2">
      <w:pPr>
        <w:pStyle w:val="Heading3"/>
      </w:pPr>
      <w:r>
        <w:t>The Completion Agreement</w:t>
      </w:r>
    </w:p>
    <w:p w14:paraId="2B7A96FB" w14:textId="621205F8" w:rsidR="00BD29A2" w:rsidRDefault="00385013" w:rsidP="00BD29A2">
      <w:pPr>
        <w:pStyle w:val="BodyText"/>
      </w:pPr>
      <w:r>
        <w:t>The SPA</w:t>
      </w:r>
      <w:r w:rsidR="00874121">
        <w:t xml:space="preserve"> dealt with the mechanics of </w:t>
      </w:r>
      <w:r w:rsidR="00CE5427">
        <w:t>the funding and debt repayment</w:t>
      </w:r>
      <w:r w:rsidR="00EB4B0C">
        <w:t>s</w:t>
      </w:r>
      <w:r w:rsidR="00CE5427">
        <w:t xml:space="preserve"> </w:t>
      </w:r>
      <w:r w:rsidR="009673F9">
        <w:t>only at a relatively high level.</w:t>
      </w:r>
      <w:r w:rsidR="00FD6E5A">
        <w:t xml:space="preserve"> Further detail was set out in a Completion Agreement</w:t>
      </w:r>
      <w:r w:rsidR="004913B6">
        <w:t xml:space="preserve"> entered into on the date </w:t>
      </w:r>
      <w:r w:rsidR="00D85CFB">
        <w:t>the</w:t>
      </w:r>
      <w:r w:rsidR="004913B6">
        <w:t xml:space="preserve"> sale completed, 3 February 2012. Unlike the SPA</w:t>
      </w:r>
      <w:r w:rsidR="00AC7456">
        <w:t>,</w:t>
      </w:r>
      <w:r w:rsidR="004913B6">
        <w:t xml:space="preserve"> both Comet and Triptych were parties to this agreement.</w:t>
      </w:r>
    </w:p>
    <w:p w14:paraId="0FAD6B99" w14:textId="77777777" w:rsidR="007C2C05" w:rsidRDefault="0016496F" w:rsidP="00BD29A2">
      <w:pPr>
        <w:pStyle w:val="BodyText"/>
      </w:pPr>
      <w:r>
        <w:t xml:space="preserve">In summary, </w:t>
      </w:r>
      <w:r w:rsidR="007C2C05">
        <w:t>this provided for the following:</w:t>
      </w:r>
    </w:p>
    <w:p w14:paraId="59568406" w14:textId="25635FBA" w:rsidR="00E265BE" w:rsidRDefault="00E52A03" w:rsidP="00E265BE">
      <w:pPr>
        <w:pStyle w:val="BodyText"/>
        <w:numPr>
          <w:ilvl w:val="1"/>
          <w:numId w:val="1"/>
        </w:numPr>
      </w:pPr>
      <w:r>
        <w:t>T</w:t>
      </w:r>
      <w:r w:rsidR="00AC62BF">
        <w:t xml:space="preserve">he £35m and </w:t>
      </w:r>
      <w:r w:rsidR="000A4905">
        <w:t>£</w:t>
      </w:r>
      <w:r w:rsidR="00AC62BF">
        <w:t>78.46</w:t>
      </w:r>
      <w:r w:rsidR="000A4905">
        <w:t xml:space="preserve">m to be invested </w:t>
      </w:r>
      <w:r w:rsidR="00546513">
        <w:t xml:space="preserve">by the Investors </w:t>
      </w:r>
      <w:r w:rsidR="000A4905">
        <w:t>and Kesa respectively</w:t>
      </w:r>
      <w:r w:rsidR="00074E93">
        <w:t xml:space="preserve"> would be passed to Macfarlanes, the solicitors acting for the purchasers</w:t>
      </w:r>
      <w:r>
        <w:t>.</w:t>
      </w:r>
      <w:r w:rsidR="00E265BE" w:rsidRPr="00E265BE">
        <w:t xml:space="preserve"> </w:t>
      </w:r>
      <w:r w:rsidR="00E265BE">
        <w:t>A series of payment instruction letters in prescribed forms would also be provided to Macfarlanes.</w:t>
      </w:r>
    </w:p>
    <w:p w14:paraId="207EFB81" w14:textId="71A96179" w:rsidR="007B4A11" w:rsidRDefault="008335FD" w:rsidP="007C2C05">
      <w:pPr>
        <w:pStyle w:val="BodyText"/>
        <w:numPr>
          <w:ilvl w:val="1"/>
          <w:numId w:val="1"/>
        </w:numPr>
      </w:pPr>
      <w:r>
        <w:t>Under clause 5,</w:t>
      </w:r>
      <w:r w:rsidR="00BC1F47">
        <w:t xml:space="preserve"> via a series of payment instructions</w:t>
      </w:r>
      <w:r w:rsidR="00F203A0">
        <w:t>,</w:t>
      </w:r>
      <w:r>
        <w:t xml:space="preserve"> t</w:t>
      </w:r>
      <w:r w:rsidR="00574466">
        <w:t>he £35m</w:t>
      </w:r>
      <w:r w:rsidR="001163ED">
        <w:t xml:space="preserve"> would be held by Macfarlanes</w:t>
      </w:r>
      <w:r w:rsidR="00BD7130">
        <w:t xml:space="preserve"> in turn for HHL, HAL</w:t>
      </w:r>
      <w:r w:rsidR="00615F93">
        <w:t>, Comet and KIL</w:t>
      </w:r>
      <w:r w:rsidR="00045622">
        <w:t xml:space="preserve">, </w:t>
      </w:r>
      <w:r w:rsidR="0024514B">
        <w:t>reflecting that amount being passed down</w:t>
      </w:r>
      <w:r w:rsidR="00B12C5E">
        <w:t xml:space="preserve"> the structure to HAL</w:t>
      </w:r>
      <w:r w:rsidR="007F7E0F">
        <w:t>,</w:t>
      </w:r>
      <w:r w:rsidR="00B12C5E">
        <w:t xml:space="preserve"> lent by it</w:t>
      </w:r>
      <w:r w:rsidR="0024514B">
        <w:t xml:space="preserve"> to Comet </w:t>
      </w:r>
      <w:r w:rsidR="00EA7002">
        <w:t xml:space="preserve">under Tranche A </w:t>
      </w:r>
      <w:r w:rsidR="00B12C5E">
        <w:t>of the HAL RCF</w:t>
      </w:r>
      <w:r w:rsidR="007F7E0F">
        <w:t xml:space="preserve">, </w:t>
      </w:r>
      <w:r w:rsidR="00666A5A">
        <w:t>and</w:t>
      </w:r>
      <w:r w:rsidR="007F7E0F">
        <w:t xml:space="preserve"> Comet repaying £35m of the KIL RCF.</w:t>
      </w:r>
      <w:r w:rsidR="00393258">
        <w:t xml:space="preserve"> These steps </w:t>
      </w:r>
      <w:r w:rsidR="006B3537">
        <w:t>were stated to take effect prior to completion</w:t>
      </w:r>
      <w:r w:rsidR="00391F5D">
        <w:t>.</w:t>
      </w:r>
    </w:p>
    <w:p w14:paraId="3E20D6AB" w14:textId="3F1068B1" w:rsidR="007F7E0F" w:rsidRDefault="008335FD" w:rsidP="007C2C05">
      <w:pPr>
        <w:pStyle w:val="BodyText"/>
        <w:numPr>
          <w:ilvl w:val="1"/>
          <w:numId w:val="1"/>
        </w:numPr>
      </w:pPr>
      <w:r>
        <w:t xml:space="preserve">Under clause 6.1, </w:t>
      </w:r>
      <w:r w:rsidR="00666A5A">
        <w:t>the</w:t>
      </w:r>
      <w:r w:rsidR="00456300">
        <w:t xml:space="preserve"> Triptych Amount was agreed in the sum of </w:t>
      </w:r>
      <w:r w:rsidR="002A2367">
        <w:t>£73,136,412.</w:t>
      </w:r>
      <w:r w:rsidR="00F37186">
        <w:t xml:space="preserve"> Clause 6.2 provided as follows</w:t>
      </w:r>
      <w:r w:rsidR="003F66A4">
        <w:t xml:space="preserve"> (</w:t>
      </w:r>
      <w:r w:rsidR="00F120B7">
        <w:t>“</w:t>
      </w:r>
      <w:r w:rsidR="003F66A4">
        <w:t>Bidco</w:t>
      </w:r>
      <w:r w:rsidR="00F120B7">
        <w:t>”</w:t>
      </w:r>
      <w:r w:rsidR="003F66A4">
        <w:t xml:space="preserve"> </w:t>
      </w:r>
      <w:r w:rsidR="00F120B7">
        <w:t xml:space="preserve">being </w:t>
      </w:r>
      <w:r w:rsidR="003F66A4">
        <w:t>HAL</w:t>
      </w:r>
      <w:r w:rsidR="000C6B85">
        <w:t>,</w:t>
      </w:r>
      <w:r w:rsidR="000E46B5">
        <w:t xml:space="preserve"> “Topco” being HHL</w:t>
      </w:r>
      <w:r w:rsidR="00304136">
        <w:t xml:space="preserve"> and “the Company” being Comet</w:t>
      </w:r>
      <w:r w:rsidR="003F66A4">
        <w:t>)</w:t>
      </w:r>
      <w:r w:rsidR="00F37186">
        <w:t>:</w:t>
      </w:r>
    </w:p>
    <w:p w14:paraId="70C4F50B" w14:textId="6B1DA0DC" w:rsidR="00E93BDA" w:rsidRDefault="0017122C" w:rsidP="00E93BDA">
      <w:pPr>
        <w:pStyle w:val="Citations"/>
      </w:pPr>
      <w:r>
        <w:t>“</w:t>
      </w:r>
      <w:r w:rsidR="00E93BDA">
        <w:t>6.2 In each case, subject to clause 6.3 of this Agreement and notwithstanding the provisions of clause 7.6(A) of the SPA</w:t>
      </w:r>
      <w:r>
        <w:t>,</w:t>
      </w:r>
      <w:r w:rsidR="00E93BDA">
        <w:t xml:space="preserve"> in satisfaction of the provisions of: </w:t>
      </w:r>
    </w:p>
    <w:p w14:paraId="4EF9955D" w14:textId="77777777" w:rsidR="00E93BDA" w:rsidRDefault="00E93BDA" w:rsidP="00E93BDA">
      <w:pPr>
        <w:pStyle w:val="Citations"/>
      </w:pPr>
    </w:p>
    <w:p w14:paraId="2E0F6AB8" w14:textId="63A96C0E" w:rsidR="00E93BDA" w:rsidRDefault="00E93BDA" w:rsidP="00845494">
      <w:pPr>
        <w:pStyle w:val="Citations"/>
        <w:ind w:left="1440"/>
      </w:pPr>
      <w:r>
        <w:t xml:space="preserve">(A) clause 8.11 and clause 8.12 of the SPA, Triptych hereby directs KIL to pay to Topco an amount equal to the Triptych Amount, which Triptych is owed by KIL and which the Seller must procure is repaid pursuant to clause 8.11 of the SPA and which Triptych is to lend to Topco pursuant to clause 8.12 of the SPA; </w:t>
      </w:r>
    </w:p>
    <w:p w14:paraId="207DD702" w14:textId="77777777" w:rsidR="00E93BDA" w:rsidRDefault="00E93BDA" w:rsidP="00845494">
      <w:pPr>
        <w:pStyle w:val="Citations"/>
        <w:ind w:left="1440"/>
      </w:pPr>
    </w:p>
    <w:p w14:paraId="37259CF2" w14:textId="31BAA626" w:rsidR="00E93BDA" w:rsidRDefault="00E93BDA" w:rsidP="00845494">
      <w:pPr>
        <w:pStyle w:val="Citations"/>
        <w:ind w:left="1440"/>
      </w:pPr>
      <w:r>
        <w:t xml:space="preserve">(B) clause 8.13 of the SPA, Topco hereby directs KIL to pay to Bidco an amount equal to the Triptych Amount, which Topco is to lend to Bidco pursuant to clause 8.13 of the SPA; </w:t>
      </w:r>
    </w:p>
    <w:p w14:paraId="3902BBF8" w14:textId="77777777" w:rsidR="00E93BDA" w:rsidRDefault="00E93BDA" w:rsidP="00845494">
      <w:pPr>
        <w:pStyle w:val="Citations"/>
        <w:ind w:left="1440"/>
      </w:pPr>
    </w:p>
    <w:p w14:paraId="18134F10" w14:textId="7C1D85FF" w:rsidR="00E93BDA" w:rsidRDefault="00E93BDA" w:rsidP="00845494">
      <w:pPr>
        <w:pStyle w:val="Citations"/>
        <w:ind w:left="1440"/>
      </w:pPr>
      <w:r>
        <w:t xml:space="preserve">(C) clause 8.14 of the SPA, Bidco hereby directs KIL to pay to the Company an amount equal to the Triptych Amount, which Bidco is to lend to the Company pursuant to clause 8.14 of the SPA; and </w:t>
      </w:r>
    </w:p>
    <w:p w14:paraId="37CCE05F" w14:textId="77777777" w:rsidR="00E93BDA" w:rsidRDefault="00E93BDA" w:rsidP="00845494">
      <w:pPr>
        <w:pStyle w:val="Citations"/>
        <w:ind w:left="1440"/>
      </w:pPr>
    </w:p>
    <w:p w14:paraId="0FE947A9" w14:textId="64F58638" w:rsidR="00F37186" w:rsidRDefault="00E93BDA" w:rsidP="00845494">
      <w:pPr>
        <w:pStyle w:val="Citations"/>
        <w:ind w:left="1440"/>
      </w:pPr>
      <w:r>
        <w:t>(D) clause 8.15 of the SPA, KIL shall set off an amount equal to the Triptych Amount owed to it by the Company against an amount equal to the Triptych Amount which KIL has been directed to pay to the Company pursuant to clause 6.2(C) of this Agreement.</w:t>
      </w:r>
      <w:r w:rsidR="00845494">
        <w:t>”</w:t>
      </w:r>
    </w:p>
    <w:p w14:paraId="39E9D0D7" w14:textId="1584E331" w:rsidR="00D956A0" w:rsidRDefault="00D956A0" w:rsidP="00D956A0">
      <w:pPr>
        <w:pStyle w:val="BodyText"/>
        <w:numPr>
          <w:ilvl w:val="0"/>
          <w:numId w:val="0"/>
        </w:numPr>
        <w:tabs>
          <w:tab w:val="clear" w:pos="1134"/>
        </w:tabs>
        <w:ind w:left="1134"/>
      </w:pPr>
      <w:r w:rsidRPr="00961A9C">
        <w:t>The effect of this provision is discussed later in this judgment</w:t>
      </w:r>
      <w:r>
        <w:t>.</w:t>
      </w:r>
    </w:p>
    <w:p w14:paraId="659BDF9D" w14:textId="78C75E80" w:rsidR="00F37186" w:rsidRDefault="004D0886" w:rsidP="007C2C05">
      <w:pPr>
        <w:pStyle w:val="BodyText"/>
        <w:numPr>
          <w:ilvl w:val="1"/>
          <w:numId w:val="1"/>
        </w:numPr>
      </w:pPr>
      <w:r>
        <w:t>Clauses 6.3 and 6.4 spelt out</w:t>
      </w:r>
      <w:r w:rsidR="00734A8A">
        <w:t xml:space="preserve"> that </w:t>
      </w:r>
      <w:r w:rsidR="005A0B23">
        <w:t xml:space="preserve">the </w:t>
      </w:r>
      <w:r w:rsidR="00734A8A">
        <w:t>set</w:t>
      </w:r>
      <w:r w:rsidR="00A86CC8">
        <w:t>-</w:t>
      </w:r>
      <w:r w:rsidR="00734A8A">
        <w:t>off provided for in paragraph (D)</w:t>
      </w:r>
      <w:r w:rsidR="000D5071">
        <w:t xml:space="preserve"> </w:t>
      </w:r>
      <w:r w:rsidR="00A86CC8">
        <w:t>of clause 6.</w:t>
      </w:r>
      <w:r w:rsidR="00B66371">
        <w:t xml:space="preserve">2 </w:t>
      </w:r>
      <w:r w:rsidR="000D5071">
        <w:t xml:space="preserve">was </w:t>
      </w:r>
      <w:r w:rsidR="00734A8A">
        <w:t>to constitute a “full and final discharge and settlement” of the payment obligations</w:t>
      </w:r>
      <w:r w:rsidR="000D5071">
        <w:t xml:space="preserve"> provided for in the preceding paragraphs, and that</w:t>
      </w:r>
      <w:r w:rsidR="00F120B7">
        <w:t xml:space="preserve"> </w:t>
      </w:r>
      <w:r w:rsidR="00B66371">
        <w:t xml:space="preserve">those </w:t>
      </w:r>
      <w:r w:rsidR="00F120B7">
        <w:t>steps should occur prior to completion and in the order set out.</w:t>
      </w:r>
    </w:p>
    <w:p w14:paraId="3A12BB8E" w14:textId="1B6B6306" w:rsidR="00F120B7" w:rsidRDefault="008335FD" w:rsidP="007C2C05">
      <w:pPr>
        <w:pStyle w:val="BodyText"/>
        <w:numPr>
          <w:ilvl w:val="1"/>
          <w:numId w:val="1"/>
        </w:numPr>
      </w:pPr>
      <w:r>
        <w:t>Under clause 7.1 t</w:t>
      </w:r>
      <w:r w:rsidR="004A1DE5">
        <w:t xml:space="preserve">he remaining balance on the KIL RCF was agreed at £7,279,112. </w:t>
      </w:r>
      <w:r w:rsidR="00392663">
        <w:t>Clause 7.2</w:t>
      </w:r>
      <w:r w:rsidR="00FC0A0B">
        <w:t xml:space="preserve"> provided for a further set of payment instructions to Macfarlanes under which the £</w:t>
      </w:r>
      <w:r w:rsidR="001F4B50">
        <w:t>78.46</w:t>
      </w:r>
      <w:r w:rsidR="00FC0A0B">
        <w:t xml:space="preserve">m </w:t>
      </w:r>
      <w:r w:rsidR="007B4181">
        <w:t>from Kesa would be passed down through H2L and HHL to HAL</w:t>
      </w:r>
      <w:r w:rsidR="003778B9">
        <w:t xml:space="preserve">, and </w:t>
      </w:r>
      <w:r w:rsidR="003778B9" w:rsidRPr="003778B9">
        <w:t>£7,279,112</w:t>
      </w:r>
      <w:r w:rsidR="00164422">
        <w:t xml:space="preserve"> would be passed on to Comet and applied in repaying the balance of the KIL RCF.</w:t>
      </w:r>
      <w:r w:rsidR="00D33483">
        <w:t xml:space="preserve"> Again, these steps were stated to occur prior to completion and in the order set out.</w:t>
      </w:r>
    </w:p>
    <w:p w14:paraId="021043E1" w14:textId="77777777" w:rsidR="00384B08" w:rsidRDefault="00666A5A" w:rsidP="007C2C05">
      <w:pPr>
        <w:pStyle w:val="BodyText"/>
        <w:numPr>
          <w:ilvl w:val="1"/>
          <w:numId w:val="1"/>
        </w:numPr>
      </w:pPr>
      <w:r>
        <w:t xml:space="preserve">This left two </w:t>
      </w:r>
      <w:r w:rsidR="000C0CCB">
        <w:t>“</w:t>
      </w:r>
      <w:r>
        <w:t xml:space="preserve">final </w:t>
      </w:r>
      <w:r w:rsidR="003534CF">
        <w:t>payments</w:t>
      </w:r>
      <w:r w:rsidR="000C0CCB">
        <w:t>”</w:t>
      </w:r>
      <w:r w:rsidR="003534CF">
        <w:t>. Pursuant to clause 8, Macfarlanes was instructed to</w:t>
      </w:r>
      <w:r w:rsidR="00652009">
        <w:t xml:space="preserve"> transfer £42,279,112 to KIL</w:t>
      </w:r>
      <w:r w:rsidR="007E7E7A">
        <w:t xml:space="preserve"> and </w:t>
      </w:r>
      <w:r w:rsidR="000C0CCB">
        <w:t>£71,180,888 to HAL.</w:t>
      </w:r>
      <w:r w:rsidR="005B151D">
        <w:t xml:space="preserve"> </w:t>
      </w:r>
    </w:p>
    <w:p w14:paraId="583DB4BA" w14:textId="16DD3A04" w:rsidR="003056F6" w:rsidRDefault="005B151D" w:rsidP="0054670F">
      <w:pPr>
        <w:pStyle w:val="BodyText"/>
      </w:pPr>
      <w:r>
        <w:t>It will be observed that the total</w:t>
      </w:r>
      <w:r w:rsidR="00710516">
        <w:t xml:space="preserve"> of these</w:t>
      </w:r>
      <w:r w:rsidR="003235E0">
        <w:t xml:space="preserve"> last</w:t>
      </w:r>
      <w:r w:rsidR="00710516">
        <w:t xml:space="preserve"> two amounts is £113</w:t>
      </w:r>
      <w:r w:rsidR="00984C98">
        <w:t>.46m, the same as the total of the amounts invested in the structure</w:t>
      </w:r>
      <w:r w:rsidR="00BF42D4">
        <w:t xml:space="preserve"> by the Investors and Kesa</w:t>
      </w:r>
      <w:r w:rsidR="00984C98">
        <w:t xml:space="preserve"> (£35m and </w:t>
      </w:r>
      <w:r w:rsidR="00384B08">
        <w:t xml:space="preserve">£78.46m). </w:t>
      </w:r>
      <w:r w:rsidR="00F36F77">
        <w:t>The overall effect was that</w:t>
      </w:r>
      <w:r w:rsidR="000F14BB">
        <w:t xml:space="preserve"> in cash terms</w:t>
      </w:r>
      <w:r w:rsidR="00F36F77">
        <w:t xml:space="preserve"> </w:t>
      </w:r>
      <w:r w:rsidR="000F14BB">
        <w:t>K</w:t>
      </w:r>
      <w:r w:rsidR="001B2A61">
        <w:t>IL</w:t>
      </w:r>
      <w:r w:rsidR="000F14BB">
        <w:t xml:space="preserve"> ended up </w:t>
      </w:r>
      <w:r w:rsidR="00D96273">
        <w:t xml:space="preserve">injecting net cash of </w:t>
      </w:r>
      <w:r w:rsidR="00FD3D2C">
        <w:t>£36.18m into HAL (£7</w:t>
      </w:r>
      <w:r w:rsidR="005D14EB">
        <w:t>8.46</w:t>
      </w:r>
      <w:r w:rsidR="0027733D">
        <w:t>m</w:t>
      </w:r>
      <w:r w:rsidR="00FD3D2C">
        <w:t>-</w:t>
      </w:r>
      <w:r w:rsidR="005D14EB">
        <w:t>£42.28m)</w:t>
      </w:r>
      <w:r w:rsidR="0027733D">
        <w:t xml:space="preserve">. </w:t>
      </w:r>
      <w:r w:rsidR="0057016C">
        <w:t xml:space="preserve">That £36.18m also corresponded to the undrawn portion of Tranche C of the HAL RCF, the total amount available under Tranche C being £43.46m. (The HAL RCF also provided for a fourth tranche of £35m, Tranche D, although it was never used.) </w:t>
      </w:r>
      <w:r w:rsidR="00E5362D">
        <w:t>HAL</w:t>
      </w:r>
      <w:r w:rsidR="00285474">
        <w:t xml:space="preserve"> had injected £35m</w:t>
      </w:r>
      <w:r w:rsidR="005E1F08">
        <w:t xml:space="preserve"> sourced from the Investors</w:t>
      </w:r>
      <w:r w:rsidR="00285474">
        <w:t xml:space="preserve"> but had ended up </w:t>
      </w:r>
      <w:r w:rsidR="00D84B6E">
        <w:t>with</w:t>
      </w:r>
      <w:r w:rsidR="00252014">
        <w:t xml:space="preserve"> </w:t>
      </w:r>
      <w:r w:rsidR="000D2626">
        <w:t>£36.18m more</w:t>
      </w:r>
      <w:r w:rsidR="00252014">
        <w:t xml:space="preserve"> </w:t>
      </w:r>
      <w:r w:rsidR="00D84B6E">
        <w:t xml:space="preserve">than that </w:t>
      </w:r>
      <w:r w:rsidR="000D2626">
        <w:t>(</w:t>
      </w:r>
      <w:r w:rsidR="00252014">
        <w:t>£71</w:t>
      </w:r>
      <w:r w:rsidR="000D2626">
        <w:t>.</w:t>
      </w:r>
      <w:r w:rsidR="00252014">
        <w:t>18</w:t>
      </w:r>
      <w:r w:rsidR="000D2626">
        <w:t>m</w:t>
      </w:r>
      <w:r w:rsidR="00252014">
        <w:t>-£35m</w:t>
      </w:r>
      <w:r w:rsidR="000D2626">
        <w:t>)</w:t>
      </w:r>
      <w:r w:rsidR="00763E59">
        <w:t>.</w:t>
      </w:r>
      <w:r w:rsidR="00285474">
        <w:t xml:space="preserve"> </w:t>
      </w:r>
      <w:r w:rsidR="0027733D">
        <w:t>N</w:t>
      </w:r>
      <w:r w:rsidR="003235E0">
        <w:t xml:space="preserve">one of the cash </w:t>
      </w:r>
      <w:r w:rsidR="0027733D">
        <w:t>ended up</w:t>
      </w:r>
      <w:r w:rsidR="003235E0">
        <w:t xml:space="preserve"> with Comet</w:t>
      </w:r>
      <w:r w:rsidR="0027733D">
        <w:t>.</w:t>
      </w:r>
      <w:r w:rsidR="00F36F77">
        <w:t xml:space="preserve"> </w:t>
      </w:r>
    </w:p>
    <w:p w14:paraId="663F7AF5" w14:textId="130CD3E4" w:rsidR="00D8065F" w:rsidRDefault="007D4438" w:rsidP="0054670F">
      <w:pPr>
        <w:pStyle w:val="BodyText"/>
      </w:pPr>
      <w:r>
        <w:t xml:space="preserve">In addition to the £36.18m, </w:t>
      </w:r>
      <w:r w:rsidR="00D8065F">
        <w:t>HAL</w:t>
      </w:r>
      <w:r w:rsidR="009C0E9D">
        <w:t xml:space="preserve"> </w:t>
      </w:r>
      <w:r w:rsidR="00E01C1E">
        <w:t xml:space="preserve">also </w:t>
      </w:r>
      <w:r w:rsidR="009C0E9D">
        <w:t>obtained security</w:t>
      </w:r>
      <w:r w:rsidR="00453B8E">
        <w:t>, in the form of fixed and floating charges</w:t>
      </w:r>
      <w:r w:rsidR="008823E2">
        <w:t>,</w:t>
      </w:r>
      <w:r w:rsidR="009C0E9D">
        <w:t xml:space="preserve"> over </w:t>
      </w:r>
      <w:r w:rsidR="008823E2">
        <w:t>Comet’s assets</w:t>
      </w:r>
      <w:r w:rsidR="00B31A4B">
        <w:t xml:space="preserve">, </w:t>
      </w:r>
      <w:r w:rsidR="004979CD">
        <w:t>in respect of a debt which totalled approximately £115.4m at completion.</w:t>
      </w:r>
      <w:r w:rsidR="00E11435">
        <w:t xml:space="preserve"> </w:t>
      </w:r>
      <w:r w:rsidR="006C3B75">
        <w:t>In</w:t>
      </w:r>
      <w:r w:rsidR="00C94170">
        <w:t xml:space="preserve"> view of the nature of its assets</w:t>
      </w:r>
      <w:r w:rsidR="00EB5B53">
        <w:t xml:space="preserve"> the value of the security was </w:t>
      </w:r>
      <w:r w:rsidR="006C3B75">
        <w:t>predominantly</w:t>
      </w:r>
      <w:r w:rsidR="00EB5B53">
        <w:t xml:space="preserve"> in Comet’s stock, a floating charge </w:t>
      </w:r>
      <w:r w:rsidR="004E1CE8">
        <w:t>asset.</w:t>
      </w:r>
      <w:r w:rsidR="00C260F2">
        <w:t xml:space="preserve"> It follows that</w:t>
      </w:r>
      <w:r w:rsidR="003706B0">
        <w:t xml:space="preserve"> </w:t>
      </w:r>
      <w:r w:rsidR="00840E0F">
        <w:t>HAL</w:t>
      </w:r>
      <w:r w:rsidR="003706B0">
        <w:t xml:space="preserve"> was effectively guaranteed a sizeable profit</w:t>
      </w:r>
      <w:r w:rsidR="00322845">
        <w:t xml:space="preserve"> even if Comet failed, </w:t>
      </w:r>
      <w:r w:rsidR="0040588E">
        <w:t>subject only to the potential erosion of that profit through the injection of</w:t>
      </w:r>
      <w:r w:rsidR="00322845">
        <w:t xml:space="preserve"> </w:t>
      </w:r>
      <w:r w:rsidR="0040588E">
        <w:t>additional</w:t>
      </w:r>
      <w:r w:rsidR="00322845">
        <w:t xml:space="preserve"> funds</w:t>
      </w:r>
      <w:r w:rsidR="00E9195D">
        <w:t>.</w:t>
      </w:r>
    </w:p>
    <w:p w14:paraId="43C18BA9" w14:textId="6058937B" w:rsidR="00C06C13" w:rsidRDefault="00C06C13" w:rsidP="00C06C13">
      <w:pPr>
        <w:pStyle w:val="Heading3"/>
      </w:pPr>
      <w:r>
        <w:t>The HAL RCF</w:t>
      </w:r>
    </w:p>
    <w:p w14:paraId="411EAEC6" w14:textId="51FB8EDD" w:rsidR="00C06C13" w:rsidRDefault="0085536D" w:rsidP="0054670F">
      <w:pPr>
        <w:pStyle w:val="BodyText"/>
      </w:pPr>
      <w:r>
        <w:t>As</w:t>
      </w:r>
      <w:r w:rsidR="002F5FAB">
        <w:t xml:space="preserve"> already indicated, the HAL RCF </w:t>
      </w:r>
      <w:r w:rsidR="00E603B3">
        <w:t>comprised</w:t>
      </w:r>
      <w:r w:rsidR="002F5FAB">
        <w:t xml:space="preserve"> four tranches</w:t>
      </w:r>
      <w:r w:rsidR="00CE0192">
        <w:t xml:space="preserve">, Tranche A of £35m, Tranche B </w:t>
      </w:r>
      <w:r w:rsidR="00347363">
        <w:t>of</w:t>
      </w:r>
      <w:r w:rsidR="00C769FE">
        <w:t xml:space="preserve"> approximately</w:t>
      </w:r>
      <w:r w:rsidR="00347363">
        <w:t xml:space="preserve"> £73</w:t>
      </w:r>
      <w:r w:rsidR="0005074A">
        <w:t>.14m, Tranche C of £43.46m and Tranche D o</w:t>
      </w:r>
      <w:r w:rsidR="00C769FE">
        <w:t>f</w:t>
      </w:r>
      <w:r w:rsidR="0005074A">
        <w:t xml:space="preserve"> £35m</w:t>
      </w:r>
      <w:r w:rsidR="00C769FE">
        <w:t>,</w:t>
      </w:r>
      <w:r w:rsidR="0005074A">
        <w:t xml:space="preserve"> in total around </w:t>
      </w:r>
      <w:r w:rsidR="00235888">
        <w:t>£186.6m</w:t>
      </w:r>
      <w:r w:rsidR="00C769FE">
        <w:t>.</w:t>
      </w:r>
      <w:r w:rsidR="00403D56">
        <w:t xml:space="preserve"> The total amount drawn down during the Disposal process was </w:t>
      </w:r>
      <w:r w:rsidR="00A23E00">
        <w:t xml:space="preserve">around </w:t>
      </w:r>
      <w:r w:rsidR="006E07F7">
        <w:t>£115.4m</w:t>
      </w:r>
      <w:r w:rsidR="004D1E08">
        <w:t xml:space="preserve">, </w:t>
      </w:r>
      <w:r w:rsidR="00B33937">
        <w:t>equal to the amount required to repay the KIL RCF</w:t>
      </w:r>
      <w:r w:rsidR="0008265F">
        <w:t xml:space="preserve">. </w:t>
      </w:r>
    </w:p>
    <w:p w14:paraId="1F2C5E0F" w14:textId="48B060E5" w:rsidR="002E242D" w:rsidRDefault="00841178" w:rsidP="0054670F">
      <w:pPr>
        <w:pStyle w:val="BodyText"/>
      </w:pPr>
      <w:bookmarkStart w:id="17" w:name="_Ref118212798"/>
      <w:r>
        <w:t>Among other provisions, t</w:t>
      </w:r>
      <w:r w:rsidR="002E242D">
        <w:t xml:space="preserve">he </w:t>
      </w:r>
      <w:r>
        <w:t>terms</w:t>
      </w:r>
      <w:r w:rsidR="002E242D">
        <w:t xml:space="preserve"> of the HAL RCF</w:t>
      </w:r>
      <w:r w:rsidR="00C2294B">
        <w:t xml:space="preserve"> required </w:t>
      </w:r>
      <w:r w:rsidR="00C05828">
        <w:t>excess cash to be applied weekly in payment of amounts owed</w:t>
      </w:r>
      <w:r w:rsidR="00B23DCE">
        <w:t>,</w:t>
      </w:r>
      <w:r w:rsidR="00CC0469">
        <w:t xml:space="preserve"> and</w:t>
      </w:r>
      <w:r w:rsidR="00C05828" w:rsidRPr="00C05828">
        <w:t xml:space="preserve"> </w:t>
      </w:r>
      <w:r w:rsidR="00C05828">
        <w:t xml:space="preserve">required </w:t>
      </w:r>
      <w:r w:rsidR="00C2294B">
        <w:t>H</w:t>
      </w:r>
      <w:r w:rsidR="00CE28A5">
        <w:t xml:space="preserve">2L’s </w:t>
      </w:r>
      <w:r w:rsidR="00C2294B">
        <w:t xml:space="preserve">consent </w:t>
      </w:r>
      <w:r w:rsidR="00592630">
        <w:t xml:space="preserve">for any </w:t>
      </w:r>
      <w:r w:rsidR="00535788">
        <w:t xml:space="preserve">subsequent </w:t>
      </w:r>
      <w:r w:rsidR="00592630">
        <w:t>drawdown</w:t>
      </w:r>
      <w:r w:rsidR="00CC0469">
        <w:t xml:space="preserve">. There was also </w:t>
      </w:r>
      <w:r w:rsidR="00FB70DE">
        <w:t>a “clean down” provision requiring net borr</w:t>
      </w:r>
      <w:r w:rsidR="00F33BEB">
        <w:t xml:space="preserve">owings to return to </w:t>
      </w:r>
      <w:r w:rsidR="00C2294B">
        <w:t>zero</w:t>
      </w:r>
      <w:r w:rsidR="00F33BEB">
        <w:t xml:space="preserve"> for at least five successive business days each year</w:t>
      </w:r>
      <w:r w:rsidR="00756A3D">
        <w:t>. The</w:t>
      </w:r>
      <w:r w:rsidR="000C69FF">
        <w:t xml:space="preserve"> final maturity date was the fifth anniversary, although HAL could call </w:t>
      </w:r>
      <w:r w:rsidR="00CE3DC5">
        <w:t>in the loan at any time.</w:t>
      </w:r>
      <w:r w:rsidR="0083735B">
        <w:t xml:space="preserve"> The </w:t>
      </w:r>
      <w:r w:rsidR="00987003">
        <w:t>events of default included insolvency.</w:t>
      </w:r>
      <w:bookmarkEnd w:id="17"/>
    </w:p>
    <w:p w14:paraId="2A80AC50" w14:textId="4C5BB294" w:rsidR="002178C5" w:rsidRDefault="002178C5" w:rsidP="0054670F">
      <w:pPr>
        <w:pStyle w:val="BodyText"/>
      </w:pPr>
      <w:bookmarkStart w:id="18" w:name="_Ref118193780"/>
      <w:bookmarkStart w:id="19" w:name="_Ref118212805"/>
      <w:r>
        <w:t xml:space="preserve">Comet also executed a Governance Agreement </w:t>
      </w:r>
      <w:r w:rsidR="00896575">
        <w:t>which, among other things, required it to obtain HAL’s consent to any drawdown under the ABL facility</w:t>
      </w:r>
      <w:bookmarkEnd w:id="18"/>
      <w:r w:rsidR="007C3563">
        <w:t>.</w:t>
      </w:r>
      <w:bookmarkEnd w:id="19"/>
    </w:p>
    <w:p w14:paraId="541C88D3" w14:textId="032DE27B" w:rsidR="00843B2A" w:rsidRDefault="00843B2A" w:rsidP="00843B2A">
      <w:pPr>
        <w:pStyle w:val="Heading3"/>
      </w:pPr>
      <w:r>
        <w:t xml:space="preserve">The </w:t>
      </w:r>
      <w:r w:rsidR="00AE3F64">
        <w:t>C</w:t>
      </w:r>
      <w:r>
        <w:t xml:space="preserve">ompletion </w:t>
      </w:r>
      <w:r w:rsidR="00AE3F64">
        <w:t>M</w:t>
      </w:r>
      <w:r>
        <w:t>inutes</w:t>
      </w:r>
    </w:p>
    <w:p w14:paraId="4F7847E8" w14:textId="26C1FD72" w:rsidR="00843B2A" w:rsidRDefault="0018108C" w:rsidP="00843B2A">
      <w:pPr>
        <w:pStyle w:val="BodyText"/>
      </w:pPr>
      <w:r>
        <w:t>As already noted, Comet was a not a party to the SPA</w:t>
      </w:r>
      <w:r w:rsidR="002C53D9">
        <w:t xml:space="preserve">, </w:t>
      </w:r>
      <w:r w:rsidR="00AB7D7B">
        <w:t xml:space="preserve">but the process envisaged by it required it to take a number of steps. </w:t>
      </w:r>
      <w:r w:rsidR="00F13407">
        <w:t>As well as the further detail in the Completion Agreement</w:t>
      </w:r>
      <w:r w:rsidR="00435A86">
        <w:t>, those steps</w:t>
      </w:r>
      <w:r w:rsidR="00E64931">
        <w:t xml:space="preserve"> are reflected in</w:t>
      </w:r>
      <w:r w:rsidR="00FA4D93">
        <w:t xml:space="preserve"> detailed, and obviously previously drafted and agreed,</w:t>
      </w:r>
      <w:r w:rsidR="00E64931">
        <w:t xml:space="preserve"> minutes of a Board meeting held at 2.30pm on </w:t>
      </w:r>
      <w:r w:rsidR="00755B15">
        <w:t>the date of completion</w:t>
      </w:r>
      <w:r w:rsidR="00FE53DE">
        <w:t>,</w:t>
      </w:r>
      <w:r w:rsidR="00755B15">
        <w:t xml:space="preserve"> 3 February 2012</w:t>
      </w:r>
      <w:r w:rsidR="00FE53DE">
        <w:t xml:space="preserve"> (the “Completion Minutes”)</w:t>
      </w:r>
      <w:r w:rsidR="00755B15">
        <w:t>.</w:t>
      </w:r>
      <w:r w:rsidR="008434CF">
        <w:t xml:space="preserve"> </w:t>
      </w:r>
      <w:r w:rsidR="00A23165">
        <w:t>F</w:t>
      </w:r>
      <w:r w:rsidR="008434CF">
        <w:t>or present purposes the following summary will suffice:</w:t>
      </w:r>
    </w:p>
    <w:p w14:paraId="255A9E9B" w14:textId="3855CED3" w:rsidR="00D37DDF" w:rsidRDefault="00B223FA" w:rsidP="008434CF">
      <w:pPr>
        <w:pStyle w:val="BodyText"/>
        <w:numPr>
          <w:ilvl w:val="1"/>
          <w:numId w:val="1"/>
        </w:numPr>
      </w:pPr>
      <w:r>
        <w:t>The existing Board de</w:t>
      </w:r>
      <w:r w:rsidR="00AF0880">
        <w:t>al</w:t>
      </w:r>
      <w:r>
        <w:t xml:space="preserve">t </w:t>
      </w:r>
      <w:r w:rsidR="00AF0880">
        <w:t xml:space="preserve">with </w:t>
      </w:r>
      <w:r w:rsidR="008D5605">
        <w:t xml:space="preserve">the </w:t>
      </w:r>
      <w:r w:rsidR="00AF0880">
        <w:t>capitalisation of £13.6m of the KI</w:t>
      </w:r>
      <w:r w:rsidR="00496512">
        <w:t>L RCF</w:t>
      </w:r>
      <w:r w:rsidR="00E07ABC">
        <w:t xml:space="preserve"> and </w:t>
      </w:r>
      <w:r w:rsidR="00234ABF">
        <w:t xml:space="preserve">the </w:t>
      </w:r>
      <w:r w:rsidR="00E07ABC">
        <w:t xml:space="preserve">approval of the transfer of the </w:t>
      </w:r>
      <w:r w:rsidR="005877D3">
        <w:t>shares in Comet to HAL</w:t>
      </w:r>
      <w:r w:rsidR="00496512">
        <w:t xml:space="preserve">. </w:t>
      </w:r>
    </w:p>
    <w:p w14:paraId="219E38FC" w14:textId="4B8F56AF" w:rsidR="008434CF" w:rsidRDefault="00496512" w:rsidP="008434CF">
      <w:pPr>
        <w:pStyle w:val="BodyText"/>
        <w:numPr>
          <w:ilvl w:val="1"/>
          <w:numId w:val="1"/>
        </w:numPr>
      </w:pPr>
      <w:r>
        <w:t>All except Mr Darke then resigned</w:t>
      </w:r>
      <w:r w:rsidR="000057E8">
        <w:t xml:space="preserve"> as directors</w:t>
      </w:r>
      <w:r>
        <w:t xml:space="preserve">, </w:t>
      </w:r>
      <w:r w:rsidR="000057E8">
        <w:t>and John Clare and Carl Cowling were appointed</w:t>
      </w:r>
      <w:r w:rsidR="00AC5B3B">
        <w:t xml:space="preserve"> (together with Mr Darke, the “New Board”)</w:t>
      </w:r>
      <w:r w:rsidR="000057E8">
        <w:t>.</w:t>
      </w:r>
      <w:r w:rsidR="00C06FD7">
        <w:t xml:space="preserve"> The </w:t>
      </w:r>
      <w:r w:rsidR="000C4CC8">
        <w:t>Completion</w:t>
      </w:r>
      <w:r w:rsidR="00C06FD7">
        <w:t xml:space="preserve"> </w:t>
      </w:r>
      <w:r w:rsidR="000C4CC8">
        <w:t>M</w:t>
      </w:r>
      <w:r w:rsidR="00C06FD7">
        <w:t>inutes emphasi</w:t>
      </w:r>
      <w:r w:rsidR="00272237">
        <w:t xml:space="preserve">se that none of the resigning directors took any part in the </w:t>
      </w:r>
      <w:r w:rsidR="00E325FC">
        <w:t>decisions that followed.</w:t>
      </w:r>
    </w:p>
    <w:p w14:paraId="1CF8F66D" w14:textId="392EA996" w:rsidR="00E14572" w:rsidRDefault="001959D3" w:rsidP="008434CF">
      <w:pPr>
        <w:pStyle w:val="BodyText"/>
        <w:numPr>
          <w:ilvl w:val="1"/>
          <w:numId w:val="1"/>
        </w:numPr>
      </w:pPr>
      <w:r>
        <w:t xml:space="preserve">Section 16 of the </w:t>
      </w:r>
      <w:r w:rsidR="000C4CC8">
        <w:t>Completion Minutes</w:t>
      </w:r>
      <w:r>
        <w:t xml:space="preserve"> records that the</w:t>
      </w:r>
      <w:r w:rsidR="006A5ED7">
        <w:t xml:space="preserve"> </w:t>
      </w:r>
      <w:r w:rsidR="00613A56">
        <w:t xml:space="preserve">New </w:t>
      </w:r>
      <w:r w:rsidR="006A5ED7">
        <w:t>Board</w:t>
      </w:r>
      <w:r w:rsidR="0090391B">
        <w:t xml:space="preserve"> </w:t>
      </w:r>
      <w:r w:rsidR="00A23165">
        <w:t>then reviewed Comet’s financial position</w:t>
      </w:r>
      <w:r w:rsidR="0045187B">
        <w:t xml:space="preserve"> by reference to an 18 month business plan</w:t>
      </w:r>
      <w:r w:rsidR="00A23165">
        <w:t>.</w:t>
      </w:r>
      <w:r w:rsidR="0045187B">
        <w:t xml:space="preserve"> This is likely to have been</w:t>
      </w:r>
      <w:r w:rsidR="00A07225">
        <w:t xml:space="preserve"> the plan produced by Alvarez &amp; Marsal (see [</w:t>
      </w:r>
      <w:r w:rsidR="00990598">
        <w:fldChar w:fldCharType="begin"/>
      </w:r>
      <w:r w:rsidR="00990598">
        <w:instrText xml:space="preserve"> REF _Ref117595132 \r \h </w:instrText>
      </w:r>
      <w:r w:rsidR="00990598">
        <w:fldChar w:fldCharType="separate"/>
      </w:r>
      <w:r w:rsidR="00E762C8">
        <w:t>35</w:t>
      </w:r>
      <w:r w:rsidR="00990598">
        <w:fldChar w:fldCharType="end"/>
      </w:r>
      <w:r w:rsidR="00A07225">
        <w:t>] above)</w:t>
      </w:r>
      <w:r w:rsidR="00990598">
        <w:t>.</w:t>
      </w:r>
      <w:r w:rsidR="005808F3">
        <w:t xml:space="preserve"> </w:t>
      </w:r>
      <w:r w:rsidR="007D42BE">
        <w:t>Section 17</w:t>
      </w:r>
      <w:r w:rsidR="006028AC">
        <w:t xml:space="preserve"> contains a discussion of the financing documents</w:t>
      </w:r>
      <w:r w:rsidR="00020739">
        <w:t xml:space="preserve"> and </w:t>
      </w:r>
      <w:r w:rsidR="007C78A9">
        <w:t>Comet’s cash flow forecast</w:t>
      </w:r>
      <w:r w:rsidR="006028AC">
        <w:t>. I</w:t>
      </w:r>
      <w:r w:rsidR="00A23165">
        <w:t xml:space="preserve"> will return to the detail of th</w:t>
      </w:r>
      <w:r w:rsidR="006028AC">
        <w:t>ese</w:t>
      </w:r>
      <w:r w:rsidR="00A23165">
        <w:t xml:space="preserve"> later.</w:t>
      </w:r>
    </w:p>
    <w:p w14:paraId="030A12E4" w14:textId="2C22D5CD" w:rsidR="00866DC0" w:rsidRDefault="00E14572" w:rsidP="008434CF">
      <w:pPr>
        <w:pStyle w:val="BodyText"/>
        <w:numPr>
          <w:ilvl w:val="1"/>
          <w:numId w:val="1"/>
        </w:numPr>
      </w:pPr>
      <w:r>
        <w:t xml:space="preserve">The </w:t>
      </w:r>
      <w:r w:rsidR="00BA6C20">
        <w:t xml:space="preserve">New </w:t>
      </w:r>
      <w:r>
        <w:t xml:space="preserve">Board </w:t>
      </w:r>
      <w:r w:rsidR="006A5ED7">
        <w:t>then approved the entry</w:t>
      </w:r>
      <w:r w:rsidR="00A61E29">
        <w:t xml:space="preserve"> of Comet</w:t>
      </w:r>
      <w:r w:rsidR="006A5ED7">
        <w:t xml:space="preserve"> into the Completion Agreement, the HAL RCF</w:t>
      </w:r>
      <w:r w:rsidR="00D4363E">
        <w:t xml:space="preserve"> and debenture</w:t>
      </w:r>
      <w:r w:rsidR="004C297A">
        <w:t xml:space="preserve"> and</w:t>
      </w:r>
      <w:r w:rsidR="00D67A25">
        <w:t xml:space="preserve"> the ABL facility and related debenture</w:t>
      </w:r>
      <w:r w:rsidR="00AA47AD">
        <w:t xml:space="preserve">, together with the </w:t>
      </w:r>
      <w:r w:rsidR="00EF223F">
        <w:t>drawings on the HAL RCF and repayment of the KIL RCF in the three tranches</w:t>
      </w:r>
      <w:r w:rsidR="00F24167">
        <w:t xml:space="preserve"> already discussed</w:t>
      </w:r>
      <w:r w:rsidR="00EF223F">
        <w:t>.</w:t>
      </w:r>
      <w:r w:rsidR="00897ECC">
        <w:t xml:space="preserve"> Various other documents were also approved</w:t>
      </w:r>
      <w:r w:rsidR="004C297A">
        <w:t xml:space="preserve">. </w:t>
      </w:r>
    </w:p>
    <w:p w14:paraId="3E3D8C42" w14:textId="528B5EDB" w:rsidR="00D37DDF" w:rsidRDefault="00890C88" w:rsidP="008434CF">
      <w:pPr>
        <w:pStyle w:val="BodyText"/>
        <w:numPr>
          <w:ilvl w:val="1"/>
          <w:numId w:val="1"/>
        </w:numPr>
      </w:pPr>
      <w:r>
        <w:t>Section 2</w:t>
      </w:r>
      <w:r w:rsidR="00A67E00">
        <w:t>1 recognises the net effect of the transactions, na</w:t>
      </w:r>
      <w:r w:rsidR="00923E60">
        <w:t>mely that Comet would be indebted to HAL in the sum of £115,415,523, but w</w:t>
      </w:r>
      <w:r w:rsidR="00866DC0">
        <w:t>ould</w:t>
      </w:r>
      <w:r w:rsidR="00923E60">
        <w:t xml:space="preserve"> have used all those funds in repaying </w:t>
      </w:r>
      <w:r w:rsidR="00CA20F6">
        <w:t>existing</w:t>
      </w:r>
      <w:r w:rsidR="00923E60">
        <w:t xml:space="preserve"> debt, </w:t>
      </w:r>
      <w:r w:rsidR="00866DC0">
        <w:t xml:space="preserve">and </w:t>
      </w:r>
      <w:r w:rsidR="00CA20F6">
        <w:t>that it would be free of unsecured liabilities to</w:t>
      </w:r>
      <w:r w:rsidR="001C537E">
        <w:t xml:space="preserve"> KIL and to</w:t>
      </w:r>
      <w:r w:rsidR="00CA20F6">
        <w:t xml:space="preserve"> the DB Scheme </w:t>
      </w:r>
      <w:r w:rsidR="006D4C28">
        <w:t xml:space="preserve">but HAL would have security over all of </w:t>
      </w:r>
      <w:r w:rsidR="002750C7">
        <w:t>its</w:t>
      </w:r>
      <w:r w:rsidR="006D4C28">
        <w:t xml:space="preserve"> asse</w:t>
      </w:r>
      <w:r w:rsidR="002750C7">
        <w:t xml:space="preserve">ts, which it would be able to enforce on the occurrence of an event of default. </w:t>
      </w:r>
      <w:r w:rsidR="006E4BD0">
        <w:t xml:space="preserve">It was also noted that </w:t>
      </w:r>
      <w:r w:rsidR="00455BAD">
        <w:t>Comet’s ability to meet its debts as they fell due would in part depend on</w:t>
      </w:r>
      <w:r w:rsidR="00177372">
        <w:t xml:space="preserve"> consent being given to the draw down of further funds</w:t>
      </w:r>
      <w:r w:rsidR="00637D10">
        <w:t>, that the value of its assets</w:t>
      </w:r>
      <w:r w:rsidR="00D05221">
        <w:t xml:space="preserve"> might not exceed the secured debt bearing in mind, among other things, that much of the stock would be subject to retention of title</w:t>
      </w:r>
      <w:r w:rsidR="00C239EF">
        <w:t xml:space="preserve"> and leases would be unlikely to carry any premium value</w:t>
      </w:r>
      <w:r w:rsidR="00157E10">
        <w:t>, and that</w:t>
      </w:r>
      <w:r w:rsidR="00C10CBE">
        <w:t xml:space="preserve"> there was a risk that the ultimate investors could engineer a transfer of the enterprise value</w:t>
      </w:r>
      <w:r w:rsidR="007D7A5C">
        <w:t xml:space="preserve"> by a sale in an amount up to the secured debt, leaving unsecured creditors with little or nothing.</w:t>
      </w:r>
      <w:r w:rsidR="00F724AF">
        <w:t xml:space="preserve"> Again, I will return to this later</w:t>
      </w:r>
      <w:r w:rsidR="00C06C13">
        <w:t>.</w:t>
      </w:r>
    </w:p>
    <w:p w14:paraId="03E62A40" w14:textId="66339C68" w:rsidR="00C61D53" w:rsidRDefault="009F1569" w:rsidP="00C61D53">
      <w:pPr>
        <w:pStyle w:val="Heading2"/>
      </w:pPr>
      <w:r>
        <w:t>Events following completion</w:t>
      </w:r>
    </w:p>
    <w:p w14:paraId="14533448" w14:textId="236493D9" w:rsidR="00205360" w:rsidRDefault="001B086C" w:rsidP="007219A8">
      <w:pPr>
        <w:pStyle w:val="BodyText"/>
      </w:pPr>
      <w:r>
        <w:t>I</w:t>
      </w:r>
      <w:r w:rsidR="00690A89">
        <w:t xml:space="preserve">n the first few </w:t>
      </w:r>
      <w:r w:rsidR="00F547E1">
        <w:t>months after completion, Comet’s management</w:t>
      </w:r>
      <w:r w:rsidR="007803F1">
        <w:t xml:space="preserve"> appeared to be relatively positive about the outlook</w:t>
      </w:r>
      <w:r w:rsidR="00637A17">
        <w:t xml:space="preserve">. </w:t>
      </w:r>
      <w:r w:rsidR="008D67C4">
        <w:t>The</w:t>
      </w:r>
      <w:r w:rsidR="00637A17">
        <w:t xml:space="preserve"> </w:t>
      </w:r>
      <w:r w:rsidR="00637A17" w:rsidRPr="008D67C4">
        <w:t xml:space="preserve">“100 day” </w:t>
      </w:r>
      <w:r w:rsidR="00921C06" w:rsidRPr="008D67C4">
        <w:t>plan</w:t>
      </w:r>
      <w:r w:rsidR="00921C06">
        <w:t xml:space="preserve"> was implemented and </w:t>
      </w:r>
      <w:r w:rsidR="005B344E">
        <w:t>cash-flow forecast</w:t>
      </w:r>
      <w:r w:rsidR="008D67C4">
        <w:t>s</w:t>
      </w:r>
      <w:r w:rsidR="005B344E">
        <w:t xml:space="preserve"> indicated that Comet should be able to trade through the peak Christmas season</w:t>
      </w:r>
      <w:r w:rsidR="00AD7F43">
        <w:t xml:space="preserve"> within its borrowing facilities.</w:t>
      </w:r>
      <w:r w:rsidR="003B7AC9">
        <w:t xml:space="preserve"> Comet also replaced the onerous ABL facility that had been agreed at completion</w:t>
      </w:r>
      <w:r w:rsidR="000B176D">
        <w:t xml:space="preserve"> with </w:t>
      </w:r>
      <w:r w:rsidR="007505D2">
        <w:t xml:space="preserve">a more reasonable </w:t>
      </w:r>
      <w:r w:rsidR="006E7D8B">
        <w:t xml:space="preserve">£30m </w:t>
      </w:r>
      <w:r w:rsidR="007505D2">
        <w:t>facility</w:t>
      </w:r>
      <w:r w:rsidR="00232C84">
        <w:t xml:space="preserve"> from a</w:t>
      </w:r>
      <w:r w:rsidR="000B6A87">
        <w:t>n established</w:t>
      </w:r>
      <w:r w:rsidR="00232C84">
        <w:t xml:space="preserve"> third party</w:t>
      </w:r>
      <w:r w:rsidR="000B6A87">
        <w:t xml:space="preserve"> inventory</w:t>
      </w:r>
      <w:r w:rsidR="00232C84">
        <w:t xml:space="preserve"> lender</w:t>
      </w:r>
      <w:r w:rsidR="003148EF">
        <w:t xml:space="preserve">, PNC </w:t>
      </w:r>
      <w:r w:rsidR="0010673E">
        <w:t>Business Credit (“PNC”)</w:t>
      </w:r>
      <w:r w:rsidR="00232C84">
        <w:t>.</w:t>
      </w:r>
      <w:r w:rsidR="002514E7">
        <w:t xml:space="preserve"> </w:t>
      </w:r>
      <w:r w:rsidR="00205090">
        <w:t xml:space="preserve">Although a withdrawal </w:t>
      </w:r>
      <w:r w:rsidR="00FE0BD4">
        <w:t>of credit insurance shortly before the Disposal</w:t>
      </w:r>
      <w:r w:rsidR="00594AA1">
        <w:t xml:space="preserve"> (see [</w:t>
      </w:r>
      <w:r w:rsidR="00594AA1">
        <w:fldChar w:fldCharType="begin"/>
      </w:r>
      <w:r w:rsidR="00594AA1">
        <w:instrText xml:space="preserve"> REF _Ref117849417 \r \h </w:instrText>
      </w:r>
      <w:r w:rsidR="00594AA1">
        <w:fldChar w:fldCharType="separate"/>
      </w:r>
      <w:r w:rsidR="00E762C8">
        <w:t>33</w:t>
      </w:r>
      <w:r w:rsidR="00594AA1">
        <w:fldChar w:fldCharType="end"/>
      </w:r>
      <w:r w:rsidR="00594AA1">
        <w:t>] above)</w:t>
      </w:r>
      <w:r w:rsidR="00FB3BCB">
        <w:t xml:space="preserve"> caused problems</w:t>
      </w:r>
      <w:r w:rsidR="00C33038">
        <w:t>, th</w:t>
      </w:r>
      <w:r w:rsidR="00FB3BCB">
        <w:t>ese were</w:t>
      </w:r>
      <w:r w:rsidR="00C33038">
        <w:t xml:space="preserve"> addressed in various </w:t>
      </w:r>
      <w:r w:rsidR="00131464">
        <w:t>ways including retention of title or cash deposits</w:t>
      </w:r>
      <w:r w:rsidR="00FB3BCB">
        <w:t>. Limited credit insurance</w:t>
      </w:r>
      <w:r w:rsidR="00302BF3">
        <w:t xml:space="preserve"> was also provided </w:t>
      </w:r>
      <w:r w:rsidR="007D6B8B">
        <w:t>for a couple of suppliers, one being Panasonic.</w:t>
      </w:r>
    </w:p>
    <w:p w14:paraId="5C71588E" w14:textId="5F8D7642" w:rsidR="00B8398F" w:rsidRDefault="002514E7" w:rsidP="00B40C9F">
      <w:pPr>
        <w:pStyle w:val="BodyText"/>
      </w:pPr>
      <w:r>
        <w:t>However, sales weakened in August and September 2012</w:t>
      </w:r>
      <w:r w:rsidR="009B797C">
        <w:t xml:space="preserve">. </w:t>
      </w:r>
      <w:r w:rsidR="00953A0C">
        <w:t xml:space="preserve">Further, Comet </w:t>
      </w:r>
      <w:r w:rsidR="009B550D">
        <w:t xml:space="preserve">had </w:t>
      </w:r>
      <w:r w:rsidR="00516F9A">
        <w:t xml:space="preserve">a </w:t>
      </w:r>
      <w:r w:rsidR="009B550D">
        <w:t>greater need for credit from suppliers as it approached the peak trading season</w:t>
      </w:r>
      <w:r w:rsidR="00D46845">
        <w:t xml:space="preserve">, in order to build up stock. </w:t>
      </w:r>
      <w:r w:rsidR="006335B0">
        <w:t xml:space="preserve">Nevertheless, </w:t>
      </w:r>
      <w:r w:rsidR="00F24B1C">
        <w:t xml:space="preserve">in mid October the directors </w:t>
      </w:r>
      <w:r w:rsidR="00D1037C">
        <w:t xml:space="preserve">continued to consider </w:t>
      </w:r>
      <w:r w:rsidR="00840F4D">
        <w:t>that they could trade through the peak season with the headroom available on the HAL RCF</w:t>
      </w:r>
      <w:r w:rsidR="00B2564E">
        <w:t>.</w:t>
      </w:r>
      <w:r w:rsidR="00E47833">
        <w:t xml:space="preserve"> They reached the same view in late October notwithstanding the withdrawal of</w:t>
      </w:r>
      <w:r w:rsidR="0040531C">
        <w:t xml:space="preserve"> a credit facility that had been arranged </w:t>
      </w:r>
      <w:r w:rsidR="00E373C6">
        <w:t>by Samsung</w:t>
      </w:r>
      <w:r w:rsidR="00AB0EFD">
        <w:t xml:space="preserve"> and a lower level of cover being provided by Panasonic’s insurer</w:t>
      </w:r>
      <w:r w:rsidR="0076637E">
        <w:t>.</w:t>
      </w:r>
      <w:r w:rsidR="0040531C">
        <w:t xml:space="preserve"> </w:t>
      </w:r>
    </w:p>
    <w:p w14:paraId="5E0D92EF" w14:textId="37649C5A" w:rsidR="00045E29" w:rsidRDefault="00AB1020" w:rsidP="00B40C9F">
      <w:pPr>
        <w:pStyle w:val="BodyText"/>
      </w:pPr>
      <w:r>
        <w:t>In late October HAL indicated that it would no longer support</w:t>
      </w:r>
      <w:r w:rsidR="00732502">
        <w:t xml:space="preserve"> a previously proposed increase in the ABL facility</w:t>
      </w:r>
      <w:r w:rsidR="006E7D8B">
        <w:t xml:space="preserve">, and shortly </w:t>
      </w:r>
      <w:r w:rsidR="0038348F">
        <w:t>thereafter</w:t>
      </w:r>
      <w:r w:rsidR="006E7D8B">
        <w:t xml:space="preserve"> both declined</w:t>
      </w:r>
      <w:r w:rsidR="0038348F">
        <w:t xml:space="preserve"> a request to increase the Tranche C borrowing under the HAL RCF</w:t>
      </w:r>
      <w:r w:rsidR="00F9235C">
        <w:t xml:space="preserve"> and indicated that it was preparing to demand repayment of the </w:t>
      </w:r>
      <w:r w:rsidR="003148EF">
        <w:t xml:space="preserve">full amount outstanding. </w:t>
      </w:r>
      <w:r w:rsidR="0010673E">
        <w:t xml:space="preserve">HAL also acquired PNC’s rights under the ABL facility. </w:t>
      </w:r>
      <w:r w:rsidR="00F03A66">
        <w:t>Comet went into administration on 2 November 2012</w:t>
      </w:r>
      <w:r w:rsidR="00106082">
        <w:t xml:space="preserve">, and then into a creditors’ voluntary liquidation on 3 October </w:t>
      </w:r>
      <w:r w:rsidR="00205360">
        <w:t>2013.</w:t>
      </w:r>
      <w:r w:rsidR="007048D6">
        <w:t xml:space="preserve"> </w:t>
      </w:r>
    </w:p>
    <w:p w14:paraId="1A76E96E" w14:textId="1FC620E7" w:rsidR="0076637E" w:rsidRDefault="003D1417" w:rsidP="00B40C9F">
      <w:pPr>
        <w:pStyle w:val="BodyText"/>
      </w:pPr>
      <w:bookmarkStart w:id="20" w:name="_Ref117852944"/>
      <w:r>
        <w:t>A report prepared by Mr Walters in December 2012</w:t>
      </w:r>
      <w:r w:rsidR="001E6974">
        <w:t xml:space="preserve"> </w:t>
      </w:r>
      <w:r w:rsidR="00F2016A">
        <w:t>set out his view that</w:t>
      </w:r>
      <w:r w:rsidR="00220C2C">
        <w:t xml:space="preserve"> the key consideration in HAL withdrawing support when it did was</w:t>
      </w:r>
      <w:r w:rsidR="00213011">
        <w:t xml:space="preserve"> the ratio of inventory to </w:t>
      </w:r>
      <w:r w:rsidR="008B6F28">
        <w:t>creditor</w:t>
      </w:r>
      <w:r w:rsidR="00911327">
        <w:t xml:space="preserve">s. With less </w:t>
      </w:r>
      <w:r w:rsidR="007E395D">
        <w:t xml:space="preserve">credit available from </w:t>
      </w:r>
      <w:r w:rsidR="00911327">
        <w:t>suppliers</w:t>
      </w:r>
      <w:r w:rsidR="00FF3E07">
        <w:t xml:space="preserve">, the ratio </w:t>
      </w:r>
      <w:r w:rsidR="00491270">
        <w:t>would</w:t>
      </w:r>
      <w:r w:rsidR="00FF3E07">
        <w:t xml:space="preserve"> deteriorate</w:t>
      </w:r>
      <w:r w:rsidR="00C35897">
        <w:t xml:space="preserve"> over time</w:t>
      </w:r>
      <w:r w:rsidR="00161646">
        <w:t>. I</w:t>
      </w:r>
      <w:r w:rsidR="00213E9C">
        <w:t>n essence, there w</w:t>
      </w:r>
      <w:r w:rsidR="007E395D">
        <w:t>ould be</w:t>
      </w:r>
      <w:r w:rsidR="00213E9C">
        <w:t xml:space="preserve"> proportionately less</w:t>
      </w:r>
      <w:r w:rsidR="00183AA4">
        <w:t xml:space="preserve"> stock</w:t>
      </w:r>
      <w:r w:rsidR="00213E9C">
        <w:t xml:space="preserve"> that</w:t>
      </w:r>
      <w:r w:rsidR="00183AA4">
        <w:t xml:space="preserve"> </w:t>
      </w:r>
      <w:r w:rsidR="00213E9C">
        <w:t xml:space="preserve">had not been </w:t>
      </w:r>
      <w:r w:rsidR="00183AA4">
        <w:t>paid for</w:t>
      </w:r>
      <w:r w:rsidR="005E5260">
        <w:t xml:space="preserve">. </w:t>
      </w:r>
      <w:r w:rsidR="0066429A">
        <w:t>Mr Walters’ report</w:t>
      </w:r>
      <w:r w:rsidR="00572B11">
        <w:t xml:space="preserve"> refers to a </w:t>
      </w:r>
      <w:r w:rsidR="00702CB7">
        <w:t>Deloitte report</w:t>
      </w:r>
      <w:r w:rsidR="00D9144F">
        <w:t xml:space="preserve"> for OpCapita</w:t>
      </w:r>
      <w:r w:rsidR="00702CB7">
        <w:t xml:space="preserve"> </w:t>
      </w:r>
      <w:r w:rsidR="007F5987">
        <w:t xml:space="preserve">dating </w:t>
      </w:r>
      <w:r w:rsidR="00702CB7">
        <w:t xml:space="preserve">from January 2012 (“Project Venice”) that </w:t>
      </w:r>
      <w:r w:rsidR="00D65076">
        <w:t>showed that the optimum realisation</w:t>
      </w:r>
      <w:r w:rsidR="002E30C1">
        <w:t>s</w:t>
      </w:r>
      <w:r w:rsidR="00D65076">
        <w:t xml:space="preserve"> for </w:t>
      </w:r>
      <w:r w:rsidR="006930AC">
        <w:t xml:space="preserve">secured creditors were in November or December, when </w:t>
      </w:r>
      <w:r w:rsidR="006B16BE">
        <w:t>stock had built up for the peak period. Obviously</w:t>
      </w:r>
      <w:r w:rsidR="000A00BE">
        <w:t>, if stock had to be paid for through additional drawings on the HAL RCF, this benefit</w:t>
      </w:r>
      <w:r w:rsidR="00B51118">
        <w:t xml:space="preserve"> would</w:t>
      </w:r>
      <w:r w:rsidR="000A00BE">
        <w:t xml:space="preserve"> reduce.</w:t>
      </w:r>
      <w:r w:rsidR="00AB1E35">
        <w:t xml:space="preserve"> In contrast, if stock could be obtained on (unsecured) credit, then</w:t>
      </w:r>
      <w:r w:rsidR="00B51118">
        <w:t xml:space="preserve"> a</w:t>
      </w:r>
      <w:r w:rsidR="00AB1E35">
        <w:t xml:space="preserve"> </w:t>
      </w:r>
      <w:r w:rsidR="008B3522">
        <w:t>secured creditor</w:t>
      </w:r>
      <w:r w:rsidR="00B51118">
        <w:t xml:space="preserve"> such as HAL</w:t>
      </w:r>
      <w:r w:rsidR="008B3522">
        <w:t xml:space="preserve"> could</w:t>
      </w:r>
      <w:r w:rsidR="0046128C">
        <w:t xml:space="preserve"> potentially</w:t>
      </w:r>
      <w:r w:rsidR="008B3522">
        <w:t xml:space="preserve"> benefit at the expense of unsecured creditors.</w:t>
      </w:r>
      <w:bookmarkEnd w:id="20"/>
    </w:p>
    <w:p w14:paraId="65044175" w14:textId="3AF8236C" w:rsidR="009F1569" w:rsidRDefault="000159AA" w:rsidP="009F1569">
      <w:pPr>
        <w:pStyle w:val="BodyText"/>
      </w:pPr>
      <w:r>
        <w:t>The most recent liquidators’ report indicates that</w:t>
      </w:r>
      <w:r w:rsidR="004554F0">
        <w:t>, o</w:t>
      </w:r>
      <w:r w:rsidR="00A93CE2">
        <w:t>f</w:t>
      </w:r>
      <w:r w:rsidR="004554F0">
        <w:t xml:space="preserve"> c</w:t>
      </w:r>
      <w:r w:rsidR="00A93CE2">
        <w:t>.</w:t>
      </w:r>
      <w:r w:rsidR="004554F0">
        <w:t xml:space="preserve">£140m owed to HAL as a secured creditor, it has received </w:t>
      </w:r>
      <w:r w:rsidR="00080621">
        <w:t xml:space="preserve">£58.7m during the administration and a further </w:t>
      </w:r>
      <w:r w:rsidR="00F350EF">
        <w:t>£4.6m in the liquidation.</w:t>
      </w:r>
      <w:r w:rsidR="009916DE">
        <w:t xml:space="preserve"> Unsecured creditors have so far received</w:t>
      </w:r>
      <w:r w:rsidR="00F226CC">
        <w:t xml:space="preserve"> just</w:t>
      </w:r>
      <w:r w:rsidR="009916DE">
        <w:t xml:space="preserve"> 0.18p</w:t>
      </w:r>
      <w:r w:rsidR="005162E1">
        <w:t>/£</w:t>
      </w:r>
      <w:r w:rsidR="00517023">
        <w:t>, representing their statutory entitlem</w:t>
      </w:r>
      <w:r w:rsidR="006F1167">
        <w:t>ent to the “prescribed part” of floating charge realisations (</w:t>
      </w:r>
      <w:r w:rsidR="004024C7">
        <w:t>s.176A IA 1986</w:t>
      </w:r>
      <w:r w:rsidR="00005F79">
        <w:t>)</w:t>
      </w:r>
      <w:r w:rsidR="00E13CD0">
        <w:t>.</w:t>
      </w:r>
    </w:p>
    <w:p w14:paraId="6E0B1B78" w14:textId="59618DCC" w:rsidR="00CF2C4C" w:rsidRDefault="007A425C" w:rsidP="009946E8">
      <w:pPr>
        <w:pStyle w:val="BodyText"/>
      </w:pPr>
      <w:r>
        <w:t>Although a claim was issued to set aside HAL’s debenture</w:t>
      </w:r>
      <w:r w:rsidR="00CF2C4C">
        <w:t>, the Liquidator reached a settlement</w:t>
      </w:r>
      <w:r w:rsidR="00CC0901">
        <w:t xml:space="preserve"> with HAL. This involved HAL releasing £3m from its floating charge to fund the pursuit of the present claim</w:t>
      </w:r>
      <w:r w:rsidR="002D593C">
        <w:t xml:space="preserve">, which the Liquidator otherwise had no funds to pursue, </w:t>
      </w:r>
      <w:r w:rsidR="00336FC1">
        <w:t>in return for the Liquidator releasing the estate’s claims against HAL and against Comet’s directors.</w:t>
      </w:r>
      <w:r w:rsidR="00653BEB">
        <w:t xml:space="preserve"> Privilege was not waived in the relevant legal advice behind this settlement, </w:t>
      </w:r>
      <w:r w:rsidR="00A21095">
        <w:t xml:space="preserve">but relevant factors included that </w:t>
      </w:r>
      <w:r w:rsidR="00C90100">
        <w:t xml:space="preserve">HAL and HHL were special purpose vehicles, with HAL having </w:t>
      </w:r>
      <w:r w:rsidR="00120DDB">
        <w:t>long since paid away the realisations it had received, and</w:t>
      </w:r>
      <w:r w:rsidR="00B62FC7">
        <w:t xml:space="preserve"> that</w:t>
      </w:r>
      <w:r w:rsidR="00120DDB">
        <w:t xml:space="preserve"> the directors did not have insurance in place that would cover</w:t>
      </w:r>
      <w:r w:rsidR="006A0228">
        <w:t xml:space="preserve"> any</w:t>
      </w:r>
      <w:r w:rsidR="00120DDB">
        <w:t xml:space="preserve"> claims against them.</w:t>
      </w:r>
    </w:p>
    <w:p w14:paraId="7EF56663" w14:textId="5B961E1A" w:rsidR="00B5231E" w:rsidRDefault="00B5231E" w:rsidP="009946E8">
      <w:pPr>
        <w:pStyle w:val="BodyText"/>
      </w:pPr>
      <w:bookmarkStart w:id="21" w:name="_Ref118444103"/>
      <w:r>
        <w:t xml:space="preserve">Darty </w:t>
      </w:r>
      <w:r w:rsidR="00103E2A">
        <w:t xml:space="preserve">points to the fact that, as part of the </w:t>
      </w:r>
      <w:r w:rsidR="00A45DAF">
        <w:t xml:space="preserve">settlement, the </w:t>
      </w:r>
      <w:r w:rsidR="00CE2D36">
        <w:t>L</w:t>
      </w:r>
      <w:r w:rsidR="00A45DAF">
        <w:t xml:space="preserve">iquidator also agreed not to object to the admission of </w:t>
      </w:r>
      <w:r w:rsidR="00577F38">
        <w:t>a</w:t>
      </w:r>
      <w:r w:rsidR="00A45DAF">
        <w:t xml:space="preserve"> proof of debt by HAL</w:t>
      </w:r>
      <w:r w:rsidR="00577F38">
        <w:t xml:space="preserve"> in the sum of</w:t>
      </w:r>
      <w:r w:rsidR="003913C9">
        <w:t xml:space="preserve"> £76.6m, with the result that it is by far the largest unsecured creditor</w:t>
      </w:r>
      <w:r w:rsidR="00CE2D36">
        <w:t>,</w:t>
      </w:r>
      <w:r w:rsidR="003913C9">
        <w:t xml:space="preserve"> and would be the largest beneficiary of any recoveries made by the Liquidator in these proceedings</w:t>
      </w:r>
      <w:r w:rsidR="00CE2D36">
        <w:t>.</w:t>
      </w:r>
      <w:bookmarkEnd w:id="21"/>
    </w:p>
    <w:p w14:paraId="7F203DC3" w14:textId="22171FE1" w:rsidR="00E56ED0" w:rsidRDefault="006333F5" w:rsidP="006333F5">
      <w:pPr>
        <w:pStyle w:val="Heading1"/>
        <w:spacing w:before="480"/>
      </w:pPr>
      <w:r>
        <w:t>The evidence</w:t>
      </w:r>
    </w:p>
    <w:p w14:paraId="6C2EB674" w14:textId="123B19DD" w:rsidR="006333F5" w:rsidRDefault="00DF3D11" w:rsidP="006333F5">
      <w:pPr>
        <w:pStyle w:val="BodyText"/>
      </w:pPr>
      <w:bookmarkStart w:id="22" w:name="_Ref118464033"/>
      <w:r>
        <w:t xml:space="preserve">I heard </w:t>
      </w:r>
      <w:r w:rsidR="00CE432E">
        <w:t xml:space="preserve">oral </w:t>
      </w:r>
      <w:r>
        <w:t xml:space="preserve">evidence from </w:t>
      </w:r>
      <w:r w:rsidR="008637EC">
        <w:t xml:space="preserve">six witnesses of fact, four for Darty and two for the </w:t>
      </w:r>
      <w:r w:rsidR="006F5BC0">
        <w:t>L</w:t>
      </w:r>
      <w:r w:rsidR="008637EC">
        <w:t>iquidator</w:t>
      </w:r>
      <w:r w:rsidR="006F5BC0">
        <w:t>. Darty’s witnesses were Mr Enoch, Mr Darke, Mr Clare and Mr Platt</w:t>
      </w:r>
      <w:r w:rsidR="00695B0B">
        <w:t xml:space="preserve">. The Liquidator’s witnesses were Jeremy Goldring, </w:t>
      </w:r>
      <w:r w:rsidR="00695B0B" w:rsidRPr="00964E4B">
        <w:t>at the time</w:t>
      </w:r>
      <w:r w:rsidR="00695B0B">
        <w:t xml:space="preserve"> a partner at SJ Berwin, and</w:t>
      </w:r>
      <w:r w:rsidR="00440159">
        <w:t xml:space="preserve"> Mr Walters.</w:t>
      </w:r>
      <w:r w:rsidR="002C20D6">
        <w:t xml:space="preserve"> All six provided witness statements</w:t>
      </w:r>
      <w:r w:rsidR="00571E4A">
        <w:t xml:space="preserve"> for these proceedings, and the trial bundle also included</w:t>
      </w:r>
      <w:r w:rsidR="008A29F9">
        <w:t xml:space="preserve"> three witness statements that Mr Walters had produced in the ICAEW</w:t>
      </w:r>
      <w:r w:rsidR="008A29F9" w:rsidRPr="008A29F9">
        <w:t xml:space="preserve"> </w:t>
      </w:r>
      <w:r w:rsidR="008A29F9">
        <w:t>proceedings</w:t>
      </w:r>
      <w:r w:rsidR="00A4763D">
        <w:t>.</w:t>
      </w:r>
      <w:r w:rsidR="00AE1BDB">
        <w:t xml:space="preserve"> The</w:t>
      </w:r>
      <w:r w:rsidR="00621638">
        <w:t>re</w:t>
      </w:r>
      <w:r w:rsidR="00AE1BDB">
        <w:t xml:space="preserve"> was also an unchallen</w:t>
      </w:r>
      <w:r w:rsidR="00CD739F">
        <w:t>ged witness statement</w:t>
      </w:r>
      <w:r w:rsidR="00825A98">
        <w:t xml:space="preserve"> for the Liquidator</w:t>
      </w:r>
      <w:r w:rsidR="00CD739F">
        <w:t xml:space="preserve"> from Richard Annett</w:t>
      </w:r>
      <w:r w:rsidR="00825A98">
        <w:t>, who had been Comet’s General Counsel at the relevant time</w:t>
      </w:r>
      <w:r w:rsidR="00A47737">
        <w:t>.</w:t>
      </w:r>
      <w:bookmarkEnd w:id="22"/>
      <w:r w:rsidR="00825A98">
        <w:t xml:space="preserve"> </w:t>
      </w:r>
    </w:p>
    <w:p w14:paraId="2C6B2777" w14:textId="2139A192" w:rsidR="00A4763D" w:rsidRDefault="003E463F" w:rsidP="006333F5">
      <w:pPr>
        <w:pStyle w:val="BodyText"/>
      </w:pPr>
      <w:r>
        <w:t>Both</w:t>
      </w:r>
      <w:r w:rsidR="00681A65">
        <w:t xml:space="preserve"> part</w:t>
      </w:r>
      <w:r w:rsidR="00617390">
        <w:t>ies</w:t>
      </w:r>
      <w:r w:rsidR="00681A65">
        <w:t xml:space="preserve"> also appointed accountancy expert</w:t>
      </w:r>
      <w:r w:rsidR="00617390">
        <w:t>s</w:t>
      </w:r>
      <w:r w:rsidR="00681A65">
        <w:t>,</w:t>
      </w:r>
      <w:r w:rsidR="0077298B">
        <w:t xml:space="preserve"> John Ellison for the Liquidator and Stephen Lewis for Darty.</w:t>
      </w:r>
      <w:r w:rsidR="00587EFF">
        <w:t xml:space="preserve"> Each produced an expert report, and there was a joint statement setting out areas of agreement and disagreement.</w:t>
      </w:r>
    </w:p>
    <w:p w14:paraId="6EE8735B" w14:textId="49A5A2D9" w:rsidR="004F5A2C" w:rsidRDefault="00A373D7" w:rsidP="006333F5">
      <w:pPr>
        <w:pStyle w:val="BodyText"/>
      </w:pPr>
      <w:bookmarkStart w:id="23" w:name="_Ref118269499"/>
      <w:r>
        <w:t>As might be expected for a trial of this nature, the documentary evidence was relatively extensive</w:t>
      </w:r>
      <w:r w:rsidR="00AF1EBD">
        <w:t xml:space="preserve">. </w:t>
      </w:r>
      <w:r w:rsidR="003E74BE">
        <w:t>However,</w:t>
      </w:r>
      <w:r w:rsidR="00057259">
        <w:t xml:space="preserve"> </w:t>
      </w:r>
      <w:r w:rsidR="00F11564">
        <w:t xml:space="preserve">there was a </w:t>
      </w:r>
      <w:r w:rsidR="003C71D7">
        <w:t xml:space="preserve">potentially material limitation. It transpired that following the </w:t>
      </w:r>
      <w:r w:rsidR="00020CD9">
        <w:t>acquisition of KEP</w:t>
      </w:r>
      <w:r w:rsidR="002A3021">
        <w:t xml:space="preserve"> (by then renamed as Darty plc)</w:t>
      </w:r>
      <w:r w:rsidR="00020CD9">
        <w:t xml:space="preserve"> by Groupe FNAC</w:t>
      </w:r>
      <w:r w:rsidR="00FE06BB">
        <w:t xml:space="preserve"> SA</w:t>
      </w:r>
      <w:r w:rsidR="00D839D0">
        <w:t xml:space="preserve"> in 2016, the emails of UK employees</w:t>
      </w:r>
      <w:r w:rsidR="00972896">
        <w:t xml:space="preserve"> of Kesa</w:t>
      </w:r>
      <w:r w:rsidR="00D839D0">
        <w:t xml:space="preserve"> </w:t>
      </w:r>
      <w:r w:rsidR="005836FB">
        <w:t>had been deleted without a back up.</w:t>
      </w:r>
      <w:r w:rsidR="00F11564">
        <w:t xml:space="preserve"> </w:t>
      </w:r>
      <w:r w:rsidR="00E464E0">
        <w:t>This was considered at a CMC before George Bompas QC, siting as a deputy</w:t>
      </w:r>
      <w:r w:rsidR="00F03BF9">
        <w:t xml:space="preserve"> judge of the High Court</w:t>
      </w:r>
      <w:r w:rsidR="007516F2">
        <w:t xml:space="preserve">, </w:t>
      </w:r>
      <w:r w:rsidR="003C0497">
        <w:t>who delivered a reserved judgment</w:t>
      </w:r>
      <w:r w:rsidR="00F03BF9">
        <w:t xml:space="preserve"> ([2021] EWHC 2395 (Ch)). </w:t>
      </w:r>
      <w:r w:rsidR="00243914">
        <w:t>He expressed some reservations about</w:t>
      </w:r>
      <w:r w:rsidR="009F3044">
        <w:t xml:space="preserve"> the explanations that had been provided</w:t>
      </w:r>
      <w:r w:rsidR="00DC0EED">
        <w:t xml:space="preserve"> but declined to </w:t>
      </w:r>
      <w:r w:rsidR="00E90254">
        <w:t xml:space="preserve">make the order the Liquidator requested requiring a comprehensive account of the </w:t>
      </w:r>
      <w:r w:rsidR="003822CB">
        <w:t xml:space="preserve">document </w:t>
      </w:r>
      <w:r w:rsidR="00E90254">
        <w:t>deletion</w:t>
      </w:r>
      <w:r w:rsidR="00637E41">
        <w:t>, as well as rejecting an app</w:t>
      </w:r>
      <w:r w:rsidR="00795676">
        <w:t xml:space="preserve">lication for Model E extended disclosure on </w:t>
      </w:r>
      <w:r w:rsidR="00205FFF">
        <w:t>the issue of desire to prefer</w:t>
      </w:r>
      <w:r w:rsidR="003822CB">
        <w:t>. In doing so he referred</w:t>
      </w:r>
      <w:r w:rsidR="00855DF4">
        <w:t xml:space="preserve"> at </w:t>
      </w:r>
      <w:r w:rsidR="00420F4B">
        <w:t>[31.3]</w:t>
      </w:r>
      <w:r w:rsidR="003822CB">
        <w:t xml:space="preserve"> to the </w:t>
      </w:r>
      <w:r w:rsidR="001241D0">
        <w:t>burden</w:t>
      </w:r>
      <w:r w:rsidR="00A95146">
        <w:t xml:space="preserve"> that would be on Darty at the trial</w:t>
      </w:r>
      <w:r w:rsidR="005037CC">
        <w:t xml:space="preserve"> in view of the presumption in s.239(6) IA </w:t>
      </w:r>
      <w:r w:rsidR="00855DF4">
        <w:t>1986</w:t>
      </w:r>
      <w:r w:rsidR="00821CDF">
        <w:t xml:space="preserve"> and to the court being </w:t>
      </w:r>
      <w:r w:rsidR="00E214A0">
        <w:t>“</w:t>
      </w:r>
      <w:r w:rsidR="00821CDF">
        <w:t xml:space="preserve">unlikely to treat the loss </w:t>
      </w:r>
      <w:r w:rsidR="00C753C4">
        <w:t xml:space="preserve">of </w:t>
      </w:r>
      <w:r w:rsidR="00804D12">
        <w:t>documents</w:t>
      </w:r>
      <w:r w:rsidR="00C753C4">
        <w:t xml:space="preserve"> as</w:t>
      </w:r>
      <w:r w:rsidR="00420F4B">
        <w:t xml:space="preserve"> involving a loss of</w:t>
      </w:r>
      <w:r w:rsidR="00C753C4">
        <w:t xml:space="preserve"> material which</w:t>
      </w:r>
      <w:r w:rsidR="0060621A">
        <w:t>, if preserved,</w:t>
      </w:r>
      <w:r w:rsidR="00C753C4">
        <w:t xml:space="preserve"> could have supported </w:t>
      </w:r>
      <w:r w:rsidR="0060621A">
        <w:t>[</w:t>
      </w:r>
      <w:r w:rsidR="00C753C4">
        <w:t>Darty’s</w:t>
      </w:r>
      <w:r w:rsidR="0060621A">
        <w:t>]</w:t>
      </w:r>
      <w:r w:rsidR="00C753C4">
        <w:t xml:space="preserve"> case or adversely affected the </w:t>
      </w:r>
      <w:r w:rsidR="0060621A">
        <w:t>[</w:t>
      </w:r>
      <w:r w:rsidR="00C753C4">
        <w:t>Liquidator</w:t>
      </w:r>
      <w:r w:rsidR="0060621A">
        <w:t>’</w:t>
      </w:r>
      <w:r w:rsidR="00C753C4">
        <w:t>s</w:t>
      </w:r>
      <w:r w:rsidR="0060621A">
        <w:t>]”.</w:t>
      </w:r>
      <w:bookmarkEnd w:id="23"/>
      <w:r w:rsidR="00804D12">
        <w:t xml:space="preserve"> </w:t>
      </w:r>
    </w:p>
    <w:p w14:paraId="66799BBD" w14:textId="08E5D8C5" w:rsidR="00045418" w:rsidRDefault="00234844" w:rsidP="006333F5">
      <w:pPr>
        <w:pStyle w:val="BodyText"/>
      </w:pPr>
      <w:bookmarkStart w:id="24" w:name="_Ref118269647"/>
      <w:r>
        <w:t>The result of the deletion is that relatively few emails between the “core deal team” of Mr Enoch, Mr Platt</w:t>
      </w:r>
      <w:r w:rsidR="00AB5E83">
        <w:t xml:space="preserve"> and Kesa’s </w:t>
      </w:r>
      <w:r w:rsidR="0062765D">
        <w:t xml:space="preserve">Director of Corporate Finance, Andrew Stoodley, survive. Those that do are </w:t>
      </w:r>
      <w:r w:rsidR="00C4378C">
        <w:t>generally ones that were also sent to, or included within a chain sent to, Kesa’s solicitors Slaughter and May</w:t>
      </w:r>
      <w:r w:rsidR="00E57F2B">
        <w:t>. (I should clarify that privilege was not waive</w:t>
      </w:r>
      <w:r w:rsidR="00457B88">
        <w:t>d</w:t>
      </w:r>
      <w:r w:rsidR="00E57F2B">
        <w:t xml:space="preserve"> in Slaughter and May’s advice.)</w:t>
      </w:r>
      <w:r w:rsidR="00883D33">
        <w:t xml:space="preserve"> </w:t>
      </w:r>
      <w:r w:rsidR="00462488">
        <w:t>Limited</w:t>
      </w:r>
      <w:r w:rsidR="00883D33">
        <w:t xml:space="preserve"> documents were also available from a </w:t>
      </w:r>
      <w:r w:rsidR="00EC74C7" w:rsidRPr="00EC74C7">
        <w:t>private</w:t>
      </w:r>
      <w:r w:rsidR="00883D33" w:rsidRPr="00EC74C7">
        <w:t xml:space="preserve"> Dropbox account</w:t>
      </w:r>
      <w:r w:rsidR="00883D33">
        <w:t xml:space="preserve"> of Simon Enoch</w:t>
      </w:r>
      <w:r w:rsidR="008D4F57">
        <w:t xml:space="preserve"> whi</w:t>
      </w:r>
      <w:r w:rsidR="00462488">
        <w:t xml:space="preserve">ch contained certain documents that he </w:t>
      </w:r>
      <w:r w:rsidR="001D1424">
        <w:t xml:space="preserve">had </w:t>
      </w:r>
      <w:r w:rsidR="00462488">
        <w:t>selected for retention,</w:t>
      </w:r>
      <w:r w:rsidR="00390B01">
        <w:t xml:space="preserve"> </w:t>
      </w:r>
      <w:r w:rsidR="00B64E36">
        <w:t>and from further</w:t>
      </w:r>
      <w:r w:rsidR="00B27C84">
        <w:t xml:space="preserve"> data transferred by Mr Enoch to </w:t>
      </w:r>
      <w:r w:rsidR="001B1BAA">
        <w:t xml:space="preserve">Pierre Koch, </w:t>
      </w:r>
      <w:r w:rsidR="00F06239">
        <w:t>who became the</w:t>
      </w:r>
      <w:r w:rsidR="001B1BAA">
        <w:t xml:space="preserve"> head of legal affairs at Darty, in 2016</w:t>
      </w:r>
      <w:r w:rsidR="00390B01">
        <w:t>.</w:t>
      </w:r>
      <w:bookmarkEnd w:id="24"/>
    </w:p>
    <w:p w14:paraId="1D1634E8" w14:textId="64F701BE" w:rsidR="0057730C" w:rsidRDefault="00377EDC" w:rsidP="00BC5D4A">
      <w:pPr>
        <w:pStyle w:val="Heading2"/>
      </w:pPr>
      <w:r>
        <w:t>Factual</w:t>
      </w:r>
      <w:r w:rsidR="00BC5D4A">
        <w:t xml:space="preserve"> witness</w:t>
      </w:r>
      <w:r>
        <w:t>es</w:t>
      </w:r>
      <w:r w:rsidR="00BC5D4A">
        <w:t xml:space="preserve"> </w:t>
      </w:r>
    </w:p>
    <w:p w14:paraId="50C00E84" w14:textId="261A8FCA" w:rsidR="00BC5D4A" w:rsidRDefault="009064A9" w:rsidP="009064A9">
      <w:pPr>
        <w:pStyle w:val="Heading3"/>
      </w:pPr>
      <w:r>
        <w:t>Simon Enoch</w:t>
      </w:r>
    </w:p>
    <w:p w14:paraId="640B057B" w14:textId="2E6CBD3C" w:rsidR="009064A9" w:rsidRDefault="00162874" w:rsidP="009064A9">
      <w:pPr>
        <w:pStyle w:val="BodyText"/>
      </w:pPr>
      <w:r>
        <w:t xml:space="preserve">Mr Enoch is a solicitor who, as already noted, was at the relevant time </w:t>
      </w:r>
      <w:r w:rsidR="0009086F">
        <w:t>Kesa’s General Counsel. He was also the company secretary of KEP</w:t>
      </w:r>
      <w:r w:rsidR="00954672">
        <w:t xml:space="preserve"> and KIL</w:t>
      </w:r>
      <w:r w:rsidR="00AA0097">
        <w:t xml:space="preserve"> and was a director of Comet </w:t>
      </w:r>
      <w:r w:rsidR="00B93A0D">
        <w:t>(until 3 February 2012) and CTCL (the trustee of the DB Scheme).</w:t>
      </w:r>
      <w:r w:rsidR="00AE23CC">
        <w:t xml:space="preserve"> He left Darty in 2016 and has held various other positions si</w:t>
      </w:r>
      <w:r w:rsidR="00AD3423">
        <w:t>nce.</w:t>
      </w:r>
    </w:p>
    <w:p w14:paraId="1CA48582" w14:textId="1033036B" w:rsidR="003D1CE3" w:rsidRDefault="003D1CE3" w:rsidP="009064A9">
      <w:pPr>
        <w:pStyle w:val="BodyText"/>
      </w:pPr>
      <w:bookmarkStart w:id="25" w:name="_Ref118965795"/>
      <w:r>
        <w:t>No allegation of dishonesty was made against Mr Enoch, although Mr Smith for Darty critic</w:t>
      </w:r>
      <w:r w:rsidR="00DB3AAA">
        <w:t>ised certain allegations</w:t>
      </w:r>
      <w:r w:rsidR="00563DF7">
        <w:t xml:space="preserve"> made </w:t>
      </w:r>
      <w:r w:rsidR="00D23DC2">
        <w:t>by Mr Gledhill on behalf of the Liquidator</w:t>
      </w:r>
      <w:r w:rsidR="00DB3AAA">
        <w:t xml:space="preserve"> </w:t>
      </w:r>
      <w:r w:rsidR="00DB3AAA" w:rsidRPr="00F2257E">
        <w:t>as amounting to that in substance</w:t>
      </w:r>
      <w:r w:rsidR="00DB3AAA">
        <w:t>. I should emp</w:t>
      </w:r>
      <w:r w:rsidR="009C297E">
        <w:t xml:space="preserve">hasise that I make no such findings. </w:t>
      </w:r>
      <w:r w:rsidR="00470889">
        <w:t>However</w:t>
      </w:r>
      <w:r w:rsidR="006A56BD">
        <w:t xml:space="preserve">, I did </w:t>
      </w:r>
      <w:r w:rsidR="008B71FC">
        <w:t>get the impression that Mr Enoch</w:t>
      </w:r>
      <w:r w:rsidR="00F11CFD">
        <w:t xml:space="preserve"> </w:t>
      </w:r>
      <w:r w:rsidR="00827CB4">
        <w:t>came to court</w:t>
      </w:r>
      <w:r w:rsidR="00F11CFD">
        <w:t xml:space="preserve"> </w:t>
      </w:r>
      <w:r w:rsidR="007A5062">
        <w:t>very keen to defend Darty’s position</w:t>
      </w:r>
      <w:r w:rsidR="00002F1F">
        <w:t xml:space="preserve"> and </w:t>
      </w:r>
      <w:r w:rsidR="00C57FC7">
        <w:t>his own actions</w:t>
      </w:r>
      <w:r w:rsidR="004C61AB">
        <w:t>. That resulted in a somewhat combative approach</w:t>
      </w:r>
      <w:r w:rsidR="0013241B">
        <w:t xml:space="preserve"> and, unfortunately, an impression that questions were not always answered </w:t>
      </w:r>
      <w:r w:rsidR="00FB20B0">
        <w:t xml:space="preserve">in a wholly open and </w:t>
      </w:r>
      <w:r w:rsidR="002D6D1D">
        <w:t>straightforward</w:t>
      </w:r>
      <w:r w:rsidR="00FB20B0">
        <w:t xml:space="preserve"> manner.</w:t>
      </w:r>
      <w:bookmarkEnd w:id="25"/>
    </w:p>
    <w:p w14:paraId="059049CF" w14:textId="3FD67DF0" w:rsidR="008D36CB" w:rsidRDefault="009C297E" w:rsidP="00831BB9">
      <w:pPr>
        <w:pStyle w:val="BodyText"/>
      </w:pPr>
      <w:r>
        <w:t xml:space="preserve">It was clear </w:t>
      </w:r>
      <w:r w:rsidR="006034D1">
        <w:t>from the</w:t>
      </w:r>
      <w:r w:rsidR="00557B40">
        <w:t xml:space="preserve"> </w:t>
      </w:r>
      <w:r w:rsidR="00417313">
        <w:t>evidence</w:t>
      </w:r>
      <w:r w:rsidR="006034D1">
        <w:t xml:space="preserve"> that Mr Enoch took the leading role in negotiating the det</w:t>
      </w:r>
      <w:r w:rsidR="00417313">
        <w:t xml:space="preserve">ailed terms of the </w:t>
      </w:r>
      <w:r w:rsidR="00E87046">
        <w:t xml:space="preserve">Disposal </w:t>
      </w:r>
      <w:r w:rsidR="00417313">
        <w:t xml:space="preserve">on the Kesa side. Further, it was very apparent that Mr Enoch did so very much </w:t>
      </w:r>
      <w:r w:rsidR="00C154FE">
        <w:t>with</w:t>
      </w:r>
      <w:r w:rsidR="00EF132F">
        <w:t xml:space="preserve"> </w:t>
      </w:r>
      <w:r w:rsidR="00A94D9E">
        <w:t>KEP</w:t>
      </w:r>
      <w:r w:rsidR="00EF132F">
        <w:t>’s</w:t>
      </w:r>
      <w:r w:rsidR="00A94D9E">
        <w:t xml:space="preserve"> interests </w:t>
      </w:r>
      <w:r w:rsidR="0025250A">
        <w:t xml:space="preserve">in mind </w:t>
      </w:r>
      <w:r w:rsidR="00A94D9E">
        <w:t>(</w:t>
      </w:r>
      <w:r w:rsidR="0025250A">
        <w:t>or those of Kesa excluding Comet)</w:t>
      </w:r>
      <w:r w:rsidR="00EF132F">
        <w:t xml:space="preserve"> rather than Comet’s </w:t>
      </w:r>
      <w:r w:rsidR="00C154FE">
        <w:t>interest</w:t>
      </w:r>
      <w:r w:rsidR="00A94D9E">
        <w:t>s</w:t>
      </w:r>
      <w:r w:rsidR="0063449F">
        <w:t xml:space="preserve">. The </w:t>
      </w:r>
      <w:r w:rsidR="00CD115D">
        <w:t>overriding</w:t>
      </w:r>
      <w:r w:rsidR="0063449F">
        <w:t xml:space="preserve"> objective was to achieve a “clean break” which </w:t>
      </w:r>
      <w:r w:rsidR="00CD115D">
        <w:t>capped Kesa’s exposure to Comet</w:t>
      </w:r>
      <w:r w:rsidR="008F2664">
        <w:t xml:space="preserve">. </w:t>
      </w:r>
      <w:r w:rsidR="00C92E7E">
        <w:t>A</w:t>
      </w:r>
      <w:r w:rsidR="004102C0">
        <w:t>t least at the time the SPA</w:t>
      </w:r>
      <w:r w:rsidR="00B12C69">
        <w:t xml:space="preserve"> was negotiated and signed</w:t>
      </w:r>
      <w:r w:rsidR="0000214A">
        <w:t>,</w:t>
      </w:r>
      <w:r w:rsidR="00C92E7E" w:rsidRPr="00C92E7E">
        <w:t xml:space="preserve"> </w:t>
      </w:r>
      <w:r w:rsidR="00C92E7E">
        <w:t>Mr Enoch appear</w:t>
      </w:r>
      <w:r w:rsidR="00A24E3E">
        <w:t>s</w:t>
      </w:r>
      <w:r w:rsidR="00C92E7E">
        <w:t xml:space="preserve"> not to have focused on the fact that Comet’s interests </w:t>
      </w:r>
      <w:r w:rsidR="00D679F0">
        <w:t>might diverge from</w:t>
      </w:r>
      <w:r w:rsidR="005C31C5">
        <w:t xml:space="preserve"> those of</w:t>
      </w:r>
      <w:r w:rsidR="00D679F0">
        <w:t xml:space="preserve"> Kesa’s, particularly in relation to the proposed financing arrangements</w:t>
      </w:r>
      <w:r w:rsidR="00B44AFB">
        <w:t>, including the provision of security to HAL.</w:t>
      </w:r>
      <w:r w:rsidR="00402CE2">
        <w:t xml:space="preserve"> </w:t>
      </w:r>
      <w:r w:rsidR="00FB3BDF" w:rsidRPr="006F313B">
        <w:t xml:space="preserve">Indeed, </w:t>
      </w:r>
      <w:r w:rsidR="006F313B" w:rsidRPr="006F313B">
        <w:t xml:space="preserve">as discussed below </w:t>
      </w:r>
      <w:r w:rsidR="00FB3BDF" w:rsidRPr="006F313B">
        <w:t>he gave positive evidence that he could not see a conflict between them.</w:t>
      </w:r>
      <w:r w:rsidR="00FB3BDF">
        <w:t xml:space="preserve"> </w:t>
      </w:r>
      <w:r w:rsidR="00A24E3E">
        <w:t xml:space="preserve">Given </w:t>
      </w:r>
      <w:r w:rsidR="00724092">
        <w:t>Mr Enoch’s role</w:t>
      </w:r>
      <w:r w:rsidR="00D22208">
        <w:t>s</w:t>
      </w:r>
      <w:r w:rsidR="00724092">
        <w:t xml:space="preserve"> as a director of Comet</w:t>
      </w:r>
      <w:r w:rsidR="001D73FB">
        <w:t xml:space="preserve"> and group General Counsel</w:t>
      </w:r>
      <w:r w:rsidR="00724092">
        <w:t xml:space="preserve">, this </w:t>
      </w:r>
      <w:r w:rsidR="00402CE2">
        <w:t>apparent lack of focus</w:t>
      </w:r>
      <w:r w:rsidR="00FB3BDF">
        <w:t xml:space="preserve"> </w:t>
      </w:r>
      <w:r w:rsidR="00402CE2">
        <w:t>stands out</w:t>
      </w:r>
      <w:r w:rsidR="001D73FB">
        <w:t xml:space="preserve">. </w:t>
      </w:r>
    </w:p>
    <w:p w14:paraId="031EEBF6" w14:textId="0814D530" w:rsidR="00A24E3E" w:rsidRDefault="008D36CB" w:rsidP="00831BB9">
      <w:pPr>
        <w:pStyle w:val="BodyText"/>
      </w:pPr>
      <w:bookmarkStart w:id="26" w:name="_Ref118127719"/>
      <w:r>
        <w:t>Mr Enoch</w:t>
      </w:r>
      <w:r w:rsidR="000D5469">
        <w:t xml:space="preserve"> </w:t>
      </w:r>
      <w:r w:rsidR="000D453F" w:rsidRPr="004F58A3">
        <w:t>referred</w:t>
      </w:r>
      <w:r w:rsidR="000D5469" w:rsidRPr="004F58A3">
        <w:t xml:space="preserve"> in one of his witness statements</w:t>
      </w:r>
      <w:r w:rsidR="000D453F">
        <w:t xml:space="preserve"> to the fact</w:t>
      </w:r>
      <w:r w:rsidR="000D5469">
        <w:t xml:space="preserve"> that Comet had separate </w:t>
      </w:r>
      <w:r w:rsidR="00D863E8">
        <w:t>internal legal assistance</w:t>
      </w:r>
      <w:r w:rsidR="00994B1C">
        <w:t xml:space="preserve"> available</w:t>
      </w:r>
      <w:r w:rsidR="00A47737">
        <w:t xml:space="preserve"> from Mr Annett, </w:t>
      </w:r>
      <w:r w:rsidR="000D453F">
        <w:t xml:space="preserve">and </w:t>
      </w:r>
      <w:r w:rsidR="00727826">
        <w:t xml:space="preserve">relied on the fact that </w:t>
      </w:r>
      <w:r w:rsidR="004F04A9">
        <w:t>Mr Annett</w:t>
      </w:r>
      <w:r w:rsidR="00727826">
        <w:t xml:space="preserve"> had raised no concerns. However, </w:t>
      </w:r>
      <w:r w:rsidR="00A47737">
        <w:t>it was clear from Mr Annett’s evidence that</w:t>
      </w:r>
      <w:r w:rsidR="00A26B7B">
        <w:t xml:space="preserve"> he had </w:t>
      </w:r>
      <w:r w:rsidR="00727826">
        <w:t xml:space="preserve">had </w:t>
      </w:r>
      <w:r w:rsidR="00A26B7B">
        <w:t>an ext</w:t>
      </w:r>
      <w:r w:rsidR="00E11FA5">
        <w:t>remely limited involvement in the Disposal</w:t>
      </w:r>
      <w:r w:rsidR="001D0CE1">
        <w:t xml:space="preserve"> and</w:t>
      </w:r>
      <w:r w:rsidR="004E1AA8">
        <w:t xml:space="preserve"> </w:t>
      </w:r>
      <w:r>
        <w:t xml:space="preserve">indeed </w:t>
      </w:r>
      <w:r w:rsidR="004E1AA8">
        <w:t>had no knowledge at the time that</w:t>
      </w:r>
      <w:r w:rsidR="00E92220">
        <w:t xml:space="preserve"> it involved</w:t>
      </w:r>
      <w:r w:rsidR="004E1AA8">
        <w:t xml:space="preserve"> Comet </w:t>
      </w:r>
      <w:r w:rsidR="00E92220">
        <w:t>repaying</w:t>
      </w:r>
      <w:r w:rsidR="004E1AA8">
        <w:t xml:space="preserve"> debt</w:t>
      </w:r>
      <w:r w:rsidR="001D0CE1">
        <w:t xml:space="preserve">. </w:t>
      </w:r>
      <w:r w:rsidR="007E50EF">
        <w:t xml:space="preserve">His witness </w:t>
      </w:r>
      <w:r w:rsidR="00122AFB">
        <w:t xml:space="preserve">statement refers to </w:t>
      </w:r>
      <w:r w:rsidR="00285105">
        <w:t xml:space="preserve">him </w:t>
      </w:r>
      <w:r w:rsidR="00122AFB">
        <w:t>being “e</w:t>
      </w:r>
      <w:r w:rsidR="00C117AD">
        <w:t>ff</w:t>
      </w:r>
      <w:r w:rsidR="00122AFB">
        <w:t>ectively kept away from the transaction”</w:t>
      </w:r>
      <w:r w:rsidR="00C117AD">
        <w:t xml:space="preserve">. </w:t>
      </w:r>
      <w:r w:rsidR="001A3E50">
        <w:t>Rather, Mr Annett’s role largely involved dealing with commercial contracts</w:t>
      </w:r>
      <w:r w:rsidR="001B041C">
        <w:t xml:space="preserve"> and he</w:t>
      </w:r>
      <w:r w:rsidR="001A3E50">
        <w:t xml:space="preserve"> did not advise the</w:t>
      </w:r>
      <w:r w:rsidR="00702464">
        <w:t xml:space="preserve"> Comet</w:t>
      </w:r>
      <w:r w:rsidR="001A3E50">
        <w:t xml:space="preserve"> </w:t>
      </w:r>
      <w:r w:rsidR="00702464">
        <w:t>B</w:t>
      </w:r>
      <w:r w:rsidR="001A3E50">
        <w:t xml:space="preserve">oard on any strategic matters, or attend </w:t>
      </w:r>
      <w:r w:rsidR="00A15603">
        <w:t>B</w:t>
      </w:r>
      <w:r w:rsidR="001A3E50">
        <w:t xml:space="preserve">oard meetings. </w:t>
      </w:r>
      <w:r w:rsidR="00653C98">
        <w:t>His understanding was that Mr Enoch essentially acted as General Counsel to the Comet Board</w:t>
      </w:r>
      <w:r w:rsidR="00093AC7">
        <w:t xml:space="preserve"> and provided any Board level advice that was required</w:t>
      </w:r>
      <w:r w:rsidR="00702464">
        <w:t>.</w:t>
      </w:r>
      <w:bookmarkEnd w:id="26"/>
      <w:r w:rsidR="00A47737">
        <w:t xml:space="preserve"> </w:t>
      </w:r>
      <w:r w:rsidR="00FD1A20">
        <w:t>I accept that unchallenged evidence.</w:t>
      </w:r>
    </w:p>
    <w:p w14:paraId="3B73598C" w14:textId="74DB47D7" w:rsidR="001D73FB" w:rsidRDefault="00547B7B" w:rsidP="003E060B">
      <w:pPr>
        <w:pStyle w:val="BodyText"/>
      </w:pPr>
      <w:r>
        <w:t>My overall impression</w:t>
      </w:r>
      <w:r w:rsidR="00F34A39">
        <w:t xml:space="preserve"> is that Mr Enoch took a somewhat blinkered approach to the </w:t>
      </w:r>
      <w:r w:rsidR="00760A85">
        <w:t>transaction, concentrating on Kesa’s position</w:t>
      </w:r>
      <w:r w:rsidR="00023490">
        <w:t xml:space="preserve"> and the objective of a clean break,</w:t>
      </w:r>
      <w:r w:rsidR="00760A85">
        <w:t xml:space="preserve"> and </w:t>
      </w:r>
      <w:r w:rsidR="00FA4915">
        <w:t>seeking to ensure</w:t>
      </w:r>
      <w:r w:rsidR="00760A85">
        <w:t xml:space="preserve"> that </w:t>
      </w:r>
      <w:r w:rsidR="0000214A">
        <w:t>Kesa</w:t>
      </w:r>
      <w:r w:rsidR="00760A85">
        <w:t xml:space="preserve"> was distanced</w:t>
      </w:r>
      <w:r w:rsidR="00FA4915">
        <w:t xml:space="preserve"> from the </w:t>
      </w:r>
      <w:r w:rsidR="00A0098A">
        <w:t xml:space="preserve">formal </w:t>
      </w:r>
      <w:r w:rsidR="00FA4915">
        <w:t>decisions that the Comet Board would be required to make to allow the Disposal to complete</w:t>
      </w:r>
      <w:r w:rsidR="00023490">
        <w:t>.</w:t>
      </w:r>
      <w:r w:rsidR="000B2B4A">
        <w:t xml:space="preserve"> As discussed further below, </w:t>
      </w:r>
      <w:r w:rsidR="000B2B4A" w:rsidRPr="006801AE">
        <w:t>I also do not accept</w:t>
      </w:r>
      <w:r w:rsidR="00D26740">
        <w:t xml:space="preserve"> that</w:t>
      </w:r>
      <w:r w:rsidR="000B2B4A" w:rsidRPr="006801AE">
        <w:t xml:space="preserve"> </w:t>
      </w:r>
      <w:r w:rsidR="00B74E70">
        <w:t>Mr Enoch’s</w:t>
      </w:r>
      <w:r w:rsidR="000B2B4A" w:rsidRPr="006801AE">
        <w:t xml:space="preserve"> </w:t>
      </w:r>
      <w:r w:rsidR="003179A0">
        <w:t>recollection of a</w:t>
      </w:r>
      <w:r w:rsidR="000B2B4A" w:rsidRPr="006801AE">
        <w:t xml:space="preserve"> </w:t>
      </w:r>
      <w:r w:rsidR="009E14C5" w:rsidRPr="006801AE">
        <w:t>lack of involvement in the debt repayment mechanics</w:t>
      </w:r>
      <w:r w:rsidR="00D26740">
        <w:t xml:space="preserve"> reflects the full picture of what occurred</w:t>
      </w:r>
      <w:r w:rsidR="00492403" w:rsidRPr="006801AE">
        <w:t>.</w:t>
      </w:r>
      <w:r w:rsidR="00EF6532">
        <w:t xml:space="preserve"> </w:t>
      </w:r>
    </w:p>
    <w:p w14:paraId="582B7DE5" w14:textId="5BC60F99" w:rsidR="005D5190" w:rsidRDefault="005D5190" w:rsidP="005D5190">
      <w:pPr>
        <w:pStyle w:val="Heading3"/>
      </w:pPr>
      <w:r>
        <w:t>Robert Darke</w:t>
      </w:r>
    </w:p>
    <w:p w14:paraId="300FD041" w14:textId="77777777" w:rsidR="00876323" w:rsidRDefault="000D63B9" w:rsidP="00DC701E">
      <w:pPr>
        <w:pStyle w:val="BodyText"/>
      </w:pPr>
      <w:r>
        <w:t xml:space="preserve">As already noted, </w:t>
      </w:r>
      <w:r w:rsidR="008A4360">
        <w:t xml:space="preserve">Mr Darke was </w:t>
      </w:r>
      <w:r>
        <w:t>Comet’s CEO at the time of the Disposal</w:t>
      </w:r>
      <w:r w:rsidR="00446B06">
        <w:t>. He</w:t>
      </w:r>
      <w:r>
        <w:t xml:space="preserve"> remained in that role until shortly after Comet went into </w:t>
      </w:r>
      <w:r w:rsidR="00147BDD">
        <w:t xml:space="preserve">administration. </w:t>
      </w:r>
      <w:r w:rsidR="002164FA">
        <w:t>He has since held various other senior management roles</w:t>
      </w:r>
      <w:r w:rsidR="00D33822">
        <w:t xml:space="preserve">. </w:t>
      </w:r>
    </w:p>
    <w:p w14:paraId="16C8566A" w14:textId="106C9153" w:rsidR="005D5190" w:rsidRDefault="00B17CFA" w:rsidP="00DC701E">
      <w:pPr>
        <w:pStyle w:val="BodyText"/>
      </w:pPr>
      <w:r>
        <w:t>Mr Darke’s</w:t>
      </w:r>
      <w:r w:rsidR="00D33822">
        <w:t xml:space="preserve"> witness statement</w:t>
      </w:r>
      <w:r w:rsidR="00C61101">
        <w:t>, along with that of Mr Clare, was provided</w:t>
      </w:r>
      <w:r w:rsidR="00170C59">
        <w:t xml:space="preserve"> only</w:t>
      </w:r>
      <w:r w:rsidR="00C61101">
        <w:t xml:space="preserve"> relatively shortly before the trial, in August 2022.</w:t>
      </w:r>
      <w:r w:rsidR="00A17A6C">
        <w:t xml:space="preserve"> Both Mr Darke and Mr Clare ha</w:t>
      </w:r>
      <w:r w:rsidR="00170C59">
        <w:t>ve</w:t>
      </w:r>
      <w:r w:rsidR="00A17A6C">
        <w:t xml:space="preserve"> received separate legal advice in respect of these proceedings.</w:t>
      </w:r>
    </w:p>
    <w:p w14:paraId="0387F315" w14:textId="02D3FBC2" w:rsidR="008E6E0A" w:rsidRDefault="00170C59" w:rsidP="00DC701E">
      <w:pPr>
        <w:pStyle w:val="BodyText"/>
      </w:pPr>
      <w:r>
        <w:t>Overall I found Mr Darke to be an impressive, straightforward and clear witness.</w:t>
      </w:r>
      <w:r w:rsidR="00924DBA">
        <w:t xml:space="preserve"> There was however one area</w:t>
      </w:r>
      <w:r w:rsidR="00274C89">
        <w:t xml:space="preserve"> of importance where I </w:t>
      </w:r>
      <w:r w:rsidR="00F12AE7">
        <w:t xml:space="preserve">found </w:t>
      </w:r>
      <w:r w:rsidR="00A72E3A">
        <w:t>Mr Darke’s</w:t>
      </w:r>
      <w:r w:rsidR="00F12AE7">
        <w:t xml:space="preserve"> </w:t>
      </w:r>
      <w:r w:rsidR="009879C6">
        <w:t xml:space="preserve">evidence </w:t>
      </w:r>
      <w:r w:rsidR="0072522D">
        <w:t xml:space="preserve">more </w:t>
      </w:r>
      <w:r w:rsidR="009879C6">
        <w:t>difficult to foll</w:t>
      </w:r>
      <w:r w:rsidR="00012B54">
        <w:t>ow</w:t>
      </w:r>
      <w:r w:rsidR="0072522D">
        <w:t xml:space="preserve">, related to </w:t>
      </w:r>
      <w:r w:rsidR="008A5629">
        <w:t xml:space="preserve">the alternative(s) available if the </w:t>
      </w:r>
      <w:r w:rsidR="00BA1657">
        <w:t>New</w:t>
      </w:r>
      <w:r w:rsidR="008A5629">
        <w:t xml:space="preserve"> Board did not approve the Disposal. </w:t>
      </w:r>
      <w:r w:rsidR="008E6E0A">
        <w:t>As discussed further below</w:t>
      </w:r>
      <w:r w:rsidR="0096788C">
        <w:t xml:space="preserve">, the </w:t>
      </w:r>
      <w:r w:rsidR="000C4CC8">
        <w:t xml:space="preserve">Completion Minutes </w:t>
      </w:r>
      <w:r w:rsidR="0096788C">
        <w:t xml:space="preserve">record the only alternative to approving the </w:t>
      </w:r>
      <w:r w:rsidR="00342728">
        <w:t>D</w:t>
      </w:r>
      <w:r w:rsidR="0096788C">
        <w:t>isposal as being an imminent adminis</w:t>
      </w:r>
      <w:r w:rsidR="00E239B6">
        <w:t>tration</w:t>
      </w:r>
      <w:r w:rsidR="008E018B">
        <w:t xml:space="preserve"> of Comet</w:t>
      </w:r>
      <w:r w:rsidR="00E239B6">
        <w:t xml:space="preserve">. There is no consideration </w:t>
      </w:r>
      <w:r w:rsidR="003110E5">
        <w:t xml:space="preserve">of </w:t>
      </w:r>
      <w:r w:rsidR="00342728">
        <w:t>whether</w:t>
      </w:r>
      <w:r w:rsidR="003110E5">
        <w:t xml:space="preserve"> Kesa would in fact allow</w:t>
      </w:r>
      <w:r w:rsidR="00342728">
        <w:t xml:space="preserve"> that to occur</w:t>
      </w:r>
      <w:r w:rsidR="00E55CE9">
        <w:t xml:space="preserve"> under its ownership</w:t>
      </w:r>
      <w:r w:rsidR="00562B40">
        <w:t>, which in fact</w:t>
      </w:r>
      <w:r w:rsidR="00C57212">
        <w:t xml:space="preserve"> </w:t>
      </w:r>
      <w:r w:rsidR="007279F4">
        <w:t>(</w:t>
      </w:r>
      <w:r w:rsidR="00562B40">
        <w:t>and unsurprisingly as a listed group with other retail business operations</w:t>
      </w:r>
      <w:r w:rsidR="007279F4">
        <w:t>)</w:t>
      </w:r>
      <w:r w:rsidR="00707E08">
        <w:t xml:space="preserve"> it would</w:t>
      </w:r>
      <w:r w:rsidR="00125063">
        <w:t xml:space="preserve"> </w:t>
      </w:r>
      <w:r w:rsidR="007279F4">
        <w:t>be highly unlikely to do.</w:t>
      </w:r>
    </w:p>
    <w:p w14:paraId="0CAB76A4" w14:textId="637A2556" w:rsidR="00A17A6C" w:rsidRDefault="00AE6A98" w:rsidP="00DC701E">
      <w:pPr>
        <w:pStyle w:val="BodyText"/>
      </w:pPr>
      <w:r>
        <w:t>Mr Darke</w:t>
      </w:r>
      <w:r w:rsidR="00C13F85">
        <w:t xml:space="preserve"> had</w:t>
      </w:r>
      <w:r>
        <w:t xml:space="preserve"> </w:t>
      </w:r>
      <w:r w:rsidR="00267513">
        <w:t xml:space="preserve">clearly </w:t>
      </w:r>
      <w:r>
        <w:t>formed the view that</w:t>
      </w:r>
      <w:r w:rsidR="003F1428">
        <w:t xml:space="preserve"> if the </w:t>
      </w:r>
      <w:r w:rsidR="00BA1657">
        <w:t xml:space="preserve">New Board </w:t>
      </w:r>
      <w:r w:rsidR="00F86423">
        <w:t xml:space="preserve">refused to </w:t>
      </w:r>
      <w:r w:rsidR="00500C36">
        <w:t xml:space="preserve">approve the Disposal and related </w:t>
      </w:r>
      <w:r w:rsidR="006E76EB">
        <w:t>steps,</w:t>
      </w:r>
      <w:r w:rsidR="00F86423">
        <w:t xml:space="preserve"> then they would </w:t>
      </w:r>
      <w:r w:rsidR="0055348A">
        <w:t>simply be replaced</w:t>
      </w:r>
      <w:r w:rsidR="007A680D">
        <w:t xml:space="preserve"> by a more amenable Board</w:t>
      </w:r>
      <w:r w:rsidR="00267513">
        <w:t xml:space="preserve"> that would. </w:t>
      </w:r>
      <w:r w:rsidR="000348EC">
        <w:t>Having reflected on it, my</w:t>
      </w:r>
      <w:r w:rsidR="00135850">
        <w:t xml:space="preserve"> assessment of his evidence is that he had therefore concluded that </w:t>
      </w:r>
      <w:r w:rsidR="00A5318F">
        <w:t xml:space="preserve">the chances of the Disposal not proceeding were remote, and </w:t>
      </w:r>
      <w:r w:rsidR="006E76EB">
        <w:t>as a result</w:t>
      </w:r>
      <w:r w:rsidR="00A5318F">
        <w:t xml:space="preserve"> did not </w:t>
      </w:r>
      <w:r w:rsidR="006E76EB">
        <w:t xml:space="preserve">take time to </w:t>
      </w:r>
      <w:r w:rsidR="003C6915">
        <w:t>consider</w:t>
      </w:r>
      <w:r w:rsidR="00FC5C2F">
        <w:t xml:space="preserve"> and challenge whether </w:t>
      </w:r>
      <w:r w:rsidR="006E76EB">
        <w:t>it was really right that there was no other option except an administration.</w:t>
      </w:r>
      <w:r w:rsidR="00FC5C2F">
        <w:t xml:space="preserve"> </w:t>
      </w:r>
      <w:r w:rsidR="009027FA">
        <w:t xml:space="preserve">I should emphasise that this is not a criticism of Mr Darke, who had </w:t>
      </w:r>
      <w:r w:rsidR="003C6915">
        <w:t>undoubtedly</w:t>
      </w:r>
      <w:r w:rsidR="009027FA">
        <w:t xml:space="preserve"> been</w:t>
      </w:r>
      <w:r w:rsidR="00342998">
        <w:t xml:space="preserve"> placed in</w:t>
      </w:r>
      <w:r w:rsidR="003C6915">
        <w:t xml:space="preserve"> a highly pressurised situation</w:t>
      </w:r>
      <w:r w:rsidR="003A4B4B">
        <w:t xml:space="preserve"> with very little time to give the matter proper consideration</w:t>
      </w:r>
      <w:r w:rsidR="00342998">
        <w:t>.</w:t>
      </w:r>
    </w:p>
    <w:p w14:paraId="66C219AC" w14:textId="2E6E5484" w:rsidR="00F94866" w:rsidRDefault="009274A2" w:rsidP="009274A2">
      <w:pPr>
        <w:pStyle w:val="Heading3"/>
      </w:pPr>
      <w:r>
        <w:t>John Clare</w:t>
      </w:r>
    </w:p>
    <w:p w14:paraId="59AD1D19" w14:textId="4EAEB662" w:rsidR="009274A2" w:rsidRDefault="006B29E5" w:rsidP="009274A2">
      <w:pPr>
        <w:pStyle w:val="BodyText"/>
      </w:pPr>
      <w:r>
        <w:t>Mr Clare</w:t>
      </w:r>
      <w:r w:rsidR="002637BE">
        <w:t xml:space="preserve"> was appointed as a director and part-time chairman of Comet </w:t>
      </w:r>
      <w:r w:rsidR="002E2A90">
        <w:t xml:space="preserve">on 3 February 2012, and remained in that role until it went into administration. </w:t>
      </w:r>
      <w:r w:rsidR="00203983">
        <w:t xml:space="preserve">He first became involved with Comet when OpCapita sought his advice on their plan to take it over. </w:t>
      </w:r>
      <w:r w:rsidR="002E2A90">
        <w:t>Prior</w:t>
      </w:r>
      <w:r w:rsidR="004C15EB">
        <w:t xml:space="preserve"> to that, he was at Dixons for a lengthy period, becoming its CEO, </w:t>
      </w:r>
      <w:r w:rsidR="00101878">
        <w:t>before taking a number of non-executive roles</w:t>
      </w:r>
      <w:r w:rsidR="00003BC0">
        <w:t>. He is now retired.</w:t>
      </w:r>
    </w:p>
    <w:p w14:paraId="70DF90C2" w14:textId="21CABFCB" w:rsidR="00BC6877" w:rsidRDefault="000611EB" w:rsidP="009274A2">
      <w:pPr>
        <w:pStyle w:val="BodyText"/>
      </w:pPr>
      <w:r>
        <w:t>It was clear from Mr Clare’s evidence that he both had a</w:t>
      </w:r>
      <w:r w:rsidR="00CA7D05">
        <w:t xml:space="preserve"> very</w:t>
      </w:r>
      <w:r>
        <w:t xml:space="preserve"> limited recollection of relevan</w:t>
      </w:r>
      <w:r w:rsidR="000077CB">
        <w:t>t events, and had not focused on</w:t>
      </w:r>
      <w:r w:rsidR="005D398F">
        <w:t xml:space="preserve"> the</w:t>
      </w:r>
      <w:r w:rsidR="000077CB">
        <w:t xml:space="preserve"> </w:t>
      </w:r>
      <w:r w:rsidR="005D398F">
        <w:t>details</w:t>
      </w:r>
      <w:r w:rsidR="0007033A">
        <w:t xml:space="preserve"> of the</w:t>
      </w:r>
      <w:r w:rsidR="0007033A" w:rsidRPr="0007033A">
        <w:t xml:space="preserve"> </w:t>
      </w:r>
      <w:r w:rsidR="0007033A">
        <w:t>financial structure</w:t>
      </w:r>
      <w:r w:rsidR="005D398F">
        <w:t xml:space="preserve">, taking the lead from others on that, in particular </w:t>
      </w:r>
      <w:r w:rsidR="00203983">
        <w:t xml:space="preserve">OpCapita and advisers, and </w:t>
      </w:r>
      <w:r w:rsidR="005D398F">
        <w:t>Mr D</w:t>
      </w:r>
      <w:r w:rsidR="00EB6CCE">
        <w:t>arke</w:t>
      </w:r>
      <w:r w:rsidR="00270BD4" w:rsidRPr="00270BD4">
        <w:t xml:space="preserve"> </w:t>
      </w:r>
      <w:r w:rsidR="00270BD4">
        <w:t>at Board level</w:t>
      </w:r>
      <w:r w:rsidR="00BC6877">
        <w:t>.</w:t>
      </w:r>
      <w:r w:rsidR="000B0D1F">
        <w:t xml:space="preserve"> (I note that</w:t>
      </w:r>
      <w:r w:rsidR="00BC6877">
        <w:t xml:space="preserve"> Carl Cowling, the other member of the </w:t>
      </w:r>
      <w:r w:rsidR="00785416">
        <w:t xml:space="preserve">New </w:t>
      </w:r>
      <w:r w:rsidR="00BC6877">
        <w:t>Board</w:t>
      </w:r>
      <w:r w:rsidR="00785416">
        <w:t xml:space="preserve">, took the role of Chief </w:t>
      </w:r>
      <w:r w:rsidR="003C6B11">
        <w:t>Operating Officer</w:t>
      </w:r>
      <w:r w:rsidR="00586D58">
        <w:t>. There was no indication that he had</w:t>
      </w:r>
      <w:r w:rsidR="00FE3B4C">
        <w:t xml:space="preserve"> </w:t>
      </w:r>
      <w:r w:rsidR="00FF507A">
        <w:t>scrutinised</w:t>
      </w:r>
      <w:r w:rsidR="00586D58">
        <w:t xml:space="preserve"> the</w:t>
      </w:r>
      <w:r w:rsidR="00594C02">
        <w:t xml:space="preserve"> details of the</w:t>
      </w:r>
      <w:r w:rsidR="00586D58">
        <w:t xml:space="preserve"> financial structuring </w:t>
      </w:r>
      <w:r w:rsidR="00D771D0">
        <w:t>to any material extent either</w:t>
      </w:r>
      <w:r w:rsidR="00EB6CCE">
        <w:t>.</w:t>
      </w:r>
      <w:r w:rsidR="00D771D0">
        <w:t>)</w:t>
      </w:r>
    </w:p>
    <w:p w14:paraId="72852D9B" w14:textId="094656A4" w:rsidR="000611EB" w:rsidRDefault="00BC6877" w:rsidP="009274A2">
      <w:pPr>
        <w:pStyle w:val="BodyText"/>
      </w:pPr>
      <w:r>
        <w:t>Mr Clare</w:t>
      </w:r>
      <w:r w:rsidR="00EB6CCE">
        <w:t xml:space="preserve"> described himself as an operat</w:t>
      </w:r>
      <w:r w:rsidR="003C603C">
        <w:t xml:space="preserve">ional retailer, leaving specialists to deal with financial </w:t>
      </w:r>
      <w:r w:rsidR="0007033A">
        <w:t>structuring</w:t>
      </w:r>
      <w:r w:rsidR="00D759E2">
        <w:t xml:space="preserve"> and concentrating on the business turnaround plan</w:t>
      </w:r>
      <w:r w:rsidR="00A3306A">
        <w:t xml:space="preserve"> and the cashflow from the business</w:t>
      </w:r>
      <w:r w:rsidR="003C603C">
        <w:t>.</w:t>
      </w:r>
      <w:r w:rsidR="008B1BC0">
        <w:t xml:space="preserve"> He wanted to get the Disposal</w:t>
      </w:r>
      <w:r w:rsidR="00546925">
        <w:t xml:space="preserve"> done and move on to turning the business around.</w:t>
      </w:r>
      <w:r w:rsidR="00D7402C">
        <w:t xml:space="preserve"> He explained that it was necessary to be an optimist to be a successful retailer</w:t>
      </w:r>
      <w:r w:rsidR="006707B9">
        <w:t>. He clearly brought some of that optimism to bear at the time.</w:t>
      </w:r>
    </w:p>
    <w:p w14:paraId="56530E51" w14:textId="176FA2E8" w:rsidR="00546925" w:rsidRDefault="004E5AF4" w:rsidP="009274A2">
      <w:pPr>
        <w:pStyle w:val="BodyText"/>
      </w:pPr>
      <w:r>
        <w:t>Given these points, it is not surprising that I found Mr</w:t>
      </w:r>
      <w:r w:rsidR="00613AB2">
        <w:t xml:space="preserve"> Clare’s evidence</w:t>
      </w:r>
      <w:r w:rsidR="001C7455">
        <w:t xml:space="preserve"> to be</w:t>
      </w:r>
      <w:r w:rsidR="00613AB2">
        <w:t xml:space="preserve"> of li</w:t>
      </w:r>
      <w:r w:rsidR="00BB0593">
        <w:t>ttle</w:t>
      </w:r>
      <w:r w:rsidR="00613AB2">
        <w:t xml:space="preserve"> assistance, apart from </w:t>
      </w:r>
      <w:r w:rsidR="00182398">
        <w:t>providing</w:t>
      </w:r>
      <w:r w:rsidR="008E15E8">
        <w:t xml:space="preserve"> support </w:t>
      </w:r>
      <w:r w:rsidR="00182398">
        <w:t>for the</w:t>
      </w:r>
      <w:r w:rsidR="008E15E8">
        <w:t xml:space="preserve"> view that the New Board’s </w:t>
      </w:r>
      <w:r w:rsidR="00AD4790">
        <w:t>substantive consideration of the merits or otherwise of the Disposal from Comet’s perspective was</w:t>
      </w:r>
      <w:r w:rsidR="00D3374F">
        <w:t>, at best,</w:t>
      </w:r>
      <w:r w:rsidR="00AD4790">
        <w:t xml:space="preserve"> </w:t>
      </w:r>
      <w:r w:rsidR="00D7402C">
        <w:t>limited.</w:t>
      </w:r>
    </w:p>
    <w:p w14:paraId="2E537D71" w14:textId="2266559C" w:rsidR="00C03BB8" w:rsidRDefault="00C03BB8" w:rsidP="00BB06BD">
      <w:pPr>
        <w:pStyle w:val="BodyText"/>
      </w:pPr>
      <w:r>
        <w:t>Mr Clare was cross-examined in some detail about his incentive arrangements</w:t>
      </w:r>
      <w:r w:rsidR="00255FD3">
        <w:t>, in particular the fact that he received a return on his equity incentives despite Comet’s failure. I accept his evidence that he had</w:t>
      </w:r>
      <w:r w:rsidR="00571A33">
        <w:t xml:space="preserve"> focused on the success of the business and had</w:t>
      </w:r>
      <w:r w:rsidR="00255FD3">
        <w:t xml:space="preserve"> not expected to be rewarded for failure</w:t>
      </w:r>
      <w:r w:rsidR="00FA1C15">
        <w:t xml:space="preserve">. He described the withdrawal of support by HAL as the </w:t>
      </w:r>
      <w:r w:rsidR="00DD2885">
        <w:t>most shattering experience he had had in business.</w:t>
      </w:r>
    </w:p>
    <w:p w14:paraId="39A372A8" w14:textId="2F0C8D4D" w:rsidR="002F7F43" w:rsidRDefault="002F7F43" w:rsidP="002F7F43">
      <w:pPr>
        <w:pStyle w:val="Heading3"/>
      </w:pPr>
      <w:r>
        <w:t>Dominic Platt</w:t>
      </w:r>
    </w:p>
    <w:p w14:paraId="0F95A0F0" w14:textId="45C3CCC2" w:rsidR="002F7F43" w:rsidRDefault="003D0583" w:rsidP="002F7F43">
      <w:pPr>
        <w:pStyle w:val="BodyText"/>
      </w:pPr>
      <w:r>
        <w:t xml:space="preserve">Mr </w:t>
      </w:r>
      <w:r w:rsidR="00674906">
        <w:t>P</w:t>
      </w:r>
      <w:r>
        <w:t xml:space="preserve">latt </w:t>
      </w:r>
      <w:r w:rsidR="00674906">
        <w:t>was Kesa’s Chief Financial Officer</w:t>
      </w:r>
      <w:r w:rsidR="005413CE">
        <w:t xml:space="preserve"> between 2010 and 2015, having joined from Cable and Wireless</w:t>
      </w:r>
      <w:r w:rsidR="009430E8">
        <w:t>, where he was</w:t>
      </w:r>
      <w:r w:rsidR="009430E8" w:rsidRPr="009430E8">
        <w:t xml:space="preserve"> </w:t>
      </w:r>
      <w:r w:rsidR="002C02BF">
        <w:t>the group’s Financial Controller</w:t>
      </w:r>
      <w:r w:rsidR="005413CE">
        <w:t xml:space="preserve">. </w:t>
      </w:r>
      <w:r w:rsidR="00401E19">
        <w:t>He was a director of each of KEP, KHL, KIL and (until 3 February 2012) Come</w:t>
      </w:r>
      <w:r w:rsidR="00B136C0">
        <w:t>t</w:t>
      </w:r>
      <w:r w:rsidR="00401E19">
        <w:t>.</w:t>
      </w:r>
      <w:r w:rsidR="00B136C0">
        <w:t xml:space="preserve"> He now h</w:t>
      </w:r>
      <w:r w:rsidR="003D2E47">
        <w:t>olds</w:t>
      </w:r>
      <w:r w:rsidR="00B136C0">
        <w:t xml:space="preserve"> another CFO role in a financial services business.</w:t>
      </w:r>
    </w:p>
    <w:p w14:paraId="089E91D5" w14:textId="321B9CE8" w:rsidR="002C02BF" w:rsidRDefault="00297573" w:rsidP="002F7F43">
      <w:pPr>
        <w:pStyle w:val="BodyText"/>
      </w:pPr>
      <w:r>
        <w:t>Like Mr Darke I found Mr Platt to be an impressive witness. His</w:t>
      </w:r>
      <w:r w:rsidR="00955800">
        <w:t xml:space="preserve"> evidence was straightforward and helpful</w:t>
      </w:r>
      <w:r w:rsidR="00AE7D2A">
        <w:t>. He was of particular assistance</w:t>
      </w:r>
      <w:r w:rsidR="002613CA">
        <w:t xml:space="preserve"> in explaining the </w:t>
      </w:r>
      <w:r w:rsidR="00882162">
        <w:t>position in relation</w:t>
      </w:r>
      <w:r w:rsidR="002613CA">
        <w:t xml:space="preserve"> to credit insurance</w:t>
      </w:r>
      <w:r w:rsidR="0060352B">
        <w:t>,</w:t>
      </w:r>
      <w:r w:rsidR="003114CA">
        <w:t xml:space="preserve"> the</w:t>
      </w:r>
      <w:r w:rsidR="00EB7793">
        <w:t xml:space="preserve"> fact that an insolvency process was not a viable option</w:t>
      </w:r>
      <w:r w:rsidR="00CF2D1D">
        <w:t xml:space="preserve"> under Kesa’s ownership</w:t>
      </w:r>
      <w:r w:rsidR="0060352B">
        <w:t xml:space="preserve"> and the position in respect of Comet’s defer</w:t>
      </w:r>
      <w:r w:rsidR="006E4E5D">
        <w:t>red tax asset, where he candidly accepted that</w:t>
      </w:r>
      <w:r w:rsidR="005E3F0D">
        <w:t xml:space="preserve"> he had</w:t>
      </w:r>
      <w:r w:rsidR="005B06B0">
        <w:t xml:space="preserve"> made an error in his witness statement</w:t>
      </w:r>
      <w:r w:rsidR="00EB7793">
        <w:t>.</w:t>
      </w:r>
      <w:r w:rsidR="00882162">
        <w:t xml:space="preserve"> </w:t>
      </w:r>
    </w:p>
    <w:p w14:paraId="50B4D95A" w14:textId="7F181091" w:rsidR="003725DA" w:rsidRDefault="003725DA" w:rsidP="003725DA">
      <w:pPr>
        <w:pStyle w:val="Heading3"/>
      </w:pPr>
      <w:r>
        <w:t>Jeremy Goldring</w:t>
      </w:r>
    </w:p>
    <w:p w14:paraId="59408688" w14:textId="3761656B" w:rsidR="003725DA" w:rsidRDefault="004014F2" w:rsidP="003725DA">
      <w:pPr>
        <w:pStyle w:val="BodyText"/>
      </w:pPr>
      <w:r>
        <w:t xml:space="preserve">Jeremy Goldring is a solicitor </w:t>
      </w:r>
      <w:r w:rsidR="000C034F">
        <w:t>with lengthy</w:t>
      </w:r>
      <w:r w:rsidR="0019128D">
        <w:t xml:space="preserve"> experience in restructuring and insolvency</w:t>
      </w:r>
      <w:r w:rsidR="00942679">
        <w:t>. At the time he was a partner of SJ Berwin</w:t>
      </w:r>
      <w:r w:rsidR="00C75957">
        <w:t>, and is now at Gunnercooke.</w:t>
      </w:r>
    </w:p>
    <w:p w14:paraId="2E7C8507" w14:textId="1DB309E6" w:rsidR="005E4F3A" w:rsidRDefault="00597BC8" w:rsidP="003725DA">
      <w:pPr>
        <w:pStyle w:val="BodyText"/>
      </w:pPr>
      <w:r>
        <w:t>SJ Berwin</w:t>
      </w:r>
      <w:r w:rsidR="00206592">
        <w:t xml:space="preserve"> had originally </w:t>
      </w:r>
      <w:r w:rsidR="00863C15">
        <w:t>become</w:t>
      </w:r>
      <w:r w:rsidR="00206592">
        <w:t xml:space="preserve"> involved </w:t>
      </w:r>
      <w:r w:rsidR="00F31AC3">
        <w:t xml:space="preserve">in late October 2011 when Mr Goldring’s corporate partner Andrew Wingfield had been engaged to </w:t>
      </w:r>
      <w:r w:rsidR="00FE071C">
        <w:t xml:space="preserve">advise the proposed </w:t>
      </w:r>
      <w:r w:rsidR="008B453E">
        <w:t>N</w:t>
      </w:r>
      <w:r w:rsidR="00FE071C">
        <w:t xml:space="preserve">ew Board </w:t>
      </w:r>
      <w:r w:rsidR="003446D2">
        <w:t>personally</w:t>
      </w:r>
      <w:r w:rsidR="00421BCF">
        <w:t xml:space="preserve"> </w:t>
      </w:r>
      <w:r w:rsidR="00FE071C">
        <w:t>on their incentive arrangements</w:t>
      </w:r>
      <w:r w:rsidR="00B6491A">
        <w:t xml:space="preserve"> and employment contracts</w:t>
      </w:r>
      <w:r w:rsidR="00FE071C">
        <w:t>.</w:t>
      </w:r>
      <w:r w:rsidR="00C03AB8">
        <w:t xml:space="preserve"> The contact arose because Mr Wingfield knew Mr Darke socially.</w:t>
      </w:r>
    </w:p>
    <w:p w14:paraId="48EE8F1C" w14:textId="465BF95A" w:rsidR="003F7CA8" w:rsidRDefault="003F7CA8" w:rsidP="003725DA">
      <w:pPr>
        <w:pStyle w:val="BodyText"/>
      </w:pPr>
      <w:r>
        <w:t xml:space="preserve">Mr </w:t>
      </w:r>
      <w:r w:rsidR="0000063B">
        <w:t>G</w:t>
      </w:r>
      <w:r>
        <w:t xml:space="preserve">oldring’s </w:t>
      </w:r>
      <w:r w:rsidR="0000063B">
        <w:t xml:space="preserve">involvement started on or </w:t>
      </w:r>
      <w:r w:rsidR="0032753F">
        <w:t>shortly</w:t>
      </w:r>
      <w:r w:rsidR="0000063B">
        <w:t xml:space="preserve"> </w:t>
      </w:r>
      <w:r w:rsidR="00DF0B51">
        <w:t>before</w:t>
      </w:r>
      <w:r w:rsidR="0000063B">
        <w:t xml:space="preserve"> 11 January 2012</w:t>
      </w:r>
      <w:r w:rsidR="00DF0B51">
        <w:t>, when Mr Wingfield realised that</w:t>
      </w:r>
      <w:r w:rsidR="00981862">
        <w:t xml:space="preserve"> directors’ duties issues also arose</w:t>
      </w:r>
      <w:r w:rsidR="00C41E0F">
        <w:t xml:space="preserve"> related to </w:t>
      </w:r>
      <w:r w:rsidR="00702CE6">
        <w:t xml:space="preserve">concerns over </w:t>
      </w:r>
      <w:r w:rsidR="00C41E0F">
        <w:t>solvency</w:t>
      </w:r>
      <w:r w:rsidR="00415D4A">
        <w:t xml:space="preserve">. This resulted in a second engagement letter, dated 19 January 2012, </w:t>
      </w:r>
      <w:r w:rsidR="00A00D1C">
        <w:t>sent by Mr Wingfiel</w:t>
      </w:r>
      <w:r w:rsidR="005355C4">
        <w:t xml:space="preserve">d as the responsible partner but </w:t>
      </w:r>
      <w:r w:rsidR="008C40EC">
        <w:t>addressed to</w:t>
      </w:r>
      <w:r w:rsidR="0071373D">
        <w:t xml:space="preserve"> Comet itself</w:t>
      </w:r>
      <w:r w:rsidR="008C40EC">
        <w:t xml:space="preserve"> rather than the directors in their personal capacities</w:t>
      </w:r>
      <w:r w:rsidR="00413746">
        <w:t xml:space="preserve">. The scope of work covered advice to the New Board in their capacity </w:t>
      </w:r>
      <w:r w:rsidR="00D251B1">
        <w:t>as directors on their statutory and fiduciary duties, and advi</w:t>
      </w:r>
      <w:r w:rsidR="004103D2">
        <w:t>c</w:t>
      </w:r>
      <w:r w:rsidR="00D251B1">
        <w:t xml:space="preserve">e </w:t>
      </w:r>
      <w:r w:rsidR="004103D2">
        <w:t xml:space="preserve">to </w:t>
      </w:r>
      <w:r w:rsidR="00D251B1">
        <w:t>Comet</w:t>
      </w:r>
      <w:r w:rsidR="002D10BE">
        <w:t xml:space="preserve"> on “any other advisory matters” in relation to the Disposal.</w:t>
      </w:r>
    </w:p>
    <w:p w14:paraId="22DF2F4B" w14:textId="661A010D" w:rsidR="007637BB" w:rsidRDefault="006F294B" w:rsidP="003725DA">
      <w:pPr>
        <w:pStyle w:val="BodyText"/>
      </w:pPr>
      <w:r>
        <w:t>Mr Goldring’s long experience was very apparent from his evidence</w:t>
      </w:r>
      <w:r w:rsidR="00DA3E28">
        <w:t>. He was an understandably careful witness</w:t>
      </w:r>
      <w:r w:rsidR="00B65A2F">
        <w:t xml:space="preserve"> but his evidence was consistent and clear. He clearly felt</w:t>
      </w:r>
      <w:r w:rsidR="009E4F60">
        <w:t xml:space="preserve"> strongly</w:t>
      </w:r>
      <w:r w:rsidR="00E76B5A">
        <w:t xml:space="preserve"> about the position</w:t>
      </w:r>
      <w:r w:rsidR="006908D0">
        <w:t xml:space="preserve"> that</w:t>
      </w:r>
      <w:r w:rsidR="00E76B5A">
        <w:t xml:space="preserve"> </w:t>
      </w:r>
      <w:r w:rsidR="007A0048">
        <w:t>he perceived Comet and its New Board to have been placed in, particularly as regards the grant of new security without (as he saw it) new money</w:t>
      </w:r>
      <w:r w:rsidR="00515425">
        <w:t>, but his priority and focus in the short time available</w:t>
      </w:r>
      <w:r w:rsidR="00B22C24">
        <w:t xml:space="preserve"> was on minimising the New Board’s exposure to a</w:t>
      </w:r>
      <w:r w:rsidR="003C0D70">
        <w:t>ny</w:t>
      </w:r>
      <w:r w:rsidR="00B22C24">
        <w:t xml:space="preserve"> claim for breach of duty.</w:t>
      </w:r>
      <w:r w:rsidR="00AC5808">
        <w:t xml:space="preserve"> </w:t>
      </w:r>
      <w:r w:rsidR="00464B92">
        <w:t xml:space="preserve">His understanding at the time was that </w:t>
      </w:r>
      <w:r w:rsidR="002A3987">
        <w:t>a</w:t>
      </w:r>
      <w:r w:rsidR="00464B92">
        <w:t xml:space="preserve"> preference</w:t>
      </w:r>
      <w:r w:rsidR="002A3987">
        <w:t xml:space="preserve"> was unlikely to give rise to a claim for breach</w:t>
      </w:r>
      <w:r w:rsidR="002B2191">
        <w:t xml:space="preserve"> of duty</w:t>
      </w:r>
      <w:r w:rsidR="005D6862">
        <w:t>.</w:t>
      </w:r>
    </w:p>
    <w:p w14:paraId="36448374" w14:textId="1E40564B" w:rsidR="00C951C3" w:rsidRDefault="007F2F2D" w:rsidP="00B72139">
      <w:pPr>
        <w:pStyle w:val="Heading3"/>
      </w:pPr>
      <w:r>
        <w:t>Michael Walters</w:t>
      </w:r>
    </w:p>
    <w:p w14:paraId="253B4C3F" w14:textId="2D3AF2EC" w:rsidR="00B72139" w:rsidRDefault="00FD0489" w:rsidP="00B72139">
      <w:pPr>
        <w:pStyle w:val="BodyText"/>
      </w:pPr>
      <w:r>
        <w:t xml:space="preserve">Mr Walters is a </w:t>
      </w:r>
      <w:r w:rsidR="00CD6207">
        <w:t xml:space="preserve">chartered accountant and a fellow of the ICAEW. </w:t>
      </w:r>
      <w:r w:rsidR="00CF11B5">
        <w:t>He</w:t>
      </w:r>
      <w:r w:rsidR="001209A7">
        <w:t xml:space="preserve"> has had significant experience in finance-related roles</w:t>
      </w:r>
      <w:r w:rsidR="008B3624">
        <w:t>. He joined Comet in 2007</w:t>
      </w:r>
      <w:r w:rsidR="00C71C6B">
        <w:t xml:space="preserve"> and became its Head of Finance in January 2011</w:t>
      </w:r>
      <w:r w:rsidR="003B12A4">
        <w:t>. He also acted as its company secretary</w:t>
      </w:r>
      <w:r w:rsidR="00BA395F">
        <w:t xml:space="preserve"> until 3 February 201</w:t>
      </w:r>
      <w:r w:rsidR="007868AD">
        <w:t xml:space="preserve">2. </w:t>
      </w:r>
      <w:r w:rsidR="00FF0F5E">
        <w:t>In the period leading up</w:t>
      </w:r>
      <w:r w:rsidR="007868AD">
        <w:t xml:space="preserve"> </w:t>
      </w:r>
      <w:r w:rsidR="00FF0F5E">
        <w:t>to</w:t>
      </w:r>
      <w:r w:rsidR="006D5F54">
        <w:t xml:space="preserve"> the Disposal he reported to Mr Darke</w:t>
      </w:r>
      <w:r w:rsidR="003D4CDB">
        <w:t>, and then for a limited period to Scott P</w:t>
      </w:r>
      <w:r w:rsidR="006D1120">
        <w:t>i</w:t>
      </w:r>
      <w:r w:rsidR="003D4CDB">
        <w:t xml:space="preserve">nfield, a partner </w:t>
      </w:r>
      <w:r w:rsidR="00F40C5D">
        <w:t xml:space="preserve">at Alvarez </w:t>
      </w:r>
      <w:r w:rsidR="005F4087">
        <w:t>&amp;</w:t>
      </w:r>
      <w:r w:rsidR="00F40C5D">
        <w:t xml:space="preserve"> Marsal</w:t>
      </w:r>
      <w:r w:rsidR="005F4087">
        <w:t xml:space="preserve"> who was seconded to Comet to act as </w:t>
      </w:r>
      <w:r w:rsidR="0049532B">
        <w:t>CFO.</w:t>
      </w:r>
      <w:r w:rsidR="00D33AE0">
        <w:t xml:space="preserve"> </w:t>
      </w:r>
      <w:r w:rsidR="00122133">
        <w:t xml:space="preserve">Mr Walters was made </w:t>
      </w:r>
      <w:r w:rsidR="002B3A05">
        <w:t>redundant from Comet in December 2012. He</w:t>
      </w:r>
      <w:r w:rsidR="00D33AE0">
        <w:t xml:space="preserve"> is now the chief financial o</w:t>
      </w:r>
      <w:r w:rsidR="00657150">
        <w:t>fficer at Invensys Pension Trustee Limited.</w:t>
      </w:r>
    </w:p>
    <w:p w14:paraId="04F87D8C" w14:textId="44DE5F31" w:rsidR="00D00800" w:rsidRDefault="00465261" w:rsidP="00B72139">
      <w:pPr>
        <w:pStyle w:val="BodyText"/>
      </w:pPr>
      <w:r>
        <w:t xml:space="preserve">In 2014 </w:t>
      </w:r>
      <w:r w:rsidR="00EE630A">
        <w:t xml:space="preserve">Mr Walters gave evidence against Comet </w:t>
      </w:r>
      <w:r w:rsidR="00122771">
        <w:t>on behalf of Comet employees in</w:t>
      </w:r>
      <w:r w:rsidR="00EE630A">
        <w:t xml:space="preserve"> proceedings</w:t>
      </w:r>
      <w:r w:rsidR="00122771">
        <w:t xml:space="preserve"> in the Employment Tribunal</w:t>
      </w:r>
      <w:r>
        <w:t xml:space="preserve"> connected with the redundancy process</w:t>
      </w:r>
      <w:r w:rsidR="00D069C7">
        <w:t>. It was after that that Mr Walters made a complaint to the ICAEW about the conduct of the joint administrators.</w:t>
      </w:r>
    </w:p>
    <w:p w14:paraId="477F14A6" w14:textId="3F779E73" w:rsidR="00D66BC9" w:rsidRDefault="00C90183" w:rsidP="00B72139">
      <w:pPr>
        <w:pStyle w:val="BodyText"/>
      </w:pPr>
      <w:r>
        <w:t xml:space="preserve">Although Mr Walters was called as a witness for the </w:t>
      </w:r>
      <w:r w:rsidR="008439D0">
        <w:t>L</w:t>
      </w:r>
      <w:r>
        <w:t xml:space="preserve">iquidator, it is worth pointing out that </w:t>
      </w:r>
      <w:r w:rsidR="00FD0A71">
        <w:t>Darty had also served hearsay notices in respect of parts of his evidence in the ICAEW proceedings</w:t>
      </w:r>
      <w:r w:rsidR="00174C5B">
        <w:t>, on which it wished to rely.</w:t>
      </w:r>
    </w:p>
    <w:p w14:paraId="0239F3AB" w14:textId="07CFE342" w:rsidR="00206A23" w:rsidRDefault="00206A23" w:rsidP="00B72139">
      <w:pPr>
        <w:pStyle w:val="BodyText"/>
      </w:pPr>
      <w:r>
        <w:t>Mr Walters’ evidence was measured</w:t>
      </w:r>
      <w:r w:rsidR="00934DA9">
        <w:t xml:space="preserve">, careful and clear. He was astute to any lack of clarity in the questions he </w:t>
      </w:r>
      <w:r w:rsidR="00D66BC9">
        <w:t>was asked. I had no hesitation about his evidence.</w:t>
      </w:r>
    </w:p>
    <w:p w14:paraId="4D4E1C77" w14:textId="65D3C937" w:rsidR="001B4270" w:rsidRDefault="00377EDC" w:rsidP="00377EDC">
      <w:pPr>
        <w:pStyle w:val="Heading2"/>
      </w:pPr>
      <w:r>
        <w:t>Expert witnesses</w:t>
      </w:r>
    </w:p>
    <w:p w14:paraId="08DB24EA" w14:textId="568011D1" w:rsidR="00377EDC" w:rsidRDefault="0061566F" w:rsidP="0061566F">
      <w:pPr>
        <w:pStyle w:val="Heading3"/>
      </w:pPr>
      <w:r>
        <w:t>John Ellison</w:t>
      </w:r>
    </w:p>
    <w:p w14:paraId="0A3865F5" w14:textId="375D4DF0" w:rsidR="0061566F" w:rsidRDefault="004B48C1" w:rsidP="0061566F">
      <w:pPr>
        <w:pStyle w:val="BodyText"/>
      </w:pPr>
      <w:r>
        <w:t>Mr Ellison, the liquidator’s expert</w:t>
      </w:r>
      <w:r w:rsidR="00E03CB7">
        <w:t>,</w:t>
      </w:r>
      <w:r w:rsidR="009652DF">
        <w:t xml:space="preserve"> was formerly a senior partner of KPMG and is now</w:t>
      </w:r>
      <w:r w:rsidR="00D00BE0">
        <w:t xml:space="preserve"> a senior director at FTI Consulting. He is a fellow of the ICAEW and has 50 years</w:t>
      </w:r>
      <w:r w:rsidR="00E12679">
        <w:t>’ experience in the accounting profession, including significant experience as an expert witness</w:t>
      </w:r>
      <w:r w:rsidR="00E677FB">
        <w:t>.</w:t>
      </w:r>
    </w:p>
    <w:p w14:paraId="1183D220" w14:textId="0C100335" w:rsidR="00E677FB" w:rsidRDefault="00E677FB" w:rsidP="0061566F">
      <w:pPr>
        <w:pStyle w:val="BodyText"/>
      </w:pPr>
      <w:r>
        <w:t>I found Mr Ellison to be an impressive witness,</w:t>
      </w:r>
      <w:r w:rsidR="009313ED">
        <w:t xml:space="preserve"> </w:t>
      </w:r>
      <w:r w:rsidR="0073467E">
        <w:t xml:space="preserve">with </w:t>
      </w:r>
      <w:r w:rsidR="009313ED">
        <w:t xml:space="preserve">a good awareness </w:t>
      </w:r>
      <w:r w:rsidR="00654A6C">
        <w:t>of his role as an expert</w:t>
      </w:r>
      <w:r w:rsidR="00890A97">
        <w:t xml:space="preserve"> </w:t>
      </w:r>
      <w:r w:rsidR="009313ED">
        <w:t>to assist the court</w:t>
      </w:r>
      <w:r w:rsidR="0073467E">
        <w:t>.</w:t>
      </w:r>
      <w:r w:rsidR="00FC38B1">
        <w:t xml:space="preserve"> His evidence was </w:t>
      </w:r>
      <w:r w:rsidR="006A39A1">
        <w:t>clear</w:t>
      </w:r>
      <w:r w:rsidR="00E55F08">
        <w:t xml:space="preserve"> and helpful, </w:t>
      </w:r>
      <w:r w:rsidR="006A39A1">
        <w:t>and</w:t>
      </w:r>
      <w:r w:rsidR="002749BB">
        <w:t xml:space="preserve"> it</w:t>
      </w:r>
      <w:r w:rsidR="006A39A1">
        <w:t xml:space="preserve"> demonstrated his extensive knowledge and experience. He dealt well with questions</w:t>
      </w:r>
      <w:r w:rsidR="003D01AC">
        <w:t xml:space="preserve"> from Mr Smith about long-term liabilities that had not been trailed as issues prior to the commencement of the trial.</w:t>
      </w:r>
    </w:p>
    <w:p w14:paraId="5D57C16C" w14:textId="3BED0B1B" w:rsidR="008C4DC7" w:rsidRDefault="008C4DC7" w:rsidP="008C4DC7">
      <w:pPr>
        <w:pStyle w:val="Heading3"/>
      </w:pPr>
      <w:r>
        <w:t>Stephen Lewis</w:t>
      </w:r>
    </w:p>
    <w:p w14:paraId="0FCFE194" w14:textId="22B8A0DB" w:rsidR="008C4DC7" w:rsidRDefault="002A7FC5" w:rsidP="0061566F">
      <w:pPr>
        <w:pStyle w:val="BodyText"/>
      </w:pPr>
      <w:r>
        <w:t>Mr Lewis is a partner</w:t>
      </w:r>
      <w:r w:rsidR="001E5227">
        <w:t xml:space="preserve"> at Mazars and a fellow of the ICAEW</w:t>
      </w:r>
      <w:r w:rsidR="00FD5666">
        <w:t>. He has specialised in forensic accountancy for over 20 years</w:t>
      </w:r>
      <w:r w:rsidR="00A76E2F">
        <w:t xml:space="preserve">. He also has </w:t>
      </w:r>
      <w:r w:rsidR="00BE190F">
        <w:t>significant experience as an expert witness.</w:t>
      </w:r>
    </w:p>
    <w:p w14:paraId="1FFFB73F" w14:textId="374C9AA4" w:rsidR="00AD585F" w:rsidRDefault="00AD585F" w:rsidP="0061566F">
      <w:pPr>
        <w:pStyle w:val="BodyText"/>
      </w:pPr>
      <w:bookmarkStart w:id="27" w:name="_Ref118464068"/>
      <w:r>
        <w:t>Overall I found Mr Lewis’s evidence to be</w:t>
      </w:r>
      <w:r w:rsidR="00DB3148">
        <w:t xml:space="preserve"> somewhat</w:t>
      </w:r>
      <w:r>
        <w:t xml:space="preserve"> less helpful than Mr Ellison’s. </w:t>
      </w:r>
      <w:r w:rsidR="00FD36FA">
        <w:t xml:space="preserve">I </w:t>
      </w:r>
      <w:r w:rsidR="006B6434">
        <w:t>infer that this was at</w:t>
      </w:r>
      <w:r w:rsidR="00DB3148">
        <w:t xml:space="preserve"> least</w:t>
      </w:r>
      <w:r w:rsidR="006B6434">
        <w:t xml:space="preserve"> in part because of the way in which he was instructed.</w:t>
      </w:r>
      <w:r w:rsidR="00377165">
        <w:t xml:space="preserve"> In particular</w:t>
      </w:r>
      <w:r w:rsidR="00DE6F6C">
        <w:t xml:space="preserve">, in assessing solvency </w:t>
      </w:r>
      <w:r w:rsidR="00605D1F">
        <w:t>Mr Lewis</w:t>
      </w:r>
      <w:r w:rsidR="003055D4">
        <w:t xml:space="preserve"> appeared to have</w:t>
      </w:r>
      <w:r w:rsidR="00DE6F6C">
        <w:t xml:space="preserve"> placed </w:t>
      </w:r>
      <w:r w:rsidR="00DE6F6C" w:rsidRPr="003055D4">
        <w:t>material reliance</w:t>
      </w:r>
      <w:r w:rsidR="00DE6F6C">
        <w:t xml:space="preserve"> on the New Board’s conclusion</w:t>
      </w:r>
      <w:r w:rsidR="005A1AED">
        <w:t xml:space="preserve"> that Comet was solvent on 3 February 2012, even though supporting</w:t>
      </w:r>
      <w:r w:rsidR="000418A3">
        <w:t xml:space="preserve"> documentation</w:t>
      </w:r>
      <w:r w:rsidR="006431A9">
        <w:t xml:space="preserve"> </w:t>
      </w:r>
      <w:r w:rsidR="00E03FDA">
        <w:t>appeared to be lacking</w:t>
      </w:r>
      <w:r w:rsidR="000C5020">
        <w:t xml:space="preserve">. </w:t>
      </w:r>
      <w:r w:rsidR="00B743EC">
        <w:t xml:space="preserve">He formed </w:t>
      </w:r>
      <w:r w:rsidR="00B743EC" w:rsidRPr="006431A9">
        <w:t>no definitive view</w:t>
      </w:r>
      <w:r w:rsidR="00B743EC">
        <w:t xml:space="preserve"> in relation to </w:t>
      </w:r>
      <w:r w:rsidR="003A2879">
        <w:t>Comet’s</w:t>
      </w:r>
      <w:r w:rsidR="00B743EC">
        <w:t xml:space="preserve"> de</w:t>
      </w:r>
      <w:r w:rsidR="009B6987">
        <w:t>ferred tax asset</w:t>
      </w:r>
      <w:r w:rsidR="0077631E">
        <w:t xml:space="preserve"> despite describing it as “pivotal” to the Liquidator’s assessment</w:t>
      </w:r>
      <w:r w:rsidR="003A2879">
        <w:t xml:space="preserve"> that Comet was </w:t>
      </w:r>
      <w:r w:rsidR="00410DE2">
        <w:t xml:space="preserve">balance sheet </w:t>
      </w:r>
      <w:r w:rsidR="003A2879">
        <w:t>insolvent</w:t>
      </w:r>
      <w:r w:rsidR="00010266">
        <w:t>.</w:t>
      </w:r>
      <w:r w:rsidR="006431A9">
        <w:t xml:space="preserve"> Further</w:t>
      </w:r>
      <w:r w:rsidR="005D4F22">
        <w:t xml:space="preserve">, in assessing </w:t>
      </w:r>
      <w:r w:rsidR="001A0683">
        <w:t xml:space="preserve">the </w:t>
      </w:r>
      <w:r w:rsidR="003A488E">
        <w:t xml:space="preserve">creditor dividend on a hypothetical liquidation </w:t>
      </w:r>
      <w:r w:rsidR="006570C5">
        <w:t>he</w:t>
      </w:r>
      <w:r w:rsidR="003E769C">
        <w:t xml:space="preserve"> </w:t>
      </w:r>
      <w:r w:rsidR="006570C5">
        <w:t>focused</w:t>
      </w:r>
      <w:r w:rsidR="003E769C">
        <w:t xml:space="preserve"> in his own report</w:t>
      </w:r>
      <w:r w:rsidR="006570C5">
        <w:t xml:space="preserve"> </w:t>
      </w:r>
      <w:r w:rsidR="0011112C">
        <w:t xml:space="preserve">mainly </w:t>
      </w:r>
      <w:r w:rsidR="006570C5">
        <w:t>on the Liquidator’s pleaded claim</w:t>
      </w:r>
      <w:r w:rsidR="00B04C90">
        <w:t xml:space="preserve"> rather </w:t>
      </w:r>
      <w:r w:rsidR="00BA4D39">
        <w:t xml:space="preserve">than </w:t>
      </w:r>
      <w:r w:rsidR="00B04C90">
        <w:t>on the question at large (which is the question he was asked)</w:t>
      </w:r>
      <w:r w:rsidR="00FE610C">
        <w:t xml:space="preserve">, and although at the stage of the joint statement he accepted that some of Mr Ellison’s </w:t>
      </w:r>
      <w:r w:rsidR="00840228">
        <w:t xml:space="preserve">allowances for costs were appropriate in principle, he </w:t>
      </w:r>
      <w:r w:rsidR="002F7A35">
        <w:t>mad</w:t>
      </w:r>
      <w:r w:rsidR="003526D9">
        <w:t>e</w:t>
      </w:r>
      <w:r w:rsidR="002F7A35">
        <w:t xml:space="preserve"> limited allowance for them</w:t>
      </w:r>
      <w:r w:rsidR="00035D66">
        <w:t xml:space="preserve"> on </w:t>
      </w:r>
      <w:r w:rsidR="00217967">
        <w:t xml:space="preserve">the </w:t>
      </w:r>
      <w:r w:rsidR="00035D66">
        <w:t>grounds of</w:t>
      </w:r>
      <w:r w:rsidR="00917C2A">
        <w:t xml:space="preserve"> lack of information</w:t>
      </w:r>
      <w:r w:rsidR="00035D66">
        <w:t>.</w:t>
      </w:r>
      <w:bookmarkEnd w:id="27"/>
    </w:p>
    <w:p w14:paraId="0C334528" w14:textId="224DC52D" w:rsidR="00F02AEA" w:rsidRDefault="00B93F3D" w:rsidP="00B93F3D">
      <w:pPr>
        <w:pStyle w:val="Heading1"/>
        <w:spacing w:before="480"/>
      </w:pPr>
      <w:r>
        <w:t>Applicable legal principles</w:t>
      </w:r>
      <w:r w:rsidR="00FB48A0">
        <w:t xml:space="preserve"> </w:t>
      </w:r>
      <w:r w:rsidR="00FB48A0" w:rsidRPr="00DA32BD">
        <w:t>and areas of dispute</w:t>
      </w:r>
    </w:p>
    <w:p w14:paraId="642D9964" w14:textId="0A73267A" w:rsidR="00B93F3D" w:rsidRDefault="006E2288" w:rsidP="00B93F3D">
      <w:pPr>
        <w:pStyle w:val="BodyText"/>
      </w:pPr>
      <w:bookmarkStart w:id="28" w:name="_Ref118464053"/>
      <w:r>
        <w:t>This section summarises the applicable legal principles, which w</w:t>
      </w:r>
      <w:r w:rsidR="00B93F3D">
        <w:t>ith one</w:t>
      </w:r>
      <w:r w:rsidR="0053382C">
        <w:t xml:space="preserve"> potentially</w:t>
      </w:r>
      <w:r w:rsidR="00B93F3D">
        <w:t xml:space="preserve"> </w:t>
      </w:r>
      <w:r w:rsidR="0053382C">
        <w:t xml:space="preserve">material exception were not </w:t>
      </w:r>
      <w:r w:rsidR="00B44912">
        <w:t>contentious</w:t>
      </w:r>
      <w:r>
        <w:t>, and the key areas in dispute in their application to the facts.</w:t>
      </w:r>
      <w:bookmarkEnd w:id="28"/>
    </w:p>
    <w:p w14:paraId="3EE1CB42" w14:textId="15BB642B" w:rsidR="006D7B1E" w:rsidRDefault="006D7B1E" w:rsidP="006D7B1E">
      <w:pPr>
        <w:pStyle w:val="Heading2"/>
      </w:pPr>
      <w:r>
        <w:t>Section 239 IA 1986</w:t>
      </w:r>
    </w:p>
    <w:p w14:paraId="50FE714E" w14:textId="31BCEBF5" w:rsidR="006D7B1E" w:rsidRDefault="00AA309B" w:rsidP="006D7B1E">
      <w:pPr>
        <w:pStyle w:val="BodyText"/>
      </w:pPr>
      <w:r>
        <w:t xml:space="preserve">Section 239 IA 1986 </w:t>
      </w:r>
      <w:r w:rsidR="00072C37">
        <w:t>rele</w:t>
      </w:r>
      <w:r w:rsidR="00EE2E78">
        <w:t xml:space="preserve">vantly </w:t>
      </w:r>
      <w:r>
        <w:t>provides as follows:</w:t>
      </w:r>
    </w:p>
    <w:p w14:paraId="4ACDE377" w14:textId="7B8811F9" w:rsidR="00AA309B" w:rsidRPr="0008139D" w:rsidRDefault="001E29D3" w:rsidP="00AA309B">
      <w:pPr>
        <w:pStyle w:val="Citations"/>
        <w:rPr>
          <w:b/>
          <w:bCs/>
        </w:rPr>
      </w:pPr>
      <w:r>
        <w:rPr>
          <w:b/>
          <w:bCs/>
        </w:rPr>
        <w:t>“</w:t>
      </w:r>
      <w:r w:rsidR="00AA309B" w:rsidRPr="0008139D">
        <w:rPr>
          <w:b/>
          <w:bCs/>
        </w:rPr>
        <w:t>239.   Preferences (England and Wales)</w:t>
      </w:r>
    </w:p>
    <w:p w14:paraId="579C3534" w14:textId="6D83EF15" w:rsidR="00AA309B" w:rsidRDefault="00EE2E78" w:rsidP="00AA309B">
      <w:pPr>
        <w:pStyle w:val="Citations"/>
      </w:pPr>
      <w:r>
        <w:t>…</w:t>
      </w:r>
    </w:p>
    <w:p w14:paraId="1EB1F817" w14:textId="02554B92" w:rsidR="00AA309B" w:rsidRDefault="00AA309B" w:rsidP="00AA309B">
      <w:pPr>
        <w:pStyle w:val="Citations"/>
      </w:pPr>
      <w:r>
        <w:t>(2)</w:t>
      </w:r>
      <w:r w:rsidR="00EE2E78">
        <w:t xml:space="preserve"> </w:t>
      </w:r>
      <w:r>
        <w:t>Where the company has at a relevant time (defined in the next section) given a preference to any person, the office-holder may apply to the court for an order under this section.</w:t>
      </w:r>
    </w:p>
    <w:p w14:paraId="2C8748EC" w14:textId="1D40DAB6" w:rsidR="00AA309B" w:rsidRDefault="00AA309B" w:rsidP="00AA309B">
      <w:pPr>
        <w:pStyle w:val="Citations"/>
      </w:pPr>
      <w:r>
        <w:t>(3)</w:t>
      </w:r>
      <w:r w:rsidR="00EE2E78">
        <w:t xml:space="preserve"> </w:t>
      </w:r>
      <w:r>
        <w:t>Subject as follows, the court shall, on such an application, make such order as it thinks fit for restoring the position to what it would have been if the company had not given that preference.</w:t>
      </w:r>
    </w:p>
    <w:p w14:paraId="5D0552E9" w14:textId="5C133436" w:rsidR="00AA309B" w:rsidRDefault="00AA309B" w:rsidP="00AA309B">
      <w:pPr>
        <w:pStyle w:val="Citations"/>
      </w:pPr>
      <w:r>
        <w:t>(4)</w:t>
      </w:r>
      <w:r w:rsidR="00EE2E78">
        <w:t xml:space="preserve"> </w:t>
      </w:r>
      <w:r>
        <w:t>For the purposes of this section and section 241, a company gives a preference to a person if—</w:t>
      </w:r>
    </w:p>
    <w:p w14:paraId="304A91EE" w14:textId="3479DD91" w:rsidR="00AA309B" w:rsidRDefault="00AA309B" w:rsidP="009C0D41">
      <w:pPr>
        <w:pStyle w:val="Citations"/>
        <w:ind w:left="1440"/>
      </w:pPr>
      <w:r>
        <w:t>(a)</w:t>
      </w:r>
      <w:r w:rsidR="009C0D41">
        <w:t xml:space="preserve"> </w:t>
      </w:r>
      <w:r>
        <w:t>that person is one of the company’s creditors or a surety or guarantor for any of the company’s debts or other liabilities, and</w:t>
      </w:r>
    </w:p>
    <w:p w14:paraId="37CD36C5" w14:textId="4235C65D" w:rsidR="00AA309B" w:rsidRDefault="00AA309B" w:rsidP="009C0D41">
      <w:pPr>
        <w:pStyle w:val="Citations"/>
        <w:ind w:left="1440"/>
      </w:pPr>
      <w:r>
        <w:t>(b)</w:t>
      </w:r>
      <w:r w:rsidR="009C0D41">
        <w:t xml:space="preserve"> </w:t>
      </w:r>
      <w:r>
        <w:t>the company does anything or suffers anything to be done which (in either case) has the effect of putting that person into a position which, in the event of the company going into insolvent liquidation, will be better than the position he would have been in if that thing had not been done.</w:t>
      </w:r>
    </w:p>
    <w:p w14:paraId="56BAFF34" w14:textId="67C6E005" w:rsidR="00AA309B" w:rsidRDefault="00AA309B" w:rsidP="00AA309B">
      <w:pPr>
        <w:pStyle w:val="Citations"/>
      </w:pPr>
      <w:r>
        <w:t>(5)</w:t>
      </w:r>
      <w:r w:rsidR="00EE2E78">
        <w:t xml:space="preserve"> </w:t>
      </w:r>
      <w:r>
        <w:t>The court shall not make an order under this section in respect of a preference given to any person unless the company which gave the preference was influenced in deciding to give it by a desire to produce in relation to that person the effect mentioned in subsection (4)(b).</w:t>
      </w:r>
    </w:p>
    <w:p w14:paraId="5EDD4D59" w14:textId="538D08F1" w:rsidR="00AA309B" w:rsidRDefault="00AA309B" w:rsidP="00AA309B">
      <w:pPr>
        <w:pStyle w:val="Citations"/>
      </w:pPr>
      <w:r>
        <w:t>(6)</w:t>
      </w:r>
      <w:r w:rsidR="00EE2E78">
        <w:t xml:space="preserve"> </w:t>
      </w:r>
      <w:r>
        <w:t>A company which has given a preference to a person connected with the company (otherwise than by reason only of being its employee) at the time the preference was given is presumed, unless the contrary is shown, to have been influenced in deciding to give it by such a desire as is mentioned in subsection (5).</w:t>
      </w:r>
    </w:p>
    <w:p w14:paraId="2F0B54FB" w14:textId="500A654B" w:rsidR="00AA309B" w:rsidRDefault="00EE2E78" w:rsidP="00AA309B">
      <w:pPr>
        <w:pStyle w:val="Citations"/>
      </w:pPr>
      <w:r>
        <w:t>…</w:t>
      </w:r>
      <w:r w:rsidR="001E29D3">
        <w:t>”</w:t>
      </w:r>
    </w:p>
    <w:p w14:paraId="39DCC863" w14:textId="5439EE87" w:rsidR="00A84A80" w:rsidRDefault="00A84A80" w:rsidP="00A84A80">
      <w:pPr>
        <w:pStyle w:val="BodyText"/>
      </w:pPr>
      <w:r>
        <w:t>Section 240</w:t>
      </w:r>
      <w:r w:rsidR="00017E52">
        <w:t>(1)(a)</w:t>
      </w:r>
      <w:r w:rsidR="000D517A">
        <w:t xml:space="preserve"> </w:t>
      </w:r>
      <w:r w:rsidR="00403EF0">
        <w:t>has the effect that a preference given to a connected p</w:t>
      </w:r>
      <w:r w:rsidR="00056912">
        <w:t>erson</w:t>
      </w:r>
      <w:r w:rsidR="00403EF0">
        <w:t xml:space="preserve"> within</w:t>
      </w:r>
      <w:r w:rsidR="000D517A">
        <w:t xml:space="preserve"> two years of</w:t>
      </w:r>
      <w:r w:rsidR="00C43E46">
        <w:t xml:space="preserve"> (broadly)</w:t>
      </w:r>
      <w:r w:rsidR="000D517A">
        <w:t xml:space="preserve"> the commencement of an administration is given at a relevant time</w:t>
      </w:r>
      <w:r w:rsidR="000E74E4">
        <w:t xml:space="preserve">. </w:t>
      </w:r>
      <w:r w:rsidR="004404E8">
        <w:t>Section 240(2) also</w:t>
      </w:r>
      <w:r w:rsidR="00C3173A">
        <w:t xml:space="preserve"> relevantly</w:t>
      </w:r>
      <w:r w:rsidR="004404E8">
        <w:t xml:space="preserve"> provides as follows:</w:t>
      </w:r>
    </w:p>
    <w:p w14:paraId="254475D0" w14:textId="464C2357" w:rsidR="00561845" w:rsidRDefault="00D46640" w:rsidP="00561845">
      <w:pPr>
        <w:pStyle w:val="Citations"/>
      </w:pPr>
      <w:r>
        <w:t>“</w:t>
      </w:r>
      <w:r w:rsidR="00561845">
        <w:t>(2) Where a company enters into a transaction at an undervalue or gives a preference at a time mentioned in subsection (1)(a) or (b), that time is not a relevant time for the purposes of section 238 or 239 unless the company—</w:t>
      </w:r>
    </w:p>
    <w:p w14:paraId="4E6885A7" w14:textId="1AB9E634" w:rsidR="00561845" w:rsidRDefault="00561845" w:rsidP="00561845">
      <w:pPr>
        <w:pStyle w:val="Citations"/>
        <w:ind w:left="1440"/>
      </w:pPr>
      <w:r>
        <w:t>(a) is at that time unable to pay its debts within the meaning of section 123 in Chapter VI of Part IV, or</w:t>
      </w:r>
    </w:p>
    <w:p w14:paraId="34CFC5AE" w14:textId="77777777" w:rsidR="00561845" w:rsidRDefault="00561845" w:rsidP="00561845">
      <w:pPr>
        <w:pStyle w:val="Citations"/>
        <w:ind w:left="1440"/>
      </w:pPr>
      <w:r>
        <w:t>(b) becomes unable to pay its debts within the meaning of that section in consequence of the transaction or preference;</w:t>
      </w:r>
    </w:p>
    <w:p w14:paraId="035F5F37" w14:textId="3563F398" w:rsidR="004404E8" w:rsidRDefault="00C3173A" w:rsidP="00561845">
      <w:pPr>
        <w:pStyle w:val="Citations"/>
      </w:pPr>
      <w:r>
        <w:t>…</w:t>
      </w:r>
      <w:r w:rsidR="00D46640">
        <w:t>”</w:t>
      </w:r>
    </w:p>
    <w:p w14:paraId="5684E416" w14:textId="377A026C" w:rsidR="006E45D6" w:rsidRDefault="009775E6" w:rsidP="006E45D6">
      <w:pPr>
        <w:pStyle w:val="BodyText"/>
      </w:pPr>
      <w:r>
        <w:t xml:space="preserve">As </w:t>
      </w:r>
      <w:r w:rsidR="0015085A">
        <w:t>already</w:t>
      </w:r>
      <w:r>
        <w:t xml:space="preserve"> indicated, Darty previously disputed that</w:t>
      </w:r>
      <w:r w:rsidR="003944E1">
        <w:t xml:space="preserve"> the necessary connection existed</w:t>
      </w:r>
      <w:r w:rsidR="003C463C">
        <w:t xml:space="preserve">. </w:t>
      </w:r>
      <w:r w:rsidR="004F0CBA">
        <w:t xml:space="preserve">In its written opening submissions </w:t>
      </w:r>
      <w:r w:rsidR="003C463C">
        <w:t xml:space="preserve">it disputed </w:t>
      </w:r>
      <w:r w:rsidR="002132BE">
        <w:t xml:space="preserve">all other aspects of the claim, </w:t>
      </w:r>
      <w:r w:rsidR="00B61FAC">
        <w:t>namely:</w:t>
      </w:r>
    </w:p>
    <w:p w14:paraId="44899C8F" w14:textId="07ED66B4" w:rsidR="00B61FAC" w:rsidRDefault="00B61FAC" w:rsidP="00B61FAC">
      <w:pPr>
        <w:pStyle w:val="BodyText"/>
        <w:numPr>
          <w:ilvl w:val="1"/>
          <w:numId w:val="1"/>
        </w:numPr>
      </w:pPr>
      <w:r>
        <w:t>whether there was a preference in fact</w:t>
      </w:r>
      <w:r w:rsidR="00613155">
        <w:t>, and if so its extent</w:t>
      </w:r>
      <w:r>
        <w:t>;</w:t>
      </w:r>
    </w:p>
    <w:p w14:paraId="06CF1BBD" w14:textId="2AEF124C" w:rsidR="00B61FAC" w:rsidRDefault="001F2AEF" w:rsidP="00B61FAC">
      <w:pPr>
        <w:pStyle w:val="BodyText"/>
        <w:numPr>
          <w:ilvl w:val="1"/>
          <w:numId w:val="1"/>
        </w:numPr>
      </w:pPr>
      <w:r>
        <w:t>whether there was the necessary desire for the purposes of s.239(5</w:t>
      </w:r>
      <w:r w:rsidR="006E2288">
        <w:t>) (“desire</w:t>
      </w:r>
      <w:r w:rsidR="006E2288" w:rsidRPr="006E2288">
        <w:t xml:space="preserve"> </w:t>
      </w:r>
      <w:r w:rsidR="006E2288">
        <w:t>to prefer”</w:t>
      </w:r>
      <w:r>
        <w:t>)</w:t>
      </w:r>
      <w:r w:rsidR="00FC580F">
        <w:t>;</w:t>
      </w:r>
      <w:r w:rsidR="00701E04">
        <w:t xml:space="preserve"> </w:t>
      </w:r>
    </w:p>
    <w:p w14:paraId="29C6B3C2" w14:textId="77777777" w:rsidR="003933ED" w:rsidRDefault="00FC580F" w:rsidP="00B61FAC">
      <w:pPr>
        <w:pStyle w:val="BodyText"/>
        <w:numPr>
          <w:ilvl w:val="1"/>
          <w:numId w:val="1"/>
        </w:numPr>
      </w:pPr>
      <w:r>
        <w:t>whether Comet was insolvent</w:t>
      </w:r>
      <w:r w:rsidR="00B32FDD">
        <w:t xml:space="preserve"> at the time the preference was given, or in consequence of it</w:t>
      </w:r>
      <w:r w:rsidR="003933ED">
        <w:t>;</w:t>
      </w:r>
      <w:r w:rsidR="003933ED" w:rsidRPr="003933ED">
        <w:t xml:space="preserve"> </w:t>
      </w:r>
      <w:r w:rsidR="003933ED">
        <w:t>and</w:t>
      </w:r>
    </w:p>
    <w:p w14:paraId="4A67563D" w14:textId="5AC9A549" w:rsidR="00FC580F" w:rsidRDefault="003933ED" w:rsidP="00B61FAC">
      <w:pPr>
        <w:pStyle w:val="BodyText"/>
        <w:numPr>
          <w:ilvl w:val="1"/>
          <w:numId w:val="1"/>
        </w:numPr>
      </w:pPr>
      <w:r>
        <w:t>whether, even if all th</w:t>
      </w:r>
      <w:r w:rsidR="004C5943">
        <w:t>e</w:t>
      </w:r>
      <w:r>
        <w:t xml:space="preserve"> requirement</w:t>
      </w:r>
      <w:r w:rsidR="002C6BD3">
        <w:t>s</w:t>
      </w:r>
      <w:r w:rsidR="004C5943">
        <w:t xml:space="preserve"> for s.239 to apply</w:t>
      </w:r>
      <w:r>
        <w:t xml:space="preserve"> were satisfied, the court should exercise its discretion to make no order to restore the position</w:t>
      </w:r>
      <w:r w:rsidR="00701E04">
        <w:t>.</w:t>
      </w:r>
    </w:p>
    <w:p w14:paraId="71FCD400" w14:textId="546FFA85" w:rsidR="00B32FDD" w:rsidRDefault="003933ED" w:rsidP="0041420C">
      <w:pPr>
        <w:pStyle w:val="BodyText"/>
        <w:numPr>
          <w:ilvl w:val="0"/>
          <w:numId w:val="0"/>
        </w:numPr>
        <w:ind w:left="567"/>
      </w:pPr>
      <w:r>
        <w:t>It</w:t>
      </w:r>
      <w:r w:rsidR="0068759C">
        <w:t xml:space="preserve"> is</w:t>
      </w:r>
      <w:r w:rsidR="006810A3">
        <w:t xml:space="preserve"> fair to say, however, that </w:t>
      </w:r>
      <w:r>
        <w:t>Darty</w:t>
      </w:r>
      <w:r w:rsidR="006810A3">
        <w:t xml:space="preserve"> </w:t>
      </w:r>
      <w:r w:rsidR="00905878">
        <w:t>placed particular emphasis on the issue of desire to prefer</w:t>
      </w:r>
      <w:r w:rsidR="00C2787C">
        <w:t xml:space="preserve">, and continued to do so </w:t>
      </w:r>
      <w:r w:rsidR="007F228D">
        <w:t>in closing submissions</w:t>
      </w:r>
      <w:r w:rsidR="00905878">
        <w:t>.</w:t>
      </w:r>
      <w:r w:rsidR="0068759C">
        <w:t xml:space="preserve"> </w:t>
      </w:r>
    </w:p>
    <w:p w14:paraId="16335D7B" w14:textId="7E5C6509" w:rsidR="0041420C" w:rsidRDefault="00715DDD" w:rsidP="00DD1F79">
      <w:pPr>
        <w:pStyle w:val="Heading2"/>
      </w:pPr>
      <w:r>
        <w:t>Preference</w:t>
      </w:r>
      <w:r w:rsidR="00200A78">
        <w:t xml:space="preserve"> in fact</w:t>
      </w:r>
    </w:p>
    <w:p w14:paraId="71BBAE73" w14:textId="28BCE541" w:rsidR="00DD1F79" w:rsidRDefault="00177E74" w:rsidP="00DD1F79">
      <w:pPr>
        <w:pStyle w:val="BodyText"/>
      </w:pPr>
      <w:bookmarkStart w:id="29" w:name="_Ref117862800"/>
      <w:r>
        <w:t xml:space="preserve">It was not disputed </w:t>
      </w:r>
      <w:r w:rsidR="009A22F1">
        <w:t xml:space="preserve">that </w:t>
      </w:r>
      <w:r w:rsidR="00DC01C1">
        <w:t xml:space="preserve">both </w:t>
      </w:r>
      <w:r w:rsidR="009A22F1">
        <w:t xml:space="preserve">the existence </w:t>
      </w:r>
      <w:r w:rsidR="000A32B1">
        <w:t xml:space="preserve">and the extent </w:t>
      </w:r>
      <w:r w:rsidR="009A22F1">
        <w:t xml:space="preserve">of any preference should be determined </w:t>
      </w:r>
      <w:r w:rsidR="00DC01C1">
        <w:t xml:space="preserve">by reference to a hypothetical liquidation of Comet </w:t>
      </w:r>
      <w:r w:rsidR="00FF73E3">
        <w:t>on 3 February 2012</w:t>
      </w:r>
      <w:r w:rsidR="00057002">
        <w:t>,</w:t>
      </w:r>
      <w:r w:rsidR="00057002" w:rsidRPr="00057002">
        <w:t xml:space="preserve"> </w:t>
      </w:r>
      <w:r w:rsidR="000A32B1">
        <w:t xml:space="preserve">with the extent of any </w:t>
      </w:r>
      <w:r w:rsidR="00200A78">
        <w:t xml:space="preserve">preference </w:t>
      </w:r>
      <w:r w:rsidR="000A32B1">
        <w:t>being</w:t>
      </w:r>
      <w:r w:rsidR="00200A78">
        <w:t xml:space="preserve"> determined by reference to the counterfactual dividend that </w:t>
      </w:r>
      <w:r w:rsidR="00E56B59">
        <w:t>KIL would have received in such a liquidation</w:t>
      </w:r>
      <w:r w:rsidR="0084053E">
        <w:t xml:space="preserve"> on the hypothesis that the preference had not been conferred.</w:t>
      </w:r>
      <w:r w:rsidR="004E59D9">
        <w:t xml:space="preserve"> It also became common ground</w:t>
      </w:r>
      <w:r w:rsidR="00EC5C24">
        <w:t xml:space="preserve"> that</w:t>
      </w:r>
      <w:r w:rsidR="005779A5">
        <w:t xml:space="preserve"> </w:t>
      </w:r>
      <w:r w:rsidR="003E7AFB">
        <w:t xml:space="preserve">any counterfactual dividend should be calculated by reference to </w:t>
      </w:r>
      <w:r w:rsidR="007643C9">
        <w:t>a proof of £129m, rather than the post-capitalisation figure of £115.4m.</w:t>
      </w:r>
      <w:bookmarkEnd w:id="29"/>
    </w:p>
    <w:p w14:paraId="46A9238B" w14:textId="639ED533" w:rsidR="00B174D7" w:rsidRDefault="00A40690" w:rsidP="00DD1F79">
      <w:pPr>
        <w:pStyle w:val="BodyText"/>
      </w:pPr>
      <w:r>
        <w:t>As to the existence of a preference</w:t>
      </w:r>
      <w:r w:rsidR="00D37457">
        <w:t>, the Liquidator’s case</w:t>
      </w:r>
      <w:r w:rsidR="004E0C32">
        <w:t xml:space="preserve"> at trial</w:t>
      </w:r>
      <w:r w:rsidR="00D37457">
        <w:t xml:space="preserve"> was relatively simple</w:t>
      </w:r>
      <w:r w:rsidR="00BF5A04">
        <w:t>, namely that</w:t>
      </w:r>
      <w:r w:rsidR="00E01303">
        <w:t xml:space="preserve"> KIL received £115.4m</w:t>
      </w:r>
      <w:r w:rsidR="00C2757E">
        <w:t>, equating to a return of 89p</w:t>
      </w:r>
      <w:r w:rsidR="005162E1">
        <w:t>/£</w:t>
      </w:r>
      <w:r w:rsidR="00E01303">
        <w:t xml:space="preserve">, whereas </w:t>
      </w:r>
      <w:r w:rsidR="009B7DFF">
        <w:t xml:space="preserve">it would have received less in </w:t>
      </w:r>
      <w:r w:rsidR="00B174D7">
        <w:t>a</w:t>
      </w:r>
      <w:r w:rsidR="009B7DFF">
        <w:t xml:space="preserve"> hypothetical liquidation.</w:t>
      </w:r>
    </w:p>
    <w:p w14:paraId="2AF8EEAD" w14:textId="4A2B6594" w:rsidR="00A40690" w:rsidRDefault="009B7DFF" w:rsidP="00DD1F79">
      <w:pPr>
        <w:pStyle w:val="BodyText"/>
      </w:pPr>
      <w:r>
        <w:t>Dart</w:t>
      </w:r>
      <w:r w:rsidR="00F97283">
        <w:t>y</w:t>
      </w:r>
      <w:r>
        <w:t xml:space="preserve">’s case </w:t>
      </w:r>
      <w:r w:rsidR="00F97283">
        <w:t xml:space="preserve">on this point, as put </w:t>
      </w:r>
      <w:r w:rsidR="004F0CBA">
        <w:t>in written opening submissions</w:t>
      </w:r>
      <w:r w:rsidR="00F97283">
        <w:t>, was that</w:t>
      </w:r>
      <w:r w:rsidR="00F22EA2">
        <w:t xml:space="preserve"> KIL received no preferential treatment. Rather, </w:t>
      </w:r>
      <w:r w:rsidR="00045689">
        <w:t>the transaction involved a net provision of £36.18m.</w:t>
      </w:r>
      <w:r w:rsidR="00F97283">
        <w:t xml:space="preserve"> </w:t>
      </w:r>
      <w:r w:rsidR="00C2787C">
        <w:t>However, in oral opening this point was not pursued</w:t>
      </w:r>
      <w:r w:rsidR="00146B2F">
        <w:t xml:space="preserve"> by Mr Smith. </w:t>
      </w:r>
      <w:r w:rsidR="00E21717">
        <w:t>In</w:t>
      </w:r>
      <w:r w:rsidR="00146B2F">
        <w:t xml:space="preserve"> my view he was right </w:t>
      </w:r>
      <w:r w:rsidR="00D7263E">
        <w:t xml:space="preserve">not to pursue </w:t>
      </w:r>
      <w:r w:rsidR="00E21717">
        <w:t>it</w:t>
      </w:r>
      <w:r w:rsidR="00C34FBC">
        <w:t xml:space="preserve">. </w:t>
      </w:r>
      <w:r w:rsidR="00465931">
        <w:t xml:space="preserve">The </w:t>
      </w:r>
      <w:r w:rsidR="00EB594F">
        <w:t xml:space="preserve">net </w:t>
      </w:r>
      <w:r w:rsidR="00465931">
        <w:t>“dowry”</w:t>
      </w:r>
      <w:r w:rsidR="00E17191">
        <w:t xml:space="preserve"> of £36.18m</w:t>
      </w:r>
      <w:r w:rsidR="004120C5">
        <w:t xml:space="preserve"> provided by KIL</w:t>
      </w:r>
      <w:r w:rsidR="00E17191">
        <w:t xml:space="preserve"> was </w:t>
      </w:r>
      <w:r w:rsidR="00891CD3">
        <w:t>simply</w:t>
      </w:r>
      <w:r w:rsidR="008A61F3">
        <w:t xml:space="preserve"> not</w:t>
      </w:r>
      <w:r w:rsidR="00E17191">
        <w:t xml:space="preserve"> received by Comet</w:t>
      </w:r>
      <w:r w:rsidR="006A01E8">
        <w:t xml:space="preserve">, </w:t>
      </w:r>
      <w:r w:rsidR="00CF0240">
        <w:t xml:space="preserve">and </w:t>
      </w:r>
      <w:r w:rsidR="006A01E8">
        <w:t xml:space="preserve">so did nothing to </w:t>
      </w:r>
      <w:r w:rsidR="00D60757">
        <w:t xml:space="preserve">address </w:t>
      </w:r>
      <w:r w:rsidR="00194900">
        <w:t>the vice at which s.239 is aimed, namely the</w:t>
      </w:r>
      <w:r w:rsidR="00CF0240">
        <w:t xml:space="preserve"> harm to other creditors resulting from a</w:t>
      </w:r>
      <w:r w:rsidR="00194900">
        <w:t xml:space="preserve"> subversion of the </w:t>
      </w:r>
      <w:r w:rsidR="00194900" w:rsidRPr="00CF0240">
        <w:rPr>
          <w:i/>
          <w:iCs/>
        </w:rPr>
        <w:t>par</w:t>
      </w:r>
      <w:r w:rsidR="004B2401" w:rsidRPr="00CF0240">
        <w:rPr>
          <w:i/>
          <w:iCs/>
        </w:rPr>
        <w:t>i passu</w:t>
      </w:r>
      <w:r w:rsidR="004B2401">
        <w:t xml:space="preserve"> principle</w:t>
      </w:r>
      <w:r w:rsidR="000A1E5D">
        <w:t>: see</w:t>
      </w:r>
      <w:r w:rsidR="00AD680B">
        <w:t xml:space="preserve"> </w:t>
      </w:r>
      <w:r w:rsidR="00AD680B" w:rsidRPr="00AA6916">
        <w:rPr>
          <w:i/>
          <w:iCs/>
        </w:rPr>
        <w:t>Goode</w:t>
      </w:r>
      <w:r w:rsidR="00E61158" w:rsidRPr="00AA6916">
        <w:rPr>
          <w:i/>
          <w:iCs/>
        </w:rPr>
        <w:t xml:space="preserve"> </w:t>
      </w:r>
      <w:r w:rsidR="006E4FC2" w:rsidRPr="00AA6916">
        <w:rPr>
          <w:i/>
          <w:iCs/>
        </w:rPr>
        <w:t xml:space="preserve">on Principles of </w:t>
      </w:r>
      <w:r w:rsidR="00E61158" w:rsidRPr="00AA6916">
        <w:rPr>
          <w:i/>
          <w:iCs/>
        </w:rPr>
        <w:t xml:space="preserve">Corporate Insolvency Law, </w:t>
      </w:r>
      <w:r w:rsidR="00CA67FD" w:rsidRPr="00AA6916">
        <w:rPr>
          <w:i/>
          <w:iCs/>
        </w:rPr>
        <w:t>5</w:t>
      </w:r>
      <w:r w:rsidR="00CA67FD" w:rsidRPr="00AA6916">
        <w:rPr>
          <w:i/>
          <w:iCs/>
          <w:vertAlign w:val="superscript"/>
        </w:rPr>
        <w:t>th</w:t>
      </w:r>
      <w:r w:rsidR="00CA67FD" w:rsidRPr="00AA6916">
        <w:rPr>
          <w:i/>
          <w:iCs/>
        </w:rPr>
        <w:t xml:space="preserve"> ed. </w:t>
      </w:r>
      <w:r w:rsidR="00CA67FD">
        <w:t xml:space="preserve">at </w:t>
      </w:r>
      <w:r w:rsidR="00AA6916">
        <w:t>13-75</w:t>
      </w:r>
      <w:r w:rsidR="004D1893">
        <w:t>,</w:t>
      </w:r>
      <w:r w:rsidR="00A32F29">
        <w:t xml:space="preserve"> 13-78</w:t>
      </w:r>
      <w:r w:rsidR="00F3157C">
        <w:t xml:space="preserve"> and</w:t>
      </w:r>
      <w:r w:rsidR="004D1893" w:rsidRPr="004D1893">
        <w:t xml:space="preserve"> </w:t>
      </w:r>
      <w:r w:rsidR="004D1893">
        <w:t>13-85</w:t>
      </w:r>
      <w:r w:rsidR="008A61F3">
        <w:t>.</w:t>
      </w:r>
    </w:p>
    <w:p w14:paraId="5D57A4F5" w14:textId="77777777" w:rsidR="008D3AAE" w:rsidRDefault="00E52596" w:rsidP="00DD1F79">
      <w:pPr>
        <w:pStyle w:val="BodyText"/>
      </w:pPr>
      <w:r>
        <w:t>In oral submissions, Darty confined its case</w:t>
      </w:r>
      <w:r w:rsidR="003A1692">
        <w:t xml:space="preserve"> on </w:t>
      </w:r>
      <w:r w:rsidR="006E2288">
        <w:t>factual preference</w:t>
      </w:r>
      <w:r>
        <w:t xml:space="preserve"> to</w:t>
      </w:r>
      <w:r w:rsidR="008D3AAE">
        <w:t>:</w:t>
      </w:r>
    </w:p>
    <w:p w14:paraId="58DECE0A" w14:textId="77777777" w:rsidR="00BD3230" w:rsidRDefault="00DC4116" w:rsidP="008D3AAE">
      <w:pPr>
        <w:pStyle w:val="BodyText"/>
        <w:numPr>
          <w:ilvl w:val="1"/>
          <w:numId w:val="1"/>
        </w:numPr>
      </w:pPr>
      <w:r>
        <w:t>a submission</w:t>
      </w:r>
      <w:r w:rsidR="00FA3752">
        <w:t xml:space="preserve"> </w:t>
      </w:r>
      <w:r>
        <w:t>that, in determining the extent of the preference, the Tranche B element, repre</w:t>
      </w:r>
      <w:r w:rsidR="0044752B">
        <w:t>senting the Triptych Amount, should be ignored</w:t>
      </w:r>
      <w:r w:rsidR="006E2288">
        <w:t xml:space="preserve"> essentially</w:t>
      </w:r>
      <w:r w:rsidR="00EC6619">
        <w:t xml:space="preserve"> because</w:t>
      </w:r>
      <w:r w:rsidR="0074793C">
        <w:t xml:space="preserve"> it involved </w:t>
      </w:r>
      <w:r w:rsidR="00F449CD">
        <w:t xml:space="preserve">Triptych giving up value, </w:t>
      </w:r>
      <w:r w:rsidR="0043790C">
        <w:t>rather than any transfer of value from Comet to KIL</w:t>
      </w:r>
      <w:r w:rsidR="00BD3230">
        <w:t>; and</w:t>
      </w:r>
    </w:p>
    <w:p w14:paraId="1A476180" w14:textId="1DD0A24C" w:rsidR="005E6481" w:rsidRDefault="00BD3230" w:rsidP="008D3AAE">
      <w:pPr>
        <w:pStyle w:val="BodyText"/>
        <w:numPr>
          <w:ilvl w:val="1"/>
          <w:numId w:val="1"/>
        </w:numPr>
      </w:pPr>
      <w:r>
        <w:t>reliance</w:t>
      </w:r>
      <w:r w:rsidR="003A1692">
        <w:t xml:space="preserve"> on </w:t>
      </w:r>
      <w:r w:rsidR="00271D14">
        <w:t xml:space="preserve">Mr Lewis’s evidence about the calculation of the </w:t>
      </w:r>
      <w:r w:rsidR="00F57935">
        <w:t>counterfactual</w:t>
      </w:r>
      <w:r w:rsidR="00271D14">
        <w:t xml:space="preserve"> dividend</w:t>
      </w:r>
      <w:r w:rsidR="00F57935">
        <w:t>.</w:t>
      </w:r>
    </w:p>
    <w:p w14:paraId="47F11C35" w14:textId="4F9FC5FE" w:rsidR="00BE7085" w:rsidRDefault="00BE7085" w:rsidP="00BE7085">
      <w:pPr>
        <w:pStyle w:val="Heading2"/>
      </w:pPr>
      <w:r>
        <w:t>Desire to prefer</w:t>
      </w:r>
    </w:p>
    <w:p w14:paraId="4CB29286" w14:textId="51224EDF" w:rsidR="005E302B" w:rsidRDefault="006E2288" w:rsidP="00BE7085">
      <w:pPr>
        <w:pStyle w:val="BodyText"/>
      </w:pPr>
      <w:r>
        <w:t xml:space="preserve">The key authority on the concept of desire to prefer remains </w:t>
      </w:r>
      <w:r w:rsidRPr="006E2288">
        <w:t xml:space="preserve">Millett J’s seminal judgment in </w:t>
      </w:r>
      <w:r w:rsidRPr="005E302B">
        <w:rPr>
          <w:i/>
          <w:iCs/>
        </w:rPr>
        <w:t>Re MC Bacon Ltd (No. 1)</w:t>
      </w:r>
      <w:r w:rsidRPr="006E2288">
        <w:t xml:space="preserve"> [1990] BCC 78</w:t>
      </w:r>
      <w:r w:rsidR="001E0B4A">
        <w:t xml:space="preserve"> (“</w:t>
      </w:r>
      <w:r w:rsidR="001E0B4A" w:rsidRPr="005E302B">
        <w:rPr>
          <w:i/>
          <w:iCs/>
        </w:rPr>
        <w:t>Re MC Bacon</w:t>
      </w:r>
      <w:r w:rsidR="001E0B4A">
        <w:t>”)</w:t>
      </w:r>
      <w:r w:rsidR="005E302B">
        <w:t>, the first reported case on s.239 after the reforms resulting from</w:t>
      </w:r>
      <w:r w:rsidR="00D444D2">
        <w:t xml:space="preserve"> the </w:t>
      </w:r>
      <w:r w:rsidR="00BE27E2">
        <w:t>Cork</w:t>
      </w:r>
      <w:r w:rsidR="00D444D2" w:rsidRPr="00D444D2">
        <w:t xml:space="preserve"> Review Committee</w:t>
      </w:r>
      <w:r w:rsidR="00A9414C">
        <w:t xml:space="preserve"> Report</w:t>
      </w:r>
      <w:r w:rsidR="00D444D2" w:rsidRPr="00D444D2">
        <w:t xml:space="preserve"> </w:t>
      </w:r>
      <w:r w:rsidR="005704E9">
        <w:t>on Insolvency Law and Practice</w:t>
      </w:r>
      <w:r w:rsidR="0020017C">
        <w:t xml:space="preserve"> 1982</w:t>
      </w:r>
      <w:r w:rsidR="005704E9">
        <w:t xml:space="preserve"> </w:t>
      </w:r>
      <w:r w:rsidR="00BE27E2">
        <w:t>(</w:t>
      </w:r>
      <w:r w:rsidR="0020017C">
        <w:t>Cmnd 8558</w:t>
      </w:r>
      <w:r w:rsidR="00BE27E2">
        <w:t xml:space="preserve">) </w:t>
      </w:r>
      <w:r w:rsidR="00D444D2">
        <w:t>(</w:t>
      </w:r>
      <w:r w:rsidR="005E302B">
        <w:t xml:space="preserve">the </w:t>
      </w:r>
      <w:r w:rsidR="00D444D2">
        <w:t>“</w:t>
      </w:r>
      <w:r w:rsidR="005E302B" w:rsidRPr="00C70D1C">
        <w:t>Cork Report</w:t>
      </w:r>
      <w:r w:rsidR="00D444D2">
        <w:t>”), of which Millett J was a member</w:t>
      </w:r>
      <w:r w:rsidR="005E302B">
        <w:t xml:space="preserve">. </w:t>
      </w:r>
      <w:r w:rsidR="0061300D">
        <w:t xml:space="preserve">The case concerned an application to set aside a debenture. </w:t>
      </w:r>
      <w:r w:rsidR="005E302B">
        <w:t>Millett J explained</w:t>
      </w:r>
      <w:r w:rsidR="00A839E1">
        <w:t xml:space="preserve"> at </w:t>
      </w:r>
      <w:r w:rsidR="00010788">
        <w:t>p</w:t>
      </w:r>
      <w:r w:rsidR="00A839E1">
        <w:t xml:space="preserve">p.87-88 </w:t>
      </w:r>
      <w:r w:rsidR="0061300D">
        <w:t>t</w:t>
      </w:r>
      <w:r w:rsidR="005E302B">
        <w:t xml:space="preserve">hat the predecessor </w:t>
      </w:r>
      <w:r w:rsidR="0061300D">
        <w:t>provision</w:t>
      </w:r>
      <w:r w:rsidR="005E302B">
        <w:t xml:space="preserve"> had been completely recast</w:t>
      </w:r>
      <w:r w:rsidR="00A839E1">
        <w:t xml:space="preserve">, such that cases decided under the old law (which referred to a “dominant intention to prefer”) could not assist. He </w:t>
      </w:r>
      <w:r w:rsidR="00D444D2">
        <w:t>said</w:t>
      </w:r>
      <w:r w:rsidR="00A839E1">
        <w:t xml:space="preserve"> that s.239:</w:t>
      </w:r>
    </w:p>
    <w:p w14:paraId="5992EEA8" w14:textId="3AB02A6E" w:rsidR="00A839E1" w:rsidRDefault="00A839E1" w:rsidP="00A839E1">
      <w:pPr>
        <w:pStyle w:val="Citations"/>
      </w:pPr>
      <w:r>
        <w:t>“… is a completely different test.</w:t>
      </w:r>
      <w:r w:rsidRPr="00A839E1">
        <w:t xml:space="preserve"> It involves at least two radical departures from the old law. It is no longer necessary to establish a </w:t>
      </w:r>
      <w:r w:rsidRPr="00A839E1">
        <w:rPr>
          <w:i/>
          <w:iCs/>
        </w:rPr>
        <w:t>dominant</w:t>
      </w:r>
      <w:r w:rsidRPr="00A839E1">
        <w:t xml:space="preserve"> intention to prefer. It is sufficient that the decision was </w:t>
      </w:r>
      <w:r w:rsidRPr="00A839E1">
        <w:rPr>
          <w:i/>
          <w:iCs/>
        </w:rPr>
        <w:t xml:space="preserve">influenced </w:t>
      </w:r>
      <w:r w:rsidRPr="00A839E1">
        <w:t xml:space="preserve">by the requisite desire. That is the first change. The second is that it is no longer sufficient to establish an </w:t>
      </w:r>
      <w:r w:rsidRPr="00A839E1">
        <w:rPr>
          <w:i/>
          <w:iCs/>
        </w:rPr>
        <w:t>intention</w:t>
      </w:r>
      <w:r w:rsidRPr="00A839E1">
        <w:t xml:space="preserve"> to prefer. There must be a </w:t>
      </w:r>
      <w:r w:rsidRPr="00A839E1">
        <w:rPr>
          <w:i/>
          <w:iCs/>
        </w:rPr>
        <w:t>desire</w:t>
      </w:r>
      <w:r w:rsidRPr="00A839E1">
        <w:t xml:space="preserve"> to produce the effect mentioned in the subsection.</w:t>
      </w:r>
    </w:p>
    <w:p w14:paraId="3ED51413" w14:textId="77777777" w:rsidR="00A839E1" w:rsidRDefault="00A839E1" w:rsidP="00A839E1">
      <w:pPr>
        <w:pStyle w:val="Citations"/>
      </w:pPr>
      <w:r>
        <w:t xml:space="preserve">This second change is made necessary by the first, for without it it would be virtually impossible to uphold the validity of a security taken in exchange for the injection of fresh funds into a company in financial difficulties. A man is taken to intend the necessary consequences of his actions, so that an intention to grant a security to a creditor necessarily involves an intention to prefer that creditor in the event of insolvency. The need to establish that such intention was dominant was essential under the old law to prevent perfectly proper transactions from being struck down. With the abolition of that requirement intention could not remain the relevant test. Desire has been substituted. That is a very different matter. Intention is objective, desire is subjective. A man can choose the lesser of two evils without desiring either. </w:t>
      </w:r>
    </w:p>
    <w:p w14:paraId="0B407DEC" w14:textId="561D4C49" w:rsidR="00A839E1" w:rsidRDefault="00A839E1" w:rsidP="00A839E1">
      <w:pPr>
        <w:pStyle w:val="Citations"/>
      </w:pPr>
      <w:r>
        <w:t>It is not, however, sufficient to establish a desire to make the payment or grant the security which it is sought to avoid. There must have been a desire to produce the effect mentioned in the subsection, that is to say, to improve the creditor</w:t>
      </w:r>
      <w:r w:rsidR="00B96BA4">
        <w:t>’</w:t>
      </w:r>
      <w:r>
        <w:t xml:space="preserve">s position in the event of an insolvent liquidation. A man is not to be taken as </w:t>
      </w:r>
      <w:r w:rsidRPr="00A839E1">
        <w:rPr>
          <w:rStyle w:val="coitalic"/>
          <w:i/>
          <w:iCs/>
        </w:rPr>
        <w:t>desiring</w:t>
      </w:r>
      <w:r>
        <w:t xml:space="preserve"> all the necessary consequences of his actions. Some consequences may be of advantage to him and be desired by him; others may not affect him and be matters of indifference to him; while still others may be positively disadvantageous to him and not be desired by him, but be regarded by him as the unavoidable price of obtaining the desired advantages. It will still be possible to provide assistance to a company in financial difficulties provided that the company is actuated only by proper commercial considerations. Under the new regime a transaction will not be set aside as a voidable preference unless the company positively wished to improve the creditor</w:t>
      </w:r>
      <w:r w:rsidR="00B96BA4">
        <w:t>’</w:t>
      </w:r>
      <w:r>
        <w:t xml:space="preserve">s position in the event of its own insolvent liquidation. </w:t>
      </w:r>
    </w:p>
    <w:p w14:paraId="1DDE4ACF" w14:textId="77777777" w:rsidR="0061300D" w:rsidRDefault="00A839E1" w:rsidP="00A839E1">
      <w:pPr>
        <w:pStyle w:val="Citations"/>
      </w:pPr>
      <w:r>
        <w:t xml:space="preserve">There is, of course, no need for there to be direct evidence of the requisite desire. Its existence may be inferred from the circumstances of the case just as the dominant intention could be inferred under the old law. But the mere presence of the requisite desire will not be sufficient by itself. It must have influenced the decision to enter into the transaction. It was submitted on behalf of the bank that it must have been the factor which “tipped the scales”. I disagree. That is not what </w:t>
      </w:r>
      <w:r w:rsidRPr="00A839E1">
        <w:t>s</w:t>
      </w:r>
      <w:r>
        <w:t xml:space="preserve">ubsec. (5) says; it requires only that the desire should have influenced the decision. That requirement is satisfied if it was one of the </w:t>
      </w:r>
      <w:r w:rsidRPr="002154FF">
        <w:t>factors which operated on the minds of those who made the decision</w:t>
      </w:r>
      <w:r>
        <w:t>. It need not have been the only factor or even the decisive one. In my judgment, it is not necessary to prove that, if the requisite desire had not been present, the company would not have entered into the transaction. That would be too high a test.</w:t>
      </w:r>
    </w:p>
    <w:p w14:paraId="4CBFB7C9" w14:textId="338D1A96" w:rsidR="00A839E1" w:rsidRDefault="0061300D" w:rsidP="00A839E1">
      <w:pPr>
        <w:pStyle w:val="Citations"/>
      </w:pPr>
      <w:r>
        <w:t>It was also submitted that the relevant time was the time when the debenture was created. That cannot be right.</w:t>
      </w:r>
      <w:r w:rsidRPr="0061300D">
        <w:t xml:space="preserve"> The relevant time was the time when the decision to grant </w:t>
      </w:r>
      <w:r>
        <w:t>it</w:t>
      </w:r>
      <w:r w:rsidRPr="0061300D">
        <w:t xml:space="preserve"> was made.</w:t>
      </w:r>
      <w:r w:rsidR="00A839E1">
        <w:t>”</w:t>
      </w:r>
    </w:p>
    <w:p w14:paraId="3F7B77E4" w14:textId="79E476E8" w:rsidR="00BE7085" w:rsidRDefault="005E302B" w:rsidP="00BE7085">
      <w:pPr>
        <w:pStyle w:val="BodyText"/>
      </w:pPr>
      <w:r>
        <w:t>In summary:</w:t>
      </w:r>
    </w:p>
    <w:p w14:paraId="3986832C" w14:textId="41141128" w:rsidR="005E302B" w:rsidRDefault="005E302B" w:rsidP="005E302B">
      <w:pPr>
        <w:pStyle w:val="BodyText"/>
        <w:numPr>
          <w:ilvl w:val="1"/>
          <w:numId w:val="1"/>
        </w:numPr>
      </w:pPr>
      <w:r>
        <w:t>“Desire” incorporates a subjective test, distinct from intention. A person may be taken to intend all the necessary consequences of his actions, but he is not to be taken as desiring them.</w:t>
      </w:r>
    </w:p>
    <w:p w14:paraId="39E2FA0F" w14:textId="4F7CBD0F" w:rsidR="005E302B" w:rsidRDefault="00B96BA4" w:rsidP="005E302B">
      <w:pPr>
        <w:pStyle w:val="BodyText"/>
        <w:numPr>
          <w:ilvl w:val="1"/>
          <w:numId w:val="1"/>
        </w:numPr>
      </w:pPr>
      <w:r>
        <w:t xml:space="preserve">The </w:t>
      </w:r>
      <w:r w:rsidR="005E302B">
        <w:t xml:space="preserve">desire </w:t>
      </w:r>
      <w:r>
        <w:t>in question is a desire to produce the effect referred to in s.239 (4)(b), namely to improve the creditor’s position in the event of an insolvent liquidation. It is not enough for there to be a desire to do the act that creates the preference.</w:t>
      </w:r>
    </w:p>
    <w:p w14:paraId="7BD7CF33" w14:textId="201B5407" w:rsidR="00B96BA4" w:rsidRDefault="00B96BA4" w:rsidP="005E302B">
      <w:pPr>
        <w:pStyle w:val="BodyText"/>
        <w:numPr>
          <w:ilvl w:val="1"/>
          <w:numId w:val="1"/>
        </w:numPr>
      </w:pPr>
      <w:r>
        <w:t>Rather, the company must have “positively wished to improve” the creditor’s position in the event of its insolvent liquidation.</w:t>
      </w:r>
    </w:p>
    <w:p w14:paraId="53735D92" w14:textId="6D4E7C5A" w:rsidR="00B96BA4" w:rsidRDefault="00B96BA4" w:rsidP="005E302B">
      <w:pPr>
        <w:pStyle w:val="BodyText"/>
        <w:numPr>
          <w:ilvl w:val="1"/>
          <w:numId w:val="1"/>
        </w:numPr>
      </w:pPr>
      <w:r>
        <w:t>Mere presence of that desire is not enough unless it influenced the decision to enter into the transaction,</w:t>
      </w:r>
      <w:r w:rsidR="0061300D">
        <w:t xml:space="preserve"> in the sense of being one of the factors which operated on the minds of those who made the decision.</w:t>
      </w:r>
      <w:r w:rsidR="00D444D2">
        <w:t xml:space="preserve"> However, it need not be a decisive factor.</w:t>
      </w:r>
    </w:p>
    <w:p w14:paraId="3F1DD6AD" w14:textId="0659E260" w:rsidR="0061300D" w:rsidRDefault="0061300D" w:rsidP="005E302B">
      <w:pPr>
        <w:pStyle w:val="BodyText"/>
        <w:numPr>
          <w:ilvl w:val="1"/>
          <w:numId w:val="1"/>
        </w:numPr>
      </w:pPr>
      <w:r>
        <w:t>The test must be applied at the time when the decision to grant the preference was made.</w:t>
      </w:r>
    </w:p>
    <w:p w14:paraId="3570B3AF" w14:textId="37A1ACAC" w:rsidR="00D42A2E" w:rsidRDefault="00D42A2E" w:rsidP="00D42A2E">
      <w:pPr>
        <w:pStyle w:val="Heading3"/>
      </w:pPr>
      <w:r>
        <w:t>Inferring desire</w:t>
      </w:r>
    </w:p>
    <w:p w14:paraId="414E2051" w14:textId="6E9E0C7A" w:rsidR="0061300D" w:rsidRDefault="00D444D2" w:rsidP="0061300D">
      <w:pPr>
        <w:pStyle w:val="BodyText"/>
      </w:pPr>
      <w:r>
        <w:t>Millett J also referred to the potential for desire to be inferred. The Liquidator relied on a discussion of that concept by Leggat</w:t>
      </w:r>
      <w:r w:rsidR="00570F31">
        <w:t>t</w:t>
      </w:r>
      <w:r>
        <w:t xml:space="preserve"> LJ in </w:t>
      </w:r>
      <w:r w:rsidR="00250248" w:rsidRPr="00250248">
        <w:rPr>
          <w:i/>
          <w:iCs/>
        </w:rPr>
        <w:t>JSC BTA Bank v Ablyazov</w:t>
      </w:r>
      <w:r w:rsidR="00250248" w:rsidRPr="00250248">
        <w:t xml:space="preserve"> [2019] B</w:t>
      </w:r>
      <w:r w:rsidR="00250248">
        <w:t xml:space="preserve">CC </w:t>
      </w:r>
      <w:r w:rsidR="00250248" w:rsidRPr="00250248">
        <w:t xml:space="preserve">96 </w:t>
      </w:r>
      <w:r w:rsidR="00250248">
        <w:t>(CA)</w:t>
      </w:r>
      <w:r w:rsidR="001E0B4A">
        <w:t xml:space="preserve"> (“</w:t>
      </w:r>
      <w:r w:rsidR="001E0B4A" w:rsidRPr="00250248">
        <w:rPr>
          <w:i/>
          <w:iCs/>
        </w:rPr>
        <w:t>Ablyazov</w:t>
      </w:r>
      <w:r w:rsidR="001E0B4A">
        <w:t>”)</w:t>
      </w:r>
      <w:r w:rsidR="00250248">
        <w:t>, a case that concerned an alleged transaction at an undervalue within s.423 IA 1986, in the form of a transfer by Mr Ablyazov of £1m to his student son which Mr Ablyazov claimed was done to enable the son to obtain a Tier 1 visa, even though Mr Ablyazov knew that he was facing very substantial claims for theft. Section 423 refers to purpose rather than desire, but Mr Gledhill relied on the comment</w:t>
      </w:r>
      <w:r w:rsidR="001E0B4A">
        <w:t>s</w:t>
      </w:r>
      <w:r w:rsidR="00250248">
        <w:t xml:space="preserve"> of Sir Anthony Mann in </w:t>
      </w:r>
      <w:r w:rsidR="001E0B4A" w:rsidRPr="001E0B4A">
        <w:rPr>
          <w:i/>
          <w:iCs/>
        </w:rPr>
        <w:t xml:space="preserve">Deposit Guarantee Fund v Bank Frick &amp; Co. AG </w:t>
      </w:r>
      <w:r w:rsidR="001E0B4A" w:rsidRPr="001E0B4A">
        <w:t>[2022] EWHC 2221 (Ch)</w:t>
      </w:r>
      <w:r w:rsidR="001E0B4A">
        <w:t xml:space="preserve"> at [42]-[43] where he noted that it was common ground in that case that “purpose” in s.423 connoted a subjective state of mind, referred to </w:t>
      </w:r>
      <w:r w:rsidR="001E0B4A" w:rsidRPr="005E302B">
        <w:rPr>
          <w:i/>
          <w:iCs/>
        </w:rPr>
        <w:t>Re MC Bacon</w:t>
      </w:r>
      <w:r w:rsidR="001E0B4A">
        <w:rPr>
          <w:i/>
          <w:iCs/>
        </w:rPr>
        <w:t xml:space="preserve"> </w:t>
      </w:r>
      <w:r w:rsidR="001E0B4A" w:rsidRPr="001E0B4A">
        <w:t>and said that</w:t>
      </w:r>
      <w:r w:rsidR="001E0B4A">
        <w:t xml:space="preserve"> the concept has “very similar subjective connotations” to “desire” in s.239.</w:t>
      </w:r>
    </w:p>
    <w:p w14:paraId="40949484" w14:textId="1B263D0C" w:rsidR="001E0B4A" w:rsidRDefault="001E0B4A" w:rsidP="0061300D">
      <w:pPr>
        <w:pStyle w:val="BodyText"/>
      </w:pPr>
      <w:bookmarkStart w:id="30" w:name="_Ref118707810"/>
      <w:r>
        <w:t xml:space="preserve">In </w:t>
      </w:r>
      <w:r w:rsidRPr="00250248">
        <w:rPr>
          <w:i/>
          <w:iCs/>
        </w:rPr>
        <w:t>Ablyazov</w:t>
      </w:r>
      <w:r>
        <w:t xml:space="preserve"> Leggatt LJ explained at [15] </w:t>
      </w:r>
      <w:r w:rsidR="00BB6DFC">
        <w:t xml:space="preserve">and [16] </w:t>
      </w:r>
      <w:r>
        <w:t>that:</w:t>
      </w:r>
      <w:bookmarkEnd w:id="30"/>
    </w:p>
    <w:p w14:paraId="3887F712" w14:textId="73833EFF" w:rsidR="001E0B4A" w:rsidRDefault="001E0B4A" w:rsidP="001E0B4A">
      <w:pPr>
        <w:pStyle w:val="Citations"/>
      </w:pPr>
      <w:r>
        <w:t>“</w:t>
      </w:r>
      <w:r w:rsidR="00BB6DFC">
        <w:t xml:space="preserve">15. </w:t>
      </w:r>
      <w:r>
        <w:t xml:space="preserve">… </w:t>
      </w:r>
      <w:r w:rsidRPr="001E0B4A">
        <w:t>it is not enough to bring a transaction at an undervalue within s.423 that the transaction had the consequence of putting assets of the debtor beyond the reach of creditors. That is so even if the consequence was foreseeable or was actually foreseen by the debtor at the time of entering into the transaction. Evidence that the debtor believed that the transaction would result in putting assets beyond the reach of creditors may support an inference that the transaction was entered into for the purpose of doing so, but the two things are not the same. To illustrate the distinction using a less homely example than that given by Arden LJ, a commander may order a missile strike on a military target knowing that it will almost certainly cause some civilian casualties. But this does not mean that the missile strike is being carried out for the purpose of causing such casualties.</w:t>
      </w:r>
    </w:p>
    <w:p w14:paraId="7A30FC2E" w14:textId="138FD893" w:rsidR="00103ED6" w:rsidRDefault="00103ED6" w:rsidP="001E0B4A">
      <w:pPr>
        <w:pStyle w:val="Citations"/>
      </w:pPr>
      <w:r>
        <w:t xml:space="preserve">16.  When judging a person’s intentions, we are generally more inclined to accept that an action was not done for the purpose of bringing about a particular consequence, even if the consequence was foreseen, if there is reason to believe that the consequence was something which the actor </w:t>
      </w:r>
      <w:r w:rsidRPr="00B64628">
        <w:t>wished to avoid or at least had no wish to bring about</w:t>
      </w:r>
      <w:r>
        <w:t xml:space="preserve">. Hence, in the example just given, where the missile strike had a clear strategic purpose, we may readily accept that it was not ordered for the purpose of causing civilian casualties—particularly if, for example, there is evidence that the commander gave anxious consideration to how many civilians were likely to be in the target area and planned the strike for a time when the number was expected to be low. By contrast, a consequence is more likely to be perceived as positively intended if there is reason to think that it is something which the actor desired. Thus, evidence that a person who has entered into a transaction at an undervalue foresaw that the result would be to put assets out of reach of creditors </w:t>
      </w:r>
      <w:r w:rsidRPr="00B64628">
        <w:t>and desired that result</w:t>
      </w:r>
      <w:r>
        <w:t xml:space="preserve"> might lead the court to infer that the transaction was entered into for that purpose. But such a conclusion is not a logical or legal necessity. It is a judgment which has to be based on an evaluation of all the relevant facts of the particular case.”</w:t>
      </w:r>
    </w:p>
    <w:p w14:paraId="488564D2" w14:textId="622CE6D8" w:rsidR="00D42A2E" w:rsidRDefault="00DD021E" w:rsidP="00DD021E">
      <w:pPr>
        <w:pStyle w:val="Heading3"/>
      </w:pPr>
      <w:r>
        <w:t>T</w:t>
      </w:r>
      <w:r w:rsidR="00D42A2E" w:rsidRPr="00D42A2E">
        <w:t>he presumption in s.239(6)</w:t>
      </w:r>
    </w:p>
    <w:p w14:paraId="10743B46" w14:textId="704F8DD5" w:rsidR="00103ED6" w:rsidRDefault="00EB5C68" w:rsidP="00103ED6">
      <w:pPr>
        <w:pStyle w:val="BodyText"/>
      </w:pPr>
      <w:r>
        <w:t xml:space="preserve">In this case, given that KIL and Comet were connected, it is also necessary to consider the effect of the presumption in s.239(6). Darty’s position is that </w:t>
      </w:r>
      <w:r w:rsidRPr="00EB5C68">
        <w:t xml:space="preserve">the presumption has little practical significance in </w:t>
      </w:r>
      <w:r>
        <w:t>this</w:t>
      </w:r>
      <w:r w:rsidRPr="00EB5C68">
        <w:t xml:space="preserve"> case</w:t>
      </w:r>
      <w:r>
        <w:t xml:space="preserve"> because the court has the relevant evidence</w:t>
      </w:r>
      <w:r w:rsidR="00BB6DFC">
        <w:t>,</w:t>
      </w:r>
      <w:r>
        <w:t xml:space="preserve"> so this</w:t>
      </w:r>
      <w:r w:rsidR="00876AE8">
        <w:t xml:space="preserve"> is </w:t>
      </w:r>
      <w:r>
        <w:t>not one of the rare cases that turns on the burden of proof. Rather, as Flaux LJ said in</w:t>
      </w:r>
      <w:r w:rsidRPr="00EB5C68">
        <w:t xml:space="preserve"> </w:t>
      </w:r>
      <w:r w:rsidRPr="00EB5C68">
        <w:rPr>
          <w:i/>
          <w:iCs/>
        </w:rPr>
        <w:t>E3</w:t>
      </w:r>
      <w:r>
        <w:rPr>
          <w:i/>
          <w:iCs/>
        </w:rPr>
        <w:t xml:space="preserve"> v</w:t>
      </w:r>
      <w:r w:rsidR="00BB415E">
        <w:rPr>
          <w:i/>
          <w:iCs/>
        </w:rPr>
        <w:t xml:space="preserve"> </w:t>
      </w:r>
      <w:r w:rsidRPr="00EB5C68">
        <w:rPr>
          <w:i/>
          <w:iCs/>
        </w:rPr>
        <w:t xml:space="preserve">Secretary of State for the Home Department </w:t>
      </w:r>
      <w:r w:rsidRPr="00EB5C68">
        <w:t>[2020] 1 WLR 1098 at [69</w:t>
      </w:r>
      <w:r>
        <w:t>]:</w:t>
      </w:r>
    </w:p>
    <w:p w14:paraId="6B497A89" w14:textId="514B20BA" w:rsidR="00EB5C68" w:rsidRDefault="00EB5C68" w:rsidP="00EB5C68">
      <w:pPr>
        <w:pStyle w:val="Citations"/>
      </w:pPr>
      <w:r>
        <w:t>“…</w:t>
      </w:r>
      <w:r w:rsidRPr="00EB5C68">
        <w:t>the court</w:t>
      </w:r>
      <w:r w:rsidR="00BB415E">
        <w:t>…</w:t>
      </w:r>
      <w:r w:rsidRPr="00EB5C68">
        <w:t>simply considers the evidence in the round and decides a particular issue on the balance of probabilities</w:t>
      </w:r>
      <w:r>
        <w:t>.”</w:t>
      </w:r>
    </w:p>
    <w:p w14:paraId="64B7BCF1" w14:textId="25FAE7F1" w:rsidR="00BB415E" w:rsidRDefault="00BB415E" w:rsidP="00BB415E">
      <w:pPr>
        <w:pStyle w:val="BodyText"/>
      </w:pPr>
      <w:r>
        <w:t>In essence, Darty says that the relevant decision was taken by the New Board at the meeting on 3 February 2012 and it was clear from the evidence, including evidence from members of the New Board, that there was no desire to prefer.</w:t>
      </w:r>
    </w:p>
    <w:p w14:paraId="25A0BFED" w14:textId="68827FE4" w:rsidR="00A17442" w:rsidRDefault="00C63524" w:rsidP="00911592">
      <w:pPr>
        <w:pStyle w:val="BodyText"/>
      </w:pPr>
      <w:bookmarkStart w:id="31" w:name="_Ref118270956"/>
      <w:r>
        <w:t>The Liquidator’s response to this is that Darty is missing the point. The presumption is in effect a deeming provision, and in determining how easy it is to displace it a close regard should be had to the function it is there to perform</w:t>
      </w:r>
      <w:r w:rsidR="0028321E">
        <w:t xml:space="preserve">, </w:t>
      </w:r>
      <w:r w:rsidR="00047F6B">
        <w:t>the underlying concern being that w</w:t>
      </w:r>
      <w:r w:rsidR="00062E66">
        <w:t>h</w:t>
      </w:r>
      <w:r w:rsidR="00047F6B">
        <w:t xml:space="preserve">ere certain types of relationship exist </w:t>
      </w:r>
      <w:r w:rsidR="00BB6DFC">
        <w:t xml:space="preserve">then </w:t>
      </w:r>
      <w:r w:rsidR="00047F6B">
        <w:t>transactional independence may have been compromised in ways too subtle to detect</w:t>
      </w:r>
      <w:r>
        <w:t>.</w:t>
      </w:r>
      <w:r w:rsidR="00BF70DA">
        <w:t xml:space="preserve"> The burden on Darty was a real one</w:t>
      </w:r>
      <w:r w:rsidR="00360CDA">
        <w:t xml:space="preserve">, and it needed to show that </w:t>
      </w:r>
      <w:r w:rsidR="0090289D">
        <w:t>the decision was not tainted by</w:t>
      </w:r>
      <w:r w:rsidR="00FD1589">
        <w:t xml:space="preserve"> a</w:t>
      </w:r>
      <w:r w:rsidR="0090289D">
        <w:t xml:space="preserve"> desire to prefer in any relevant way</w:t>
      </w:r>
      <w:r w:rsidR="00AA1064">
        <w:t xml:space="preserve">: see for example </w:t>
      </w:r>
      <w:r w:rsidR="00AA1064" w:rsidRPr="0072648C">
        <w:rPr>
          <w:i/>
          <w:iCs/>
        </w:rPr>
        <w:t>Re Oxford Pharmaceuticals</w:t>
      </w:r>
      <w:r w:rsidR="008E61F5" w:rsidRPr="0072648C">
        <w:rPr>
          <w:i/>
          <w:iCs/>
        </w:rPr>
        <w:t xml:space="preserve"> Ltd</w:t>
      </w:r>
      <w:r w:rsidR="008E61F5">
        <w:t xml:space="preserve"> [2010] BCC </w:t>
      </w:r>
      <w:r w:rsidR="009430C6">
        <w:t>834</w:t>
      </w:r>
      <w:r w:rsidR="008E61F5">
        <w:t xml:space="preserve"> at [76]</w:t>
      </w:r>
      <w:r w:rsidR="009430C6">
        <w:t xml:space="preserve">, which refers </w:t>
      </w:r>
      <w:r w:rsidR="00C073AB">
        <w:t>t</w:t>
      </w:r>
      <w:r w:rsidR="00314121">
        <w:t>o “acting</w:t>
      </w:r>
      <w:r w:rsidR="00EF66A0">
        <w:t xml:space="preserve"> solely </w:t>
      </w:r>
      <w:r w:rsidR="00314121">
        <w:t>by reference to</w:t>
      </w:r>
      <w:r w:rsidR="00EF66A0">
        <w:t xml:space="preserve"> proper commercial considerations”</w:t>
      </w:r>
      <w:r w:rsidR="008E61F5">
        <w:t>.</w:t>
      </w:r>
      <w:bookmarkEnd w:id="31"/>
    </w:p>
    <w:p w14:paraId="3F34F466" w14:textId="58F81A13" w:rsidR="009D74F5" w:rsidRDefault="00DE7B5A" w:rsidP="002436E7">
      <w:pPr>
        <w:pStyle w:val="BodyText"/>
      </w:pPr>
      <w:r>
        <w:t xml:space="preserve">Mr Smith </w:t>
      </w:r>
      <w:r w:rsidR="00795734">
        <w:t>pointed out that statements of this kind must be treated with some caution, because the statutory test</w:t>
      </w:r>
      <w:r w:rsidR="00220A59">
        <w:t xml:space="preserve"> is the presence and influence of an “improper” desire, rather than the absence of a “proper” one: </w:t>
      </w:r>
      <w:r w:rsidR="00872D56" w:rsidRPr="00872D56">
        <w:rPr>
          <w:i/>
          <w:iCs/>
        </w:rPr>
        <w:t xml:space="preserve">Abdulali v Finnegan </w:t>
      </w:r>
      <w:r w:rsidR="00872D56" w:rsidRPr="00872D56">
        <w:t>[2018] BPIR 1547 at [39],</w:t>
      </w:r>
      <w:r w:rsidR="009A77B4">
        <w:t xml:space="preserve"> per Birss J.</w:t>
      </w:r>
    </w:p>
    <w:p w14:paraId="585714C0" w14:textId="34480DE6" w:rsidR="00DD021E" w:rsidRDefault="00DD021E" w:rsidP="00DD021E">
      <w:pPr>
        <w:pStyle w:val="Heading3"/>
      </w:pPr>
      <w:r>
        <w:t xml:space="preserve">Contemplation of insolvent liquidation </w:t>
      </w:r>
    </w:p>
    <w:p w14:paraId="0B8D6051" w14:textId="084407DB" w:rsidR="00BB415E" w:rsidRDefault="00BB415E" w:rsidP="00BB415E">
      <w:pPr>
        <w:pStyle w:val="BodyText"/>
      </w:pPr>
      <w:r>
        <w:t>A further point relied on by Darty was the requirement that the requisite desire must be one to improve the creditor’s position in the event of an insolvent liquidation. It wa</w:t>
      </w:r>
      <w:r w:rsidR="00446C5B">
        <w:t xml:space="preserve">s not disputed </w:t>
      </w:r>
      <w:r w:rsidR="00022714">
        <w:t xml:space="preserve">that, on the facts of this case, this meant that the person </w:t>
      </w:r>
      <w:r w:rsidR="00666DBE">
        <w:t>with the desire in question</w:t>
      </w:r>
      <w:r w:rsidR="00666DBE" w:rsidRPr="00666DBE">
        <w:t xml:space="preserve"> </w:t>
      </w:r>
      <w:r w:rsidR="00666DBE">
        <w:t xml:space="preserve">must have been aware of </w:t>
      </w:r>
      <w:r w:rsidR="002E342A">
        <w:t xml:space="preserve">at least </w:t>
      </w:r>
      <w:r w:rsidR="00666DBE">
        <w:t>the possibility of an insolvent liquidation</w:t>
      </w:r>
      <w:r>
        <w:t xml:space="preserve">. </w:t>
      </w:r>
      <w:r w:rsidR="00D42A2E">
        <w:t>However, this is not inconsistent with a belief that the company</w:t>
      </w:r>
      <w:r w:rsidR="00BB6DFC">
        <w:t xml:space="preserve"> in question</w:t>
      </w:r>
      <w:r w:rsidR="00D42A2E">
        <w:t xml:space="preserve"> is currently solvent: </w:t>
      </w:r>
      <w:r w:rsidR="00D42A2E" w:rsidRPr="00D42A2E">
        <w:rPr>
          <w:i/>
          <w:iCs/>
        </w:rPr>
        <w:t>Re Exchange Travel Ltd</w:t>
      </w:r>
      <w:r w:rsidR="00D42A2E" w:rsidRPr="00D42A2E">
        <w:t xml:space="preserve"> [1996] BCC 933 at 947</w:t>
      </w:r>
      <w:r w:rsidR="005225EC">
        <w:t>D</w:t>
      </w:r>
      <w:r w:rsidR="00D42A2E">
        <w:t xml:space="preserve">, per </w:t>
      </w:r>
      <w:r w:rsidR="00D42A2E" w:rsidRPr="00D42A2E">
        <w:t>Rattee J</w:t>
      </w:r>
      <w:r w:rsidR="00D42A2E">
        <w:t>.</w:t>
      </w:r>
    </w:p>
    <w:p w14:paraId="74BD95F9" w14:textId="42E49C3A" w:rsidR="00DD021E" w:rsidRDefault="00DD021E" w:rsidP="00DD021E">
      <w:pPr>
        <w:pStyle w:val="Heading3"/>
      </w:pPr>
      <w:r>
        <w:t>Whose desire?</w:t>
      </w:r>
    </w:p>
    <w:p w14:paraId="3AEE4DDA" w14:textId="7D60C4F1" w:rsidR="006F1616" w:rsidRDefault="00D42A2E" w:rsidP="00BB415E">
      <w:pPr>
        <w:pStyle w:val="BodyText"/>
      </w:pPr>
      <w:r>
        <w:t>A particular area of dispute related to the person or persons whose desire is relevant.</w:t>
      </w:r>
      <w:r w:rsidR="00DD021E">
        <w:t xml:space="preserve"> Darty’s case was simple: the desire must be that of the company’s decision makers, who were usually – and were in this case – its directors, namely the New Board. This followed from the fact that statute requires that </w:t>
      </w:r>
      <w:r w:rsidR="00DD021E" w:rsidRPr="00DD021E">
        <w:rPr>
          <w:u w:val="single"/>
        </w:rPr>
        <w:t xml:space="preserve">the company </w:t>
      </w:r>
      <w:r w:rsidR="00DD021E">
        <w:t xml:space="preserve">must have been influenced by the relevant desire </w:t>
      </w:r>
      <w:r w:rsidR="00DD021E" w:rsidRPr="00DD021E">
        <w:rPr>
          <w:u w:val="single"/>
        </w:rPr>
        <w:t>in deciding to give</w:t>
      </w:r>
      <w:r w:rsidR="00DD021E">
        <w:t xml:space="preserve"> the preference. It was also reflected in the authorities</w:t>
      </w:r>
      <w:r w:rsidR="006F1616">
        <w:t xml:space="preserve"> (as well as leading textbooks)</w:t>
      </w:r>
      <w:r w:rsidR="00DD021E">
        <w:t>, including Millett J’s reference to</w:t>
      </w:r>
      <w:r w:rsidR="00DD021E" w:rsidRPr="00DD021E">
        <w:t xml:space="preserve"> </w:t>
      </w:r>
      <w:r w:rsidR="00DD021E">
        <w:t xml:space="preserve">the </w:t>
      </w:r>
      <w:r w:rsidR="00DD021E" w:rsidRPr="00DD021E">
        <w:t>company</w:t>
      </w:r>
      <w:r w:rsidR="00DD021E">
        <w:t xml:space="preserve"> having</w:t>
      </w:r>
      <w:r w:rsidR="00DD021E" w:rsidRPr="00DD021E">
        <w:t xml:space="preserve"> </w:t>
      </w:r>
      <w:r w:rsidR="00DD021E">
        <w:t>“</w:t>
      </w:r>
      <w:r w:rsidR="00DD021E" w:rsidRPr="00DD021E">
        <w:t>positively wished</w:t>
      </w:r>
      <w:r w:rsidR="0015660E">
        <w:t>”</w:t>
      </w:r>
      <w:r w:rsidR="00DD021E" w:rsidRPr="00DD021E">
        <w:t xml:space="preserve"> to </w:t>
      </w:r>
      <w:r w:rsidR="0015660E">
        <w:t>confer the preference</w:t>
      </w:r>
      <w:r w:rsidR="006F1616">
        <w:t xml:space="preserve">, and the statement by David Richards J in </w:t>
      </w:r>
      <w:r w:rsidR="006F1616" w:rsidRPr="006F1616">
        <w:rPr>
          <w:i/>
          <w:iCs/>
        </w:rPr>
        <w:t xml:space="preserve">Re Stealth Construction </w:t>
      </w:r>
      <w:r w:rsidR="006F1616" w:rsidRPr="006F1616">
        <w:t xml:space="preserve">[2012] 1 BCLC 297 at [67] that: </w:t>
      </w:r>
    </w:p>
    <w:p w14:paraId="25502F5D" w14:textId="337C00BE" w:rsidR="00D42A2E" w:rsidRDefault="006F1616" w:rsidP="006F1616">
      <w:pPr>
        <w:pStyle w:val="Citations"/>
      </w:pPr>
      <w:r w:rsidRPr="006F1616">
        <w:t>“</w:t>
      </w:r>
      <w:r>
        <w:t>S</w:t>
      </w:r>
      <w:r w:rsidRPr="006F1616">
        <w:t>ection 239 focusses not on the conduct or the state of mind of the creditor concerned, but on that of the directors or others acting for the company</w:t>
      </w:r>
      <w:r>
        <w:t>.</w:t>
      </w:r>
      <w:r w:rsidRPr="006F1616">
        <w:t>”</w:t>
      </w:r>
    </w:p>
    <w:p w14:paraId="14BE6465" w14:textId="47F563C3" w:rsidR="00BB6DFC" w:rsidRDefault="0015660E" w:rsidP="00BB415E">
      <w:pPr>
        <w:pStyle w:val="BodyText"/>
      </w:pPr>
      <w:r>
        <w:t>It is fair to say that the Liquidator’s case on this point altered somewhat. As originally pleaded in the reply the Liquidator relied on</w:t>
      </w:r>
      <w:r w:rsidR="00BB6DFC">
        <w:t xml:space="preserve"> </w:t>
      </w:r>
      <w:r>
        <w:t>the statutory presumption</w:t>
      </w:r>
      <w:r w:rsidR="00BB6DFC">
        <w:t>,</w:t>
      </w:r>
      <w:r>
        <w:t xml:space="preserve"> and </w:t>
      </w:r>
      <w:r w:rsidR="00BB6DFC">
        <w:t xml:space="preserve">in addition </w:t>
      </w:r>
      <w:r>
        <w:t>on</w:t>
      </w:r>
      <w:r w:rsidR="00BB6DFC">
        <w:t>:</w:t>
      </w:r>
    </w:p>
    <w:p w14:paraId="24105124" w14:textId="03981AFC" w:rsidR="00BB6DFC" w:rsidRDefault="00BB6DFC" w:rsidP="00BB6DFC">
      <w:pPr>
        <w:pStyle w:val="BodyText"/>
        <w:numPr>
          <w:ilvl w:val="1"/>
          <w:numId w:val="1"/>
        </w:numPr>
      </w:pPr>
      <w:r>
        <w:t xml:space="preserve">Comet’s decision having been influenced by </w:t>
      </w:r>
      <w:r w:rsidR="0015660E">
        <w:t xml:space="preserve">a desire of KHL, KEP and KIL to achieve a better outcome for KIL, </w:t>
      </w:r>
      <w:r>
        <w:t>combined with a denial</w:t>
      </w:r>
      <w:r w:rsidR="0015660E">
        <w:t xml:space="preserve"> that the decision was confined to that taken by the New Board on 3 February 2012 and </w:t>
      </w:r>
      <w:r>
        <w:t>a claim</w:t>
      </w:r>
      <w:r w:rsidR="0015660E">
        <w:t xml:space="preserve"> that the resolution passed then</w:t>
      </w:r>
      <w:r w:rsidR="008F63BB">
        <w:t xml:space="preserve"> simply gave effect to a decision that</w:t>
      </w:r>
      <w:r w:rsidR="0015660E">
        <w:t xml:space="preserve"> had already been taken</w:t>
      </w:r>
      <w:r w:rsidR="008F63BB">
        <w:t xml:space="preserve">; or </w:t>
      </w:r>
    </w:p>
    <w:p w14:paraId="4DEF38E4" w14:textId="09B41ECB" w:rsidR="00BB6DFC" w:rsidRDefault="00BB6DFC" w:rsidP="00BB6DFC">
      <w:pPr>
        <w:pStyle w:val="BodyText"/>
        <w:numPr>
          <w:ilvl w:val="1"/>
          <w:numId w:val="1"/>
        </w:numPr>
      </w:pPr>
      <w:r>
        <w:t xml:space="preserve">alternatively, </w:t>
      </w:r>
      <w:r w:rsidR="008F63BB">
        <w:t>if the decision was taken solely by the New Board</w:t>
      </w:r>
      <w:r w:rsidR="005C30A2">
        <w:t>,</w:t>
      </w:r>
      <w:r w:rsidR="008F63BB">
        <w:t xml:space="preserve"> </w:t>
      </w:r>
      <w:r w:rsidR="00D74C06">
        <w:t xml:space="preserve">a claim that </w:t>
      </w:r>
      <w:r w:rsidR="008F63BB">
        <w:t xml:space="preserve">its deliberations </w:t>
      </w:r>
      <w:r w:rsidR="00D74C06">
        <w:t xml:space="preserve">were </w:t>
      </w:r>
      <w:r w:rsidR="008F63BB">
        <w:t>influenced by KHL/KEP/KIL’</w:t>
      </w:r>
      <w:r w:rsidR="005C30A2">
        <w:t>s</w:t>
      </w:r>
      <w:r w:rsidR="008F63BB">
        <w:t xml:space="preserve"> desire. </w:t>
      </w:r>
    </w:p>
    <w:p w14:paraId="7E0AE14F" w14:textId="6163D500" w:rsidR="0015660E" w:rsidRDefault="008F63BB" w:rsidP="00BB6DFC">
      <w:pPr>
        <w:pStyle w:val="BodyText"/>
        <w:numPr>
          <w:ilvl w:val="0"/>
          <w:numId w:val="0"/>
        </w:numPr>
        <w:ind w:left="567"/>
      </w:pPr>
      <w:r>
        <w:t>Th</w:t>
      </w:r>
      <w:r w:rsidR="005C30A2">
        <w:t>e latter part of this</w:t>
      </w:r>
      <w:r>
        <w:t xml:space="preserve"> pleading added that the Liquidator would rely on Mr Darke’s membership of the Board both before and after the Disposal and on the incentives offered to the New Board.</w:t>
      </w:r>
    </w:p>
    <w:p w14:paraId="7F855F65" w14:textId="40F889C2" w:rsidR="008F63BB" w:rsidRDefault="005C30A2" w:rsidP="00BB415E">
      <w:pPr>
        <w:pStyle w:val="BodyText"/>
      </w:pPr>
      <w:bookmarkStart w:id="32" w:name="_Ref118122635"/>
      <w:r>
        <w:t>In Mr Gledhill’s opening submissions, and no doubt in the light of</w:t>
      </w:r>
      <w:r w:rsidR="008F63BB">
        <w:t xml:space="preserve"> Mr Darke’s witness statement </w:t>
      </w:r>
      <w:r>
        <w:t>(</w:t>
      </w:r>
      <w:r w:rsidR="008F63BB">
        <w:t>which as previously mentioned was provided only relatively shortly before the trial</w:t>
      </w:r>
      <w:r>
        <w:t>), it was made clear that the final point about Mr Darke would not be pursued, such that he was not cross-examined on the question of desire to prefer. Instead the case as ultimately put, reflected in an amended reply, can be summarised as follows:</w:t>
      </w:r>
      <w:bookmarkEnd w:id="32"/>
    </w:p>
    <w:p w14:paraId="02DA9966" w14:textId="7D1BC5A6" w:rsidR="005C30A2" w:rsidRDefault="005C30A2" w:rsidP="005C30A2">
      <w:pPr>
        <w:pStyle w:val="BodyText"/>
        <w:numPr>
          <w:ilvl w:val="1"/>
          <w:numId w:val="1"/>
        </w:numPr>
      </w:pPr>
      <w:r>
        <w:t>KHL and KEP (as parties to the SPA)</w:t>
      </w:r>
      <w:r w:rsidR="005608A8">
        <w:t>,</w:t>
      </w:r>
      <w:r>
        <w:t xml:space="preserve"> their subsidiary KIL</w:t>
      </w:r>
      <w:r w:rsidR="005608A8">
        <w:t xml:space="preserve"> and Mr Enoch, being “both a director of Comet, and an officer of KEP and KIL, and an employee of KEP”, desired to achieve a better outcome for KIL in its capacity as a creditor of Comet than would have been the case in an insolvent liquidation, via repayment of the KIL RCF immediately before completion. The desire of KHL, KEP, KIL and Mr Enoch to achieve a better outcome influenced Comet’s decision, the resolution passed by the New Board simply giving effect to a decision which had already been taken “on or around 9 November 2011 by KHL, KEP and (on behalf of Comet) Mr Enoch”, as reflected in clauses 8.6-8.20 of the SPA.</w:t>
      </w:r>
    </w:p>
    <w:p w14:paraId="0D3D6660" w14:textId="1B211E31" w:rsidR="005608A8" w:rsidRDefault="005608A8" w:rsidP="005C30A2">
      <w:pPr>
        <w:pStyle w:val="BodyText"/>
        <w:numPr>
          <w:ilvl w:val="1"/>
          <w:numId w:val="1"/>
        </w:numPr>
      </w:pPr>
      <w:r>
        <w:t>Alternatively, if the relevant decision was taken solely by the New Board on 3 February 2012, its deliberations were influenced by Mr Enoch’s desire, “which desire is imputable to Comet, by virtue of Mr Enoch’s Comet directorship”.</w:t>
      </w:r>
    </w:p>
    <w:p w14:paraId="74C84D64" w14:textId="7F4F068E" w:rsidR="005608A8" w:rsidRDefault="005608A8" w:rsidP="005608A8">
      <w:pPr>
        <w:pStyle w:val="BodyText"/>
      </w:pPr>
      <w:bookmarkStart w:id="33" w:name="_Ref118119595"/>
      <w:r>
        <w:t>As discussed further below, the legal question to which</w:t>
      </w:r>
      <w:r w:rsidR="009A2512">
        <w:t xml:space="preserve"> </w:t>
      </w:r>
      <w:r w:rsidR="00E8284A">
        <w:t xml:space="preserve">the alternative at </w:t>
      </w:r>
      <w:r w:rsidR="00D74C06">
        <w:t>[</w:t>
      </w:r>
      <w:r w:rsidR="00D74C06">
        <w:fldChar w:fldCharType="begin"/>
      </w:r>
      <w:r w:rsidR="00D74C06">
        <w:instrText xml:space="preserve"> REF _Ref118122635 \r \h </w:instrText>
      </w:r>
      <w:r w:rsidR="00D74C06">
        <w:fldChar w:fldCharType="separate"/>
      </w:r>
      <w:r w:rsidR="00E762C8">
        <w:t>111</w:t>
      </w:r>
      <w:r w:rsidR="00D74C06">
        <w:fldChar w:fldCharType="end"/>
      </w:r>
      <w:r w:rsidR="00E8284A">
        <w:t>b)</w:t>
      </w:r>
      <w:r w:rsidR="00D74C06">
        <w:t>]</w:t>
      </w:r>
      <w:r>
        <w:t xml:space="preserve"> gives rise is essentially whether it is sufficient, as Mr Gledhill submitted, for </w:t>
      </w:r>
      <w:r w:rsidR="009A2512">
        <w:t>a desire to influence a decision if that desire is held by someone other than the company’s decision-making body and has the (causative) effect of influencing the decision, provided that the desire in question was held by someone who was a director</w:t>
      </w:r>
      <w:r w:rsidR="00AE02EF">
        <w:t>, or other agent,</w:t>
      </w:r>
      <w:r w:rsidR="009A2512">
        <w:t xml:space="preserve"> of the company.</w:t>
      </w:r>
      <w:bookmarkEnd w:id="33"/>
      <w:r w:rsidR="00CF0D12">
        <w:t xml:space="preserve"> The same point </w:t>
      </w:r>
      <w:r w:rsidR="00E8284A">
        <w:t xml:space="preserve">may arise to some extent under </w:t>
      </w:r>
      <w:r w:rsidR="00D74C06">
        <w:t>[</w:t>
      </w:r>
      <w:r w:rsidR="00D74C06">
        <w:fldChar w:fldCharType="begin"/>
      </w:r>
      <w:r w:rsidR="00D74C06">
        <w:instrText xml:space="preserve"> REF _Ref118122635 \r \h </w:instrText>
      </w:r>
      <w:r w:rsidR="00D74C06">
        <w:fldChar w:fldCharType="separate"/>
      </w:r>
      <w:r w:rsidR="00E762C8">
        <w:t>111</w:t>
      </w:r>
      <w:r w:rsidR="00D74C06">
        <w:fldChar w:fldCharType="end"/>
      </w:r>
      <w:r w:rsidR="00A50477">
        <w:t>a)</w:t>
      </w:r>
      <w:r w:rsidR="00D74C06">
        <w:t>]</w:t>
      </w:r>
      <w:r w:rsidR="00A50477">
        <w:t xml:space="preserve"> above, though the pleading there refers to Mr Enoch acting “on behalf of Comet”</w:t>
      </w:r>
      <w:r w:rsidR="00E62A79">
        <w:t>.</w:t>
      </w:r>
    </w:p>
    <w:p w14:paraId="796F168E" w14:textId="465E8B36" w:rsidR="009A2512" w:rsidRDefault="009A2512" w:rsidP="005608A8">
      <w:pPr>
        <w:pStyle w:val="BodyText"/>
      </w:pPr>
      <w:bookmarkStart w:id="34" w:name="_Ref118118413"/>
      <w:r>
        <w:t xml:space="preserve">Mr Gledhill relied heavily on </w:t>
      </w:r>
      <w:r w:rsidR="00AE02EF" w:rsidRPr="00AE02EF">
        <w:rPr>
          <w:i/>
          <w:iCs/>
        </w:rPr>
        <w:t>In re Drabble Bros.</w:t>
      </w:r>
      <w:r w:rsidR="00AE02EF" w:rsidRPr="00AE02EF">
        <w:t xml:space="preserve"> [1930] 2 Ch 211 (C</w:t>
      </w:r>
      <w:r w:rsidR="00AE02EF">
        <w:t>A)</w:t>
      </w:r>
      <w:r w:rsidR="00820C6E">
        <w:t xml:space="preserve"> (“</w:t>
      </w:r>
      <w:r w:rsidR="00CD7116">
        <w:rPr>
          <w:i/>
          <w:iCs/>
        </w:rPr>
        <w:t xml:space="preserve">Re </w:t>
      </w:r>
      <w:r w:rsidR="00820C6E" w:rsidRPr="00820C6E">
        <w:rPr>
          <w:i/>
          <w:iCs/>
        </w:rPr>
        <w:t>Drabble</w:t>
      </w:r>
      <w:r w:rsidR="00820C6E">
        <w:t>”)</w:t>
      </w:r>
      <w:r w:rsidR="00AE02EF">
        <w:t xml:space="preserve">. In that case </w:t>
      </w:r>
      <w:r w:rsidR="00D74C06">
        <w:t xml:space="preserve">a </w:t>
      </w:r>
      <w:r w:rsidR="00AE02EF">
        <w:t>partner</w:t>
      </w:r>
      <w:r w:rsidR="00AE02EF" w:rsidRPr="00AE02EF">
        <w:t xml:space="preserve"> </w:t>
      </w:r>
      <w:r w:rsidR="00AE02EF">
        <w:t>of a firm signed cheques drawn by an agent, Tiley, in circumstances where Tiley</w:t>
      </w:r>
      <w:r w:rsidR="00BB229C">
        <w:t xml:space="preserve"> was aware of the firm’s financial difficulties and</w:t>
      </w:r>
      <w:r w:rsidR="00AE02EF">
        <w:t xml:space="preserve"> intended to prefer the relevant creditors</w:t>
      </w:r>
      <w:r w:rsidR="00BB229C">
        <w:t xml:space="preserve"> (from whom he obtained commission) by early payment</w:t>
      </w:r>
      <w:r w:rsidR="00D74C06">
        <w:t>. However,</w:t>
      </w:r>
      <w:r w:rsidR="00AE02EF">
        <w:t xml:space="preserve"> the partner</w:t>
      </w:r>
      <w:r w:rsidR="00231DA4">
        <w:t xml:space="preserve"> who signed the cheques</w:t>
      </w:r>
      <w:r w:rsidR="00AE02EF">
        <w:t xml:space="preserve"> </w:t>
      </w:r>
      <w:r w:rsidR="00D74C06">
        <w:t xml:space="preserve">had delegated all the decision making about payments to Tiley and </w:t>
      </w:r>
      <w:r w:rsidR="00AE02EF">
        <w:t xml:space="preserve">had no knowledge </w:t>
      </w:r>
      <w:r w:rsidR="00231DA4">
        <w:t>that payment</w:t>
      </w:r>
      <w:r w:rsidR="00D74C06">
        <w:t>s were</w:t>
      </w:r>
      <w:r w:rsidR="00231DA4">
        <w:t xml:space="preserve"> being made early</w:t>
      </w:r>
      <w:r w:rsidR="00AE02EF">
        <w:t>. The Court of Appeal held that Tiley’s knowledge should be imputed to the partner. Mr Gledhill submitted that, in a similar way, Mr Enoch was an agent of Comet because he was one of its directors.</w:t>
      </w:r>
      <w:bookmarkEnd w:id="34"/>
    </w:p>
    <w:p w14:paraId="34AB00B5" w14:textId="775F5B18" w:rsidR="006F1616" w:rsidRDefault="006F1616" w:rsidP="006F1616">
      <w:pPr>
        <w:pStyle w:val="Heading3"/>
      </w:pPr>
      <w:r>
        <w:t xml:space="preserve">Identifying the </w:t>
      </w:r>
      <w:r w:rsidR="00436B78">
        <w:t>date of the</w:t>
      </w:r>
      <w:r>
        <w:t xml:space="preserve"> decision</w:t>
      </w:r>
    </w:p>
    <w:p w14:paraId="102B213E" w14:textId="6FF4D81A" w:rsidR="006F1616" w:rsidRDefault="00F74F01" w:rsidP="007E46AF">
      <w:pPr>
        <w:pStyle w:val="BodyText"/>
      </w:pPr>
      <w:r>
        <w:t xml:space="preserve">As the foregoing discussion indicates, it </w:t>
      </w:r>
      <w:r w:rsidR="00294C65">
        <w:t>may</w:t>
      </w:r>
      <w:r>
        <w:t xml:space="preserve"> also </w:t>
      </w:r>
      <w:r w:rsidR="00294C65">
        <w:t xml:space="preserve">be </w:t>
      </w:r>
      <w:r>
        <w:t xml:space="preserve">important to identify when the relevant decision was made. In </w:t>
      </w:r>
      <w:r w:rsidRPr="00F74F01">
        <w:rPr>
          <w:i/>
          <w:iCs/>
        </w:rPr>
        <w:t>Re Stealth Construction</w:t>
      </w:r>
      <w:r>
        <w:t xml:space="preserve"> David Richards J commented at [63] that this was a question of fact in each case, and that an existing contractual obligation</w:t>
      </w:r>
      <w:r w:rsidR="00057642">
        <w:t xml:space="preserve"> to perfor</w:t>
      </w:r>
      <w:r w:rsidR="002F0B39">
        <w:t>m the act that amounts to a preference</w:t>
      </w:r>
      <w:r>
        <w:t xml:space="preserve"> was neither necessary nor sufficient.</w:t>
      </w:r>
    </w:p>
    <w:p w14:paraId="340B693F" w14:textId="1C80D98E" w:rsidR="000E66D2" w:rsidRDefault="00294C65" w:rsidP="007E46AF">
      <w:pPr>
        <w:pStyle w:val="BodyText"/>
      </w:pPr>
      <w:bookmarkStart w:id="35" w:name="_Ref118197911"/>
      <w:r>
        <w:t xml:space="preserve">Darty relied on </w:t>
      </w:r>
      <w:r w:rsidRPr="00F74F01">
        <w:rPr>
          <w:i/>
          <w:iCs/>
        </w:rPr>
        <w:t>Re Stealth Construction</w:t>
      </w:r>
      <w:r>
        <w:t xml:space="preserve"> and </w:t>
      </w:r>
      <w:r w:rsidRPr="00294C65">
        <w:rPr>
          <w:i/>
          <w:iCs/>
        </w:rPr>
        <w:t>Wills v Corfe Joinery Ltd</w:t>
      </w:r>
      <w:r>
        <w:t xml:space="preserve"> [1997] BCC 511 to support the proposition that, even if Comet had made a decision in November 2011 when the SPA was signed (which was denied), by February 2012 it needed to make a further decision, and that was the only relevant one because the test focused on the actual decision to effect payment. </w:t>
      </w:r>
      <w:r w:rsidR="000E66D2" w:rsidRPr="00F74F01">
        <w:rPr>
          <w:i/>
          <w:iCs/>
        </w:rPr>
        <w:t>Re Stealth Construction</w:t>
      </w:r>
      <w:r w:rsidR="000E66D2">
        <w:t xml:space="preserve"> concerned the grant of a debenture, purportedly agreed</w:t>
      </w:r>
      <w:r w:rsidR="00E4760E">
        <w:t xml:space="preserve"> to</w:t>
      </w:r>
      <w:r w:rsidR="000E66D2">
        <w:t xml:space="preserve"> in October 2007 but only executed in December 2008. David Richards J concluded that there was no enforceable obligation to grant the security in October 2007, but commented at [61] that even if there had</w:t>
      </w:r>
      <w:r w:rsidR="00D74C06">
        <w:t xml:space="preserve"> been</w:t>
      </w:r>
      <w:r w:rsidR="000E66D2">
        <w:t>:</w:t>
      </w:r>
      <w:bookmarkEnd w:id="35"/>
    </w:p>
    <w:p w14:paraId="2388F317" w14:textId="2EDF6238" w:rsidR="00294C65" w:rsidRDefault="000E66D2" w:rsidP="000E66D2">
      <w:pPr>
        <w:pStyle w:val="Citations"/>
      </w:pPr>
      <w:r>
        <w:t xml:space="preserve">“… </w:t>
      </w:r>
      <w:r w:rsidRPr="000E66D2">
        <w:t>there would in ordinary circumstances after a delay of 12 months or so be a further decision to comply with the obligation, just as in the case of a debt there would be a further decision to comply with the obligation to pay the debt.</w:t>
      </w:r>
      <w:r>
        <w:t>”</w:t>
      </w:r>
    </w:p>
    <w:p w14:paraId="4825F688" w14:textId="5AF1A35B" w:rsidR="000E66D2" w:rsidRDefault="000E66D2" w:rsidP="00A03DBE">
      <w:pPr>
        <w:pStyle w:val="BodyText"/>
      </w:pPr>
      <w:r>
        <w:t>In</w:t>
      </w:r>
      <w:r w:rsidR="00647712">
        <w:t xml:space="preserve"> the earlier case of</w:t>
      </w:r>
      <w:r>
        <w:t xml:space="preserve"> </w:t>
      </w:r>
      <w:r w:rsidRPr="00B677EC">
        <w:rPr>
          <w:i/>
          <w:iCs/>
        </w:rPr>
        <w:t>Wills v Corfe Joinery Ltd</w:t>
      </w:r>
      <w:r>
        <w:t xml:space="preserve">, a </w:t>
      </w:r>
      <w:r w:rsidRPr="000E66D2">
        <w:t>company agreed</w:t>
      </w:r>
      <w:r>
        <w:t xml:space="preserve"> at a </w:t>
      </w:r>
      <w:r w:rsidR="00185A20">
        <w:t>b</w:t>
      </w:r>
      <w:r>
        <w:t>oard meeting</w:t>
      </w:r>
      <w:r w:rsidRPr="000E66D2">
        <w:t xml:space="preserve"> in January 1994 to repay two directors’ loans in January 1995</w:t>
      </w:r>
      <w:r w:rsidR="00436B78">
        <w:t>. The loans were repaid in early February 1995</w:t>
      </w:r>
      <w:r w:rsidRPr="000E66D2">
        <w:t xml:space="preserve"> </w:t>
      </w:r>
      <w:r w:rsidRPr="002F6491">
        <w:t>by drawing cheques in favour of the directors</w:t>
      </w:r>
      <w:r w:rsidR="00436B78">
        <w:t>, at a time when the company had run into financial difficulties</w:t>
      </w:r>
      <w:r w:rsidRPr="000E66D2">
        <w:t>.</w:t>
      </w:r>
      <w:r>
        <w:t xml:space="preserve"> </w:t>
      </w:r>
      <w:r w:rsidR="00436B78">
        <w:t xml:space="preserve">It ceased trading very shortly afterwards. </w:t>
      </w:r>
      <w:r w:rsidR="00647712">
        <w:t>Lloyd J found</w:t>
      </w:r>
      <w:r w:rsidR="00B677EC">
        <w:t xml:space="preserve"> that the decision was made only when the cheques were signed.</w:t>
      </w:r>
      <w:r w:rsidR="00647712">
        <w:t xml:space="preserve"> </w:t>
      </w:r>
    </w:p>
    <w:p w14:paraId="132945F6" w14:textId="0C1CDD9A" w:rsidR="0056289C" w:rsidRDefault="0056289C" w:rsidP="0056289C">
      <w:pPr>
        <w:pStyle w:val="Heading2"/>
      </w:pPr>
      <w:r>
        <w:t>Insolvency</w:t>
      </w:r>
    </w:p>
    <w:p w14:paraId="4A6E1FA2" w14:textId="17DD804D" w:rsidR="0056289C" w:rsidRDefault="0056289C" w:rsidP="0056289C">
      <w:pPr>
        <w:pStyle w:val="BodyText"/>
      </w:pPr>
      <w:r>
        <w:t>Section 240(2) applies the test in s.123 IA 1986, which relevantly provides:</w:t>
      </w:r>
    </w:p>
    <w:p w14:paraId="39385665" w14:textId="278FB728" w:rsidR="0056289C" w:rsidRDefault="0056289C" w:rsidP="0056289C">
      <w:pPr>
        <w:pStyle w:val="Citations"/>
      </w:pPr>
      <w:r>
        <w:t>“(1) A company is deemed unable to pay its debts—</w:t>
      </w:r>
    </w:p>
    <w:p w14:paraId="6CCFA9EA" w14:textId="563C4885" w:rsidR="0056289C" w:rsidRDefault="0056289C" w:rsidP="0056289C">
      <w:pPr>
        <w:pStyle w:val="Citations"/>
        <w:ind w:left="1440"/>
      </w:pPr>
      <w:r>
        <w:t>…</w:t>
      </w:r>
    </w:p>
    <w:p w14:paraId="75B658D6" w14:textId="61B70CC7" w:rsidR="0056289C" w:rsidRDefault="0056289C" w:rsidP="0056289C">
      <w:pPr>
        <w:pStyle w:val="Citations"/>
        <w:ind w:left="1440"/>
      </w:pPr>
      <w:r>
        <w:t>(e) if it is proved to the satisfaction of the court that the company is unable to pay its debts as they fall due.</w:t>
      </w:r>
    </w:p>
    <w:p w14:paraId="60A6AB39" w14:textId="4F724150" w:rsidR="0056289C" w:rsidRDefault="0056289C" w:rsidP="0056289C">
      <w:pPr>
        <w:pStyle w:val="Citations"/>
      </w:pPr>
      <w:r>
        <w:t>(2) A company is also deemed unable to pay its debts if it is proved to the satisfaction of the court that the value of the company’s assets is less than the amount of its liabilities, taking into account its contingent and prospective liabilities.”</w:t>
      </w:r>
    </w:p>
    <w:p w14:paraId="6D407459" w14:textId="69B34D04" w:rsidR="0056289C" w:rsidRDefault="0056289C" w:rsidP="0056289C">
      <w:pPr>
        <w:pStyle w:val="BodyText"/>
      </w:pPr>
      <w:r>
        <w:t>For convenience I will use the labels “cash</w:t>
      </w:r>
      <w:r w:rsidR="0093371C">
        <w:t xml:space="preserve"> </w:t>
      </w:r>
      <w:r>
        <w:t>flow” insolvency in respect of s.123(1)(e) and “balance sheet” insolvency in relation to s.123(2).</w:t>
      </w:r>
    </w:p>
    <w:p w14:paraId="1E9E7463" w14:textId="4F43DB98" w:rsidR="0093371C" w:rsidRDefault="0093371C" w:rsidP="0056289C">
      <w:pPr>
        <w:pStyle w:val="BodyText"/>
      </w:pPr>
      <w:r>
        <w:t xml:space="preserve">The leading authority is </w:t>
      </w:r>
      <w:r w:rsidRPr="0093371C">
        <w:rPr>
          <w:i/>
          <w:iCs/>
        </w:rPr>
        <w:t>BNY Corporate Trustee Services Ltd v Eurosail-UK</w:t>
      </w:r>
      <w:r>
        <w:rPr>
          <w:i/>
          <w:iCs/>
        </w:rPr>
        <w:t xml:space="preserve"> </w:t>
      </w:r>
      <w:r w:rsidRPr="0093371C">
        <w:rPr>
          <w:i/>
          <w:iCs/>
        </w:rPr>
        <w:t>2007-3BL plc</w:t>
      </w:r>
      <w:r w:rsidRPr="0093371C">
        <w:t xml:space="preserve"> [2013] </w:t>
      </w:r>
      <w:r>
        <w:t>BCC 397 (“</w:t>
      </w:r>
      <w:r w:rsidRPr="0093371C">
        <w:rPr>
          <w:i/>
          <w:iCs/>
        </w:rPr>
        <w:t>Eurosail</w:t>
      </w:r>
      <w:r>
        <w:t xml:space="preserve">”). The relevant principles were helpfully summarised by Lewison LJ in </w:t>
      </w:r>
      <w:r w:rsidRPr="0093371C">
        <w:rPr>
          <w:i/>
          <w:iCs/>
        </w:rPr>
        <w:t>Bucci v Carman</w:t>
      </w:r>
      <w:r w:rsidRPr="0093371C">
        <w:t xml:space="preserve"> [2014] B</w:t>
      </w:r>
      <w:r>
        <w:t>CC</w:t>
      </w:r>
      <w:r w:rsidRPr="0093371C">
        <w:t xml:space="preserve"> 269 at [27]-[28]</w:t>
      </w:r>
      <w:r>
        <w:t>, as follows:</w:t>
      </w:r>
    </w:p>
    <w:p w14:paraId="1C7A16D1" w14:textId="22767CE8" w:rsidR="0093371C" w:rsidRDefault="00357065" w:rsidP="0093371C">
      <w:pPr>
        <w:pStyle w:val="Citations"/>
      </w:pPr>
      <w:r>
        <w:t>“</w:t>
      </w:r>
      <w:r w:rsidR="0093371C">
        <w:t xml:space="preserve">27.  In my judgment the following points emerge from the decision of the Supreme Court in </w:t>
      </w:r>
      <w:r w:rsidR="0093371C" w:rsidRPr="0093371C">
        <w:rPr>
          <w:i/>
          <w:iCs/>
        </w:rPr>
        <w:t xml:space="preserve">Eurosail </w:t>
      </w:r>
      <w:r w:rsidR="0093371C">
        <w:t>(and in particular the judgment of Lord Walker):</w:t>
      </w:r>
    </w:p>
    <w:p w14:paraId="12CA0F8B" w14:textId="63AE03B7" w:rsidR="0093371C" w:rsidRDefault="0093371C" w:rsidP="0093371C">
      <w:pPr>
        <w:pStyle w:val="Citations"/>
        <w:ind w:left="1440"/>
      </w:pPr>
      <w:r>
        <w:t xml:space="preserve">    (i)  The tests of insolvency in s.123(1)(e) and 123(2) were not intended to make a significant change in the law as it existed before the Insolvency Act 1986: [37].</w:t>
      </w:r>
    </w:p>
    <w:p w14:paraId="6CC30323" w14:textId="77777777" w:rsidR="0093371C" w:rsidRDefault="0093371C" w:rsidP="0093371C">
      <w:pPr>
        <w:pStyle w:val="Citations"/>
        <w:ind w:left="1440"/>
      </w:pPr>
      <w:r>
        <w:t xml:space="preserve">    (ii)  The cash-flow test looks to the future as well as to the present: [25]. The future in question is the reasonably near future; and what is the reasonably near future will depend on all the circumstances, especially the nature of the company’s business: [37]. The test is flexible and fact-sensitive: [34].</w:t>
      </w:r>
    </w:p>
    <w:p w14:paraId="105C4609" w14:textId="77777777" w:rsidR="0093371C" w:rsidRDefault="0093371C" w:rsidP="0093371C">
      <w:pPr>
        <w:pStyle w:val="Citations"/>
        <w:ind w:left="1440"/>
      </w:pPr>
      <w:r>
        <w:t xml:space="preserve">    (iii)  The cash-flow test and the balance-sheet test stand side by side: [35]. The balance sheet test, especially when applied to contingent and prospective liabilities is not a mechanical test: [30]. The express reference to assets and liabilities is a practical recognition that once the court has to move beyond the reasonably near future any attempt to apply a cash-flow test will become completely speculative and a comparison of present assets with present and future liabilities (discounted for contingencies and deferment) becomes the only sensible test: [37].</w:t>
      </w:r>
    </w:p>
    <w:p w14:paraId="38CAB070" w14:textId="0B2F2B4B" w:rsidR="0093371C" w:rsidRDefault="0093371C" w:rsidP="00357065">
      <w:pPr>
        <w:pStyle w:val="Citations"/>
        <w:ind w:left="1440"/>
      </w:pPr>
      <w:r>
        <w:t xml:space="preserve">    (iv)  But it is very far from an exact test: [37]. Whether the balance sheet test is satisfied depends on the available evidence as to the circumstances of the particular case: [38]. It requires the court to make a judgment whether it has been established that, looking at the company’s assets and making proper allowance for its prospective and contingent liabilities, it cannot reasonably be expected to meet those liabilities. If so, it will be deemed insolvent even though it is currently able to pay its debts as they fall due: [42]</w:t>
      </w:r>
      <w:r w:rsidR="003F70AE">
        <w:t>.</w:t>
      </w:r>
    </w:p>
    <w:p w14:paraId="6341F687" w14:textId="7508963D" w:rsidR="0093371C" w:rsidRDefault="0093371C" w:rsidP="0093371C">
      <w:pPr>
        <w:pStyle w:val="Citations"/>
      </w:pPr>
      <w:r>
        <w:t xml:space="preserve">28.  In the course of his judgment in </w:t>
      </w:r>
      <w:r w:rsidRPr="0093371C">
        <w:rPr>
          <w:i/>
          <w:iCs/>
        </w:rPr>
        <w:t>Eurosail</w:t>
      </w:r>
      <w:r>
        <w:t xml:space="preserve"> Lord Walker approved what he described as the “perceptive judgment” of Briggs J in </w:t>
      </w:r>
      <w:r w:rsidRPr="00357065">
        <w:rPr>
          <w:i/>
          <w:iCs/>
        </w:rPr>
        <w:t>Re Cheyne Finance Plc</w:t>
      </w:r>
      <w:r>
        <w:t xml:space="preserve"> [2007] EWHC 2402 (Ch); [2008] BCC 182. Two of the points that Briggs J made bear on our case:</w:t>
      </w:r>
    </w:p>
    <w:p w14:paraId="749B82C4" w14:textId="0F14EAF4" w:rsidR="0093371C" w:rsidRDefault="0093371C" w:rsidP="00357065">
      <w:pPr>
        <w:pStyle w:val="Citations"/>
        <w:ind w:left="1440"/>
      </w:pPr>
      <w:r>
        <w:t xml:space="preserve">    (i)  Cash-flow solvency or insolvency is not to be ascertained by a blinkered focus on debts due at the relevant date. Such an approach will in some cases fail to see that a momentary inability to pay is only the result of temporary illiquidity. In other cases it will fail to see that an endemic shortage of working capital means that a company is on any commercial view insolvent, even though it may continue to pay its debts for the next few days, weeks, or even months: [51]. </w:t>
      </w:r>
    </w:p>
    <w:p w14:paraId="0CF47E5C" w14:textId="1D00D71C" w:rsidR="0093371C" w:rsidRDefault="0093371C" w:rsidP="00357065">
      <w:pPr>
        <w:pStyle w:val="Citations"/>
        <w:ind w:left="1440"/>
      </w:pPr>
      <w:r>
        <w:t xml:space="preserve">    (ii)  Even if a company is not cash-flow insolvent, the alternative balance-sheet test will afford a petitioner for winding up a convenient alternative means of proof of a deemed insolvency: [57].</w:t>
      </w:r>
      <w:r w:rsidR="00357065">
        <w:t>”</w:t>
      </w:r>
    </w:p>
    <w:p w14:paraId="56DA2A01" w14:textId="77777777" w:rsidR="00A17442" w:rsidRDefault="00A17442" w:rsidP="00357065">
      <w:pPr>
        <w:pStyle w:val="BodyText"/>
      </w:pPr>
      <w:r>
        <w:t>As Lewison LJ went on to say at [29], the cash flow and balance sheet insolvency tests are alternatives, although “t</w:t>
      </w:r>
      <w:r w:rsidRPr="00A17442">
        <w:t>he two tests feature as part of a single exercise, namely to determine whether a company is unable to pay its debts</w:t>
      </w:r>
      <w:r>
        <w:t xml:space="preserve">”. He added at [31] that it seemed: </w:t>
      </w:r>
    </w:p>
    <w:p w14:paraId="20F10CAF" w14:textId="14589939" w:rsidR="00A17442" w:rsidRDefault="00A17442" w:rsidP="00A17442">
      <w:pPr>
        <w:pStyle w:val="Citations"/>
      </w:pPr>
      <w:r>
        <w:t xml:space="preserve">“… </w:t>
      </w:r>
      <w:r w:rsidRPr="00A17442">
        <w:t>counter-intuitive</w:t>
      </w:r>
      <w:r>
        <w:t xml:space="preserve"> …</w:t>
      </w:r>
      <w:r w:rsidRPr="00A17442">
        <w:t xml:space="preserve"> that a company that manages to stave off cash-flow insolvency by going deeper and deeper into long-term debt is not insolvent. It may be able to trade its way out of insolvency, and thus avoid going into insolvent liquidation, but that is a different matter.</w:t>
      </w:r>
      <w:r>
        <w:t>”</w:t>
      </w:r>
    </w:p>
    <w:p w14:paraId="385EF475" w14:textId="005511B8" w:rsidR="005567AA" w:rsidRDefault="00E317B5" w:rsidP="00357065">
      <w:pPr>
        <w:pStyle w:val="BodyText"/>
      </w:pPr>
      <w:r>
        <w:t xml:space="preserve">There are a few additional points that </w:t>
      </w:r>
      <w:r w:rsidR="00C36A66">
        <w:t>I would add</w:t>
      </w:r>
      <w:r>
        <w:t xml:space="preserve"> at this </w:t>
      </w:r>
      <w:r w:rsidR="00690371">
        <w:t>stage in</w:t>
      </w:r>
      <w:r w:rsidR="00C33C7A">
        <w:t xml:space="preserve"> relation to the test for balance sheet insolvency</w:t>
      </w:r>
      <w:r w:rsidR="005567AA">
        <w:t>.</w:t>
      </w:r>
    </w:p>
    <w:p w14:paraId="47E672F3" w14:textId="641CB454" w:rsidR="00472251" w:rsidRDefault="005567AA" w:rsidP="00357065">
      <w:pPr>
        <w:pStyle w:val="BodyText"/>
      </w:pPr>
      <w:r>
        <w:t xml:space="preserve">First, </w:t>
      </w:r>
      <w:r w:rsidR="004A4BB1">
        <w:t>although s.123(2) is conventionally referred to as the balance sheet test,</w:t>
      </w:r>
      <w:r w:rsidR="00C36A66">
        <w:t xml:space="preserve"> it </w:t>
      </w:r>
      <w:r w:rsidR="00976FA8">
        <w:t>is worth emphasising that</w:t>
      </w:r>
      <w:r w:rsidR="004A4BB1">
        <w:t xml:space="preserve"> </w:t>
      </w:r>
      <w:r w:rsidR="00290CD3">
        <w:t xml:space="preserve">“that </w:t>
      </w:r>
      <w:r w:rsidR="002F58D0">
        <w:t>expression is not to be taken literally”</w:t>
      </w:r>
      <w:r w:rsidR="00A83024">
        <w:t>, and</w:t>
      </w:r>
      <w:r w:rsidR="00976FA8">
        <w:t xml:space="preserve"> that</w:t>
      </w:r>
      <w:r w:rsidR="00A83024">
        <w:t xml:space="preserve"> there is no statutory provision linking</w:t>
      </w:r>
      <w:r w:rsidR="0037609B">
        <w:t xml:space="preserve"> s.123(2) to the Companies Act provisions </w:t>
      </w:r>
      <w:r w:rsidR="000B0014">
        <w:t xml:space="preserve">that specify the form and content of a company’s </w:t>
      </w:r>
      <w:r w:rsidR="00C77AB3">
        <w:t>accounts</w:t>
      </w:r>
      <w:r w:rsidR="00A83024">
        <w:t xml:space="preserve"> </w:t>
      </w:r>
      <w:r w:rsidR="002F58D0">
        <w:t>(</w:t>
      </w:r>
      <w:r>
        <w:t xml:space="preserve">see </w:t>
      </w:r>
      <w:r w:rsidR="002F58D0" w:rsidRPr="002F58D0">
        <w:rPr>
          <w:i/>
          <w:iCs/>
        </w:rPr>
        <w:t xml:space="preserve">Eurosail </w:t>
      </w:r>
      <w:r w:rsidR="002F58D0">
        <w:t>at [1])</w:t>
      </w:r>
      <w:r w:rsidR="003F5642">
        <w:t>.</w:t>
      </w:r>
      <w:r w:rsidR="00657073">
        <w:t xml:space="preserve"> </w:t>
      </w:r>
    </w:p>
    <w:p w14:paraId="538E1BB6" w14:textId="753A8688" w:rsidR="00976FA8" w:rsidRDefault="00976FA8" w:rsidP="00357065">
      <w:pPr>
        <w:pStyle w:val="BodyText"/>
      </w:pPr>
      <w:r>
        <w:t>Secondly</w:t>
      </w:r>
      <w:r w:rsidR="001A074F">
        <w:t xml:space="preserve">, it is necessary to compare assets with liabilities, </w:t>
      </w:r>
      <w:r w:rsidR="00BD12EC">
        <w:t>but “</w:t>
      </w:r>
      <w:r w:rsidR="001A074F">
        <w:t>taking into account</w:t>
      </w:r>
      <w:r w:rsidR="00BD12EC">
        <w:t>”</w:t>
      </w:r>
      <w:r w:rsidR="001A074F">
        <w:t xml:space="preserve"> contingent and prospective liabilities.</w:t>
      </w:r>
      <w:r w:rsidR="00C000F5">
        <w:t xml:space="preserve"> </w:t>
      </w:r>
      <w:r w:rsidR="00E942CA">
        <w:t xml:space="preserve">That involves </w:t>
      </w:r>
      <w:r w:rsidR="008F3202">
        <w:t>discounting for contingencies and deferment.</w:t>
      </w:r>
      <w:r w:rsidR="00195C9C">
        <w:t xml:space="preserve"> In </w:t>
      </w:r>
      <w:r w:rsidR="00195C9C" w:rsidRPr="00195C9C">
        <w:rPr>
          <w:i/>
          <w:iCs/>
        </w:rPr>
        <w:t xml:space="preserve">Eurosail </w:t>
      </w:r>
      <w:r w:rsidR="00195C9C">
        <w:t xml:space="preserve">at [42] Lord Walker approved </w:t>
      </w:r>
      <w:r w:rsidR="00BF4DB5">
        <w:t>a statement by Toulson LJ in the Court of Appeal in that case</w:t>
      </w:r>
      <w:r w:rsidR="00B876D7">
        <w:t xml:space="preserve"> ([2011] BCC</w:t>
      </w:r>
      <w:r w:rsidR="00046166">
        <w:t xml:space="preserve"> 399)</w:t>
      </w:r>
      <w:r w:rsidR="00A97C5F">
        <w:t xml:space="preserve"> when he said</w:t>
      </w:r>
      <w:r w:rsidR="00046166">
        <w:t xml:space="preserve"> at [11</w:t>
      </w:r>
      <w:r w:rsidR="00AB596F">
        <w:t>9</w:t>
      </w:r>
      <w:r w:rsidR="00046166">
        <w:t>]</w:t>
      </w:r>
      <w:r w:rsidR="00A97C5F">
        <w:t>:</w:t>
      </w:r>
    </w:p>
    <w:p w14:paraId="2D9D1748" w14:textId="13C205A3" w:rsidR="00AB596F" w:rsidRDefault="00CF04C2" w:rsidP="00AB596F">
      <w:pPr>
        <w:pStyle w:val="Citations"/>
      </w:pPr>
      <w:r>
        <w:t>“</w:t>
      </w:r>
      <w:r w:rsidRPr="00CF04C2">
        <w:t>Essentially, s.123(2) requires the court to make a judgment whether it has been established that, looking at the company’s assets and making proper allowance for its prospective and contingent liabilities, it cannot reasonably be expected to be able to meet those liabilities. If so, it will be deemed insolvent although it is currently able to pay its debts as they fall due. The more distant the liabilities, the harder this will be to establish.</w:t>
      </w:r>
      <w:r>
        <w:t>”</w:t>
      </w:r>
    </w:p>
    <w:p w14:paraId="155EEDA6" w14:textId="338DAB64" w:rsidR="00985CCB" w:rsidRDefault="00985CCB" w:rsidP="003D411B">
      <w:pPr>
        <w:pStyle w:val="BodyText"/>
      </w:pPr>
      <w:r>
        <w:t xml:space="preserve">Lord Walker added </w:t>
      </w:r>
      <w:r w:rsidR="009D4CB9">
        <w:t>that in that case, where liabilities stood to be deferred for over 30 years</w:t>
      </w:r>
      <w:r w:rsidR="006D7A01">
        <w:t xml:space="preserve">, </w:t>
      </w:r>
      <w:r w:rsidR="00422185">
        <w:t>the court “should proceed with the greatest caution”</w:t>
      </w:r>
      <w:r w:rsidR="00116730">
        <w:t xml:space="preserve"> in deciding that </w:t>
      </w:r>
      <w:r w:rsidR="00D74C06">
        <w:t>the company</w:t>
      </w:r>
      <w:r w:rsidR="00116730">
        <w:t xml:space="preserve"> was insolvent under s.123(2).</w:t>
      </w:r>
      <w:r w:rsidR="00DC7A29">
        <w:t xml:space="preserve"> On the facts</w:t>
      </w:r>
      <w:r w:rsidR="00B15F91">
        <w:t xml:space="preserve"> the court could not be satisfied that there would eventually be a </w:t>
      </w:r>
      <w:r w:rsidR="008613A2">
        <w:t>deficiency</w:t>
      </w:r>
      <w:r w:rsidR="00B15F91">
        <w:t xml:space="preserve"> (see at [49])</w:t>
      </w:r>
      <w:r w:rsidR="008613A2">
        <w:t>.</w:t>
      </w:r>
    </w:p>
    <w:p w14:paraId="2BA165DD" w14:textId="3738E1B5" w:rsidR="00A65CAA" w:rsidRDefault="00A65CAA" w:rsidP="00A65CAA">
      <w:pPr>
        <w:pStyle w:val="BodyText"/>
      </w:pPr>
      <w:r>
        <w:t xml:space="preserve">Earlier, at [30], Lord Walker had also cited a passage from Nourse J’s judgment in </w:t>
      </w:r>
      <w:r w:rsidRPr="001A7843">
        <w:rPr>
          <w:i/>
          <w:iCs/>
        </w:rPr>
        <w:t>Re a Company</w:t>
      </w:r>
      <w:r w:rsidRPr="001A7843">
        <w:t xml:space="preserve"> [1986] B</w:t>
      </w:r>
      <w:r>
        <w:t>CL</w:t>
      </w:r>
      <w:r w:rsidRPr="001A7843">
        <w:t>C 261</w:t>
      </w:r>
      <w:r w:rsidR="00D74C06">
        <w:t>,</w:t>
      </w:r>
      <w:r>
        <w:t xml:space="preserve"> where he said that the requirement (</w:t>
      </w:r>
      <w:r w:rsidR="00D74C06">
        <w:t>in the p</w:t>
      </w:r>
      <w:r>
        <w:t xml:space="preserve">redecessor legislation) to </w:t>
      </w:r>
      <w:r w:rsidRPr="001563CB">
        <w:t>take into account contingent and prospective liabilities cannot mean simply add</w:t>
      </w:r>
      <w:r>
        <w:t>ing</w:t>
      </w:r>
      <w:r w:rsidRPr="001563CB">
        <w:t xml:space="preserve"> them up and strik</w:t>
      </w:r>
      <w:r>
        <w:t>ing</w:t>
      </w:r>
      <w:r w:rsidRPr="001563CB">
        <w:t xml:space="preserve"> a balance against assets</w:t>
      </w:r>
      <w:r>
        <w:t>, adding that as regards</w:t>
      </w:r>
      <w:r w:rsidRPr="001563CB">
        <w:t xml:space="preserve"> prospective liabilities </w:t>
      </w:r>
      <w:r>
        <w:t>“</w:t>
      </w:r>
      <w:r w:rsidRPr="001563CB">
        <w:t>I must principally consider whether, and if so when, they are likely to become present liabilities”</w:t>
      </w:r>
      <w:r>
        <w:t>.</w:t>
      </w:r>
    </w:p>
    <w:p w14:paraId="708E8744" w14:textId="5EC3E1C6" w:rsidR="00E90C8C" w:rsidRDefault="007419F8" w:rsidP="00E90C8C">
      <w:pPr>
        <w:pStyle w:val="BodyText"/>
      </w:pPr>
      <w:r>
        <w:t xml:space="preserve">Thirdly, the </w:t>
      </w:r>
      <w:r w:rsidR="00C93D1D">
        <w:t xml:space="preserve">assets referred to in s.123(2) are </w:t>
      </w:r>
      <w:r w:rsidR="00A36F87">
        <w:t>the company’s</w:t>
      </w:r>
      <w:r w:rsidR="00C93D1D">
        <w:t xml:space="preserve"> present assets</w:t>
      </w:r>
      <w:r w:rsidR="00F33836">
        <w:t xml:space="preserve">: </w:t>
      </w:r>
      <w:r w:rsidR="00F33836" w:rsidRPr="00585F13">
        <w:rPr>
          <w:i/>
          <w:iCs/>
        </w:rPr>
        <w:t>Eurosail</w:t>
      </w:r>
      <w:r w:rsidR="00F33836">
        <w:t xml:space="preserve"> at [37] and </w:t>
      </w:r>
      <w:r w:rsidR="00F33836" w:rsidRPr="00585F13">
        <w:rPr>
          <w:i/>
          <w:iCs/>
        </w:rPr>
        <w:t>Re Rococo Developments</w:t>
      </w:r>
      <w:r w:rsidR="001F63F8" w:rsidRPr="00585F13">
        <w:rPr>
          <w:i/>
          <w:iCs/>
        </w:rPr>
        <w:t xml:space="preserve"> Ltd</w:t>
      </w:r>
      <w:r w:rsidR="001F63F8">
        <w:t xml:space="preserve"> [2017] Ch 1</w:t>
      </w:r>
      <w:r w:rsidR="003E35BE">
        <w:t xml:space="preserve"> (“</w:t>
      </w:r>
      <w:r w:rsidR="003E35BE" w:rsidRPr="003E35BE">
        <w:rPr>
          <w:i/>
          <w:iCs/>
        </w:rPr>
        <w:t>Rococo</w:t>
      </w:r>
      <w:r w:rsidR="003E35BE">
        <w:t>”)</w:t>
      </w:r>
      <w:r w:rsidR="00585F13">
        <w:t xml:space="preserve"> at [19] and [20].</w:t>
      </w:r>
      <w:r w:rsidR="00550716">
        <w:t xml:space="preserve"> </w:t>
      </w:r>
      <w:r w:rsidR="00363D5F" w:rsidRPr="00497C80">
        <w:t>I pause to note that, whil</w:t>
      </w:r>
      <w:r w:rsidR="00402A01" w:rsidRPr="00497C80">
        <w:t>e</w:t>
      </w:r>
      <w:r w:rsidR="00363D5F" w:rsidRPr="00497C80">
        <w:t xml:space="preserve"> that is clearly correct as a matter of st</w:t>
      </w:r>
      <w:r w:rsidR="0044483C" w:rsidRPr="00497C80">
        <w:t xml:space="preserve">atutory construction, </w:t>
      </w:r>
      <w:r w:rsidR="00497C80" w:rsidRPr="00497C80">
        <w:t xml:space="preserve">in order </w:t>
      </w:r>
      <w:r w:rsidR="003018DF" w:rsidRPr="00497C80">
        <w:t xml:space="preserve">to apply the provision </w:t>
      </w:r>
      <w:r w:rsidR="00DC7073" w:rsidRPr="00497C80">
        <w:t xml:space="preserve">in a commercially </w:t>
      </w:r>
      <w:r w:rsidR="00E02A50" w:rsidRPr="00497C80">
        <w:t xml:space="preserve">realistic manner as </w:t>
      </w:r>
      <w:r w:rsidR="00E02A50" w:rsidRPr="00497C80">
        <w:rPr>
          <w:i/>
          <w:iCs/>
        </w:rPr>
        <w:t>E</w:t>
      </w:r>
      <w:r w:rsidR="003E35BE" w:rsidRPr="00497C80">
        <w:rPr>
          <w:i/>
          <w:iCs/>
        </w:rPr>
        <w:t xml:space="preserve">urosail </w:t>
      </w:r>
      <w:r w:rsidR="003E35BE" w:rsidRPr="00497C80">
        <w:t>enjoins</w:t>
      </w:r>
      <w:r w:rsidR="000D7555" w:rsidRPr="00497C80">
        <w:t xml:space="preserve"> us to do</w:t>
      </w:r>
      <w:r w:rsidR="003E35BE" w:rsidRPr="00497C80">
        <w:t xml:space="preserve"> (see </w:t>
      </w:r>
      <w:r w:rsidR="003E35BE" w:rsidRPr="00497C80">
        <w:rPr>
          <w:i/>
          <w:iCs/>
        </w:rPr>
        <w:t>Rococo</w:t>
      </w:r>
      <w:r w:rsidR="003E35BE" w:rsidRPr="00497C80">
        <w:t xml:space="preserve"> at [24])</w:t>
      </w:r>
      <w:r w:rsidR="00B93278" w:rsidRPr="00497C80">
        <w:t>,</w:t>
      </w:r>
      <w:r w:rsidR="0044483C" w:rsidRPr="00497C80">
        <w:t xml:space="preserve"> </w:t>
      </w:r>
      <w:r w:rsidR="005D66C4" w:rsidRPr="00497C80">
        <w:t>an enquiry</w:t>
      </w:r>
      <w:r w:rsidR="00F71D52" w:rsidRPr="00497C80">
        <w:t xml:space="preserve"> into the nature of the present assets, and in particular their</w:t>
      </w:r>
      <w:r w:rsidR="009B4690" w:rsidRPr="00497C80">
        <w:t xml:space="preserve"> future</w:t>
      </w:r>
      <w:r w:rsidR="00F71D52" w:rsidRPr="00497C80">
        <w:t xml:space="preserve"> profit (or loss) generating potential,</w:t>
      </w:r>
      <w:r w:rsidR="0044483C" w:rsidRPr="00497C80">
        <w:t xml:space="preserve"> </w:t>
      </w:r>
      <w:r w:rsidR="00157D9F">
        <w:t>must</w:t>
      </w:r>
      <w:r w:rsidR="009B4690" w:rsidRPr="00497C80">
        <w:t xml:space="preserve"> also</w:t>
      </w:r>
      <w:r w:rsidR="00157D9F">
        <w:t xml:space="preserve"> be</w:t>
      </w:r>
      <w:r w:rsidR="009B4690" w:rsidRPr="00497C80">
        <w:t xml:space="preserve"> relevant</w:t>
      </w:r>
      <w:r w:rsidR="00A169B8">
        <w:t xml:space="preserve"> to</w:t>
      </w:r>
      <w:r w:rsidR="000F6EBF" w:rsidRPr="00497C80">
        <w:t xml:space="preserve"> the assessment of</w:t>
      </w:r>
      <w:r w:rsidR="00C75A12" w:rsidRPr="00497C80">
        <w:t xml:space="preserve"> how</w:t>
      </w:r>
      <w:r w:rsidR="000F6EBF" w:rsidRPr="00497C80">
        <w:t xml:space="preserve"> prospective or contingent liabilities</w:t>
      </w:r>
      <w:r w:rsidR="00C75A12" w:rsidRPr="00497C80">
        <w:t xml:space="preserve"> should be taken into account</w:t>
      </w:r>
      <w:r w:rsidR="000F6EBF" w:rsidRPr="00497C80">
        <w:t xml:space="preserve">. </w:t>
      </w:r>
      <w:r w:rsidR="00B81634" w:rsidRPr="00497C80">
        <w:t xml:space="preserve">Otherwise we </w:t>
      </w:r>
      <w:r w:rsidR="00BF3AA8" w:rsidRPr="00497C80">
        <w:t xml:space="preserve">risk </w:t>
      </w:r>
      <w:r w:rsidR="00B81634" w:rsidRPr="00497C80">
        <w:t>los</w:t>
      </w:r>
      <w:r w:rsidR="00BF3AA8" w:rsidRPr="00497C80">
        <w:t>ing</w:t>
      </w:r>
      <w:r w:rsidR="00B81634" w:rsidRPr="00497C80">
        <w:t xml:space="preserve"> sight</w:t>
      </w:r>
      <w:r w:rsidR="007F52C0" w:rsidRPr="00497C80">
        <w:t xml:space="preserve"> of the key</w:t>
      </w:r>
      <w:r w:rsidR="0090481A" w:rsidRPr="00497C80">
        <w:t xml:space="preserve"> issue for determination, which is whether the company is unable to pay its debts.</w:t>
      </w:r>
    </w:p>
    <w:p w14:paraId="44491AF3" w14:textId="4F2CE376" w:rsidR="00357065" w:rsidRDefault="00911279" w:rsidP="00357065">
      <w:pPr>
        <w:pStyle w:val="BodyText"/>
      </w:pPr>
      <w:bookmarkStart w:id="36" w:name="_Ref117854663"/>
      <w:r>
        <w:t>Fourthly</w:t>
      </w:r>
      <w:r w:rsidR="0005302E">
        <w:t xml:space="preserve">, </w:t>
      </w:r>
      <w:r w:rsidR="0005302E" w:rsidRPr="00A051AA">
        <w:t xml:space="preserve">the Liquidator relied </w:t>
      </w:r>
      <w:r w:rsidR="00962F88" w:rsidRPr="00A051AA">
        <w:t xml:space="preserve">on </w:t>
      </w:r>
      <w:r w:rsidR="00962F88" w:rsidRPr="00A051AA">
        <w:rPr>
          <w:i/>
          <w:iCs/>
        </w:rPr>
        <w:t>Bucci v Carmen</w:t>
      </w:r>
      <w:r w:rsidR="00962F88" w:rsidRPr="00A051AA">
        <w:t xml:space="preserve"> at [38],</w:t>
      </w:r>
      <w:r w:rsidR="00962F88">
        <w:t xml:space="preserve"> where </w:t>
      </w:r>
      <w:r w:rsidR="00357065">
        <w:t xml:space="preserve">Lewison LJ noted at [38] that the experts agreed that </w:t>
      </w:r>
      <w:r w:rsidR="00A17442">
        <w:t xml:space="preserve">the </w:t>
      </w:r>
      <w:r w:rsidR="00357065">
        <w:t>company in question was balance sheet insolvent if a particular loan was given no value, and that whilst that might not be a complete answer to the question of insolvency within s.123(2):</w:t>
      </w:r>
      <w:bookmarkEnd w:id="36"/>
    </w:p>
    <w:p w14:paraId="736A0BE5" w14:textId="4080C3BB" w:rsidR="0093371C" w:rsidRDefault="00A17442" w:rsidP="0093371C">
      <w:pPr>
        <w:pStyle w:val="Citations"/>
      </w:pPr>
      <w:r>
        <w:t xml:space="preserve">“… </w:t>
      </w:r>
      <w:r w:rsidRPr="00A17442">
        <w:t>it is difficult to see how it could not lead to that conclusion in the case of a trading company unless there was credible evidence that the balance sheet would improve in the near future.</w:t>
      </w:r>
      <w:r>
        <w:t>”</w:t>
      </w:r>
    </w:p>
    <w:p w14:paraId="75BBEF18" w14:textId="5053FB8B" w:rsidR="00F106DE" w:rsidRDefault="00F106DE" w:rsidP="00F106DE">
      <w:pPr>
        <w:pStyle w:val="BodyText"/>
      </w:pPr>
      <w:r>
        <w:t xml:space="preserve">The Liquidator contended that </w:t>
      </w:r>
      <w:r w:rsidR="00941844">
        <w:t xml:space="preserve">Comet was balance sheet insolvent </w:t>
      </w:r>
      <w:r w:rsidR="00941844" w:rsidRPr="00AB65C1">
        <w:t xml:space="preserve">both before </w:t>
      </w:r>
      <w:r w:rsidR="00877B60" w:rsidRPr="00AB65C1">
        <w:t>and after</w:t>
      </w:r>
      <w:r w:rsidR="00877B60">
        <w:t xml:space="preserve"> the KIL RCF was repaid</w:t>
      </w:r>
      <w:r w:rsidR="001C3C39">
        <w:t>, and that it was cash flow insolvent</w:t>
      </w:r>
      <w:r w:rsidR="004F6087">
        <w:t xml:space="preserve"> in consequence of it.</w:t>
      </w:r>
      <w:r w:rsidR="005854AA">
        <w:t xml:space="preserve"> Dart</w:t>
      </w:r>
      <w:r w:rsidR="009B7058">
        <w:t xml:space="preserve">y’s position is that Comet was solvent on 3 February 2012 and remained so </w:t>
      </w:r>
      <w:r w:rsidR="006D20F8">
        <w:t>following the Disposal.</w:t>
      </w:r>
    </w:p>
    <w:p w14:paraId="40E5E308" w14:textId="55C5F55B" w:rsidR="006D20F8" w:rsidRDefault="006D20F8" w:rsidP="006D20F8">
      <w:pPr>
        <w:pStyle w:val="Heading2"/>
      </w:pPr>
      <w:r>
        <w:t>Remedy</w:t>
      </w:r>
    </w:p>
    <w:p w14:paraId="266293EE" w14:textId="626C2D84" w:rsidR="006D20F8" w:rsidRDefault="0064320B" w:rsidP="00F106DE">
      <w:pPr>
        <w:pStyle w:val="BodyText"/>
      </w:pPr>
      <w:r>
        <w:t>If</w:t>
      </w:r>
      <w:r w:rsidR="00627032">
        <w:t xml:space="preserve"> the other requirements of s.239</w:t>
      </w:r>
      <w:r w:rsidR="00976273">
        <w:t xml:space="preserve"> are established, s.239(3) </w:t>
      </w:r>
      <w:r w:rsidR="00747265">
        <w:t xml:space="preserve">requires the court to make </w:t>
      </w:r>
      <w:r w:rsidR="00512FDD">
        <w:t xml:space="preserve">“such order as it thinks fit for restoring the position to what it would have been if the company had not given </w:t>
      </w:r>
      <w:r w:rsidR="0047480E">
        <w:t>[</w:t>
      </w:r>
      <w:r w:rsidR="00512FDD">
        <w:t>th</w:t>
      </w:r>
      <w:r w:rsidR="0047480E">
        <w:t>e]</w:t>
      </w:r>
      <w:r w:rsidR="00512FDD">
        <w:t xml:space="preserve"> preference”.</w:t>
      </w:r>
    </w:p>
    <w:p w14:paraId="2747E23B" w14:textId="22460718" w:rsidR="00FB517F" w:rsidRDefault="0004579A" w:rsidP="00CE450B">
      <w:pPr>
        <w:pStyle w:val="BodyText"/>
      </w:pPr>
      <w:r>
        <w:t>In summary, t</w:t>
      </w:r>
      <w:r w:rsidR="00B13F81">
        <w:t>he Liquidator’s claim is for the d</w:t>
      </w:r>
      <w:r w:rsidR="006B70AF">
        <w:t>ifference between the amount actually received</w:t>
      </w:r>
      <w:r w:rsidR="00060652">
        <w:t xml:space="preserve"> (being</w:t>
      </w:r>
      <w:r w:rsidR="00313D6B">
        <w:t xml:space="preserve"> </w:t>
      </w:r>
      <w:r w:rsidR="00060652">
        <w:t xml:space="preserve">£115.4m of </w:t>
      </w:r>
      <w:r w:rsidR="00313D6B">
        <w:t>a pre-existing debt of £129m</w:t>
      </w:r>
      <w:r w:rsidR="00CA6E9B">
        <w:t>, or 89</w:t>
      </w:r>
      <w:r w:rsidR="00860FDA">
        <w:t>p/£</w:t>
      </w:r>
      <w:r w:rsidR="00313D6B">
        <w:t>)</w:t>
      </w:r>
      <w:r w:rsidR="006B70AF">
        <w:t xml:space="preserve"> and the counterfactual dividend</w:t>
      </w:r>
      <w:r w:rsidR="00A35BD1">
        <w:t xml:space="preserve"> that would have been paid on a </w:t>
      </w:r>
      <w:r w:rsidR="007E20DF">
        <w:t>liquidation</w:t>
      </w:r>
      <w:r w:rsidR="00090BA7">
        <w:t xml:space="preserve"> on a proof of </w:t>
      </w:r>
      <w:r w:rsidR="00BF3AE1">
        <w:t>£129m</w:t>
      </w:r>
      <w:r w:rsidR="005F121F">
        <w:t xml:space="preserve"> (</w:t>
      </w:r>
      <w:r w:rsidR="00EB2F75">
        <w:t xml:space="preserve">£14.7m </w:t>
      </w:r>
      <w:r w:rsidR="00CE5357">
        <w:t xml:space="preserve">or </w:t>
      </w:r>
      <w:r w:rsidR="00EC7650">
        <w:t xml:space="preserve">11.4p/£, as discussed </w:t>
      </w:r>
      <w:r w:rsidR="009F1767">
        <w:t>below</w:t>
      </w:r>
      <w:r w:rsidR="00CE5357">
        <w:t xml:space="preserve"> at [</w:t>
      </w:r>
      <w:r w:rsidR="00E94FD5">
        <w:fldChar w:fldCharType="begin"/>
      </w:r>
      <w:r w:rsidR="00E94FD5">
        <w:instrText xml:space="preserve"> REF _Ref118458067 \r \h </w:instrText>
      </w:r>
      <w:r w:rsidR="00E94FD5">
        <w:fldChar w:fldCharType="separate"/>
      </w:r>
      <w:r w:rsidR="00E762C8">
        <w:t>193</w:t>
      </w:r>
      <w:r w:rsidR="00E94FD5">
        <w:fldChar w:fldCharType="end"/>
      </w:r>
      <w:r w:rsidR="00CE5357">
        <w:t>] to [</w:t>
      </w:r>
      <w:r w:rsidR="00E94FD5">
        <w:fldChar w:fldCharType="begin"/>
      </w:r>
      <w:r w:rsidR="00E94FD5">
        <w:instrText xml:space="preserve"> REF _Ref118458085 \r \h </w:instrText>
      </w:r>
      <w:r w:rsidR="00E94FD5">
        <w:fldChar w:fldCharType="separate"/>
      </w:r>
      <w:r w:rsidR="00E762C8">
        <w:t>200</w:t>
      </w:r>
      <w:r w:rsidR="00E94FD5">
        <w:fldChar w:fldCharType="end"/>
      </w:r>
      <w:r w:rsidR="00CE5357">
        <w:t>])</w:t>
      </w:r>
      <w:r w:rsidR="007E20DF">
        <w:t>.</w:t>
      </w:r>
      <w:r>
        <w:t xml:space="preserve"> </w:t>
      </w:r>
      <w:r w:rsidR="00547246">
        <w:t xml:space="preserve">In contrast, </w:t>
      </w:r>
      <w:r w:rsidR="009A14C0">
        <w:t>Darty relies on the court’s discretion being wide enough to make no order</w:t>
      </w:r>
      <w:r w:rsidR="00C87134">
        <w:t xml:space="preserve"> at all</w:t>
      </w:r>
      <w:r w:rsidR="00BC3A49">
        <w:t xml:space="preserve"> if justi</w:t>
      </w:r>
      <w:r w:rsidR="006E78A4">
        <w:t>ce so requires</w:t>
      </w:r>
      <w:r w:rsidR="00C87134">
        <w:t xml:space="preserve">: </w:t>
      </w:r>
      <w:r w:rsidR="00C87134" w:rsidRPr="0004579A">
        <w:rPr>
          <w:i/>
          <w:iCs/>
        </w:rPr>
        <w:t>Re Paramount Airways</w:t>
      </w:r>
      <w:r w:rsidR="00C87134" w:rsidRPr="00C87134">
        <w:t xml:space="preserve"> [1993] Ch 223</w:t>
      </w:r>
      <w:r w:rsidR="00EC0AAD">
        <w:t>,</w:t>
      </w:r>
      <w:r w:rsidR="00C87134" w:rsidRPr="00C87134">
        <w:t xml:space="preserve"> 239</w:t>
      </w:r>
      <w:r w:rsidR="001D3B09">
        <w:t>,</w:t>
      </w:r>
      <w:r w:rsidR="00CE2C88">
        <w:t xml:space="preserve"> on the basis </w:t>
      </w:r>
      <w:r w:rsidR="00F54FC1">
        <w:t xml:space="preserve">that </w:t>
      </w:r>
      <w:r w:rsidR="00F5374E">
        <w:t>“</w:t>
      </w:r>
      <w:r w:rsidR="00F54FC1">
        <w:t>exceptional circumstances</w:t>
      </w:r>
      <w:r w:rsidR="00F5374E">
        <w:t>”</w:t>
      </w:r>
      <w:r w:rsidR="00F54FC1">
        <w:t xml:space="preserve"> exist</w:t>
      </w:r>
      <w:r w:rsidR="004B5D09">
        <w:t xml:space="preserve">. </w:t>
      </w:r>
      <w:r w:rsidR="00061035">
        <w:t>(The concept o</w:t>
      </w:r>
      <w:r w:rsidR="00856706">
        <w:t xml:space="preserve">f exceptional circumstances </w:t>
      </w:r>
      <w:r w:rsidR="00D325DF">
        <w:t>was</w:t>
      </w:r>
      <w:r w:rsidR="00856706">
        <w:t xml:space="preserve"> discussed further by Mann J in </w:t>
      </w:r>
      <w:r w:rsidR="00196975" w:rsidRPr="00845097">
        <w:rPr>
          <w:i/>
          <w:iCs/>
        </w:rPr>
        <w:t>Stonham v Ramrattan</w:t>
      </w:r>
      <w:r w:rsidR="00196975" w:rsidRPr="00203760">
        <w:t xml:space="preserve"> [2010] BPIR 1210 at [40]</w:t>
      </w:r>
      <w:r w:rsidR="00D325DF">
        <w:t xml:space="preserve">, and more recently by Trower J in </w:t>
      </w:r>
      <w:r w:rsidR="00D325DF" w:rsidRPr="003308B9">
        <w:rPr>
          <w:i/>
          <w:iCs/>
        </w:rPr>
        <w:t>Re Fowlds</w:t>
      </w:r>
      <w:r w:rsidR="00D325DF" w:rsidRPr="00203760">
        <w:t xml:space="preserve"> [2022] 1 WLR 61</w:t>
      </w:r>
      <w:r w:rsidR="003D676F">
        <w:t>.)</w:t>
      </w:r>
    </w:p>
    <w:p w14:paraId="092B1CE4" w14:textId="7C872105" w:rsidR="0092744F" w:rsidRDefault="001D3B09" w:rsidP="00CE450B">
      <w:pPr>
        <w:pStyle w:val="BodyText"/>
      </w:pPr>
      <w:bookmarkStart w:id="37" w:name="_Ref118464112"/>
      <w:r>
        <w:t>Darty</w:t>
      </w:r>
      <w:r w:rsidR="002C5122">
        <w:t xml:space="preserve"> says </w:t>
      </w:r>
      <w:r w:rsidR="00E45F73">
        <w:t>that where</w:t>
      </w:r>
      <w:r>
        <w:t>,</w:t>
      </w:r>
      <w:r w:rsidR="00E45F73">
        <w:t xml:space="preserve"> as here</w:t>
      </w:r>
      <w:r>
        <w:t>,</w:t>
      </w:r>
      <w:r w:rsidR="00E45F73">
        <w:t xml:space="preserve"> the preference took place in the context of a wider transaction </w:t>
      </w:r>
      <w:r w:rsidR="00F85CEA" w:rsidRPr="00F85CEA">
        <w:t>it “would not be fair or appropriate to leave that wider context out of account when considering what order the court should make in the exercise of its discretion”</w:t>
      </w:r>
      <w:r w:rsidR="00E45F73">
        <w:t xml:space="preserve">: </w:t>
      </w:r>
      <w:r w:rsidR="00E45F73" w:rsidRPr="0004579A">
        <w:rPr>
          <w:i/>
          <w:iCs/>
        </w:rPr>
        <w:t>Re Claridge</w:t>
      </w:r>
      <w:r w:rsidR="00E45F73" w:rsidRPr="00EB5F5A">
        <w:t xml:space="preserve"> [2011] BPIR 1429</w:t>
      </w:r>
      <w:r w:rsidR="00E45F73">
        <w:t xml:space="preserve"> at [42].</w:t>
      </w:r>
      <w:r w:rsidR="00C96365">
        <w:t xml:space="preserve"> </w:t>
      </w:r>
      <w:r w:rsidR="009D797D">
        <w:t xml:space="preserve">It points out that the court is not permitted to </w:t>
      </w:r>
      <w:r w:rsidR="009D797D" w:rsidRPr="00195A09">
        <w:t xml:space="preserve">reconstruct the position to what it would have been if an entirely different transaction had been entered into: </w:t>
      </w:r>
      <w:r w:rsidR="009D797D" w:rsidRPr="0004579A">
        <w:rPr>
          <w:i/>
          <w:iCs/>
        </w:rPr>
        <w:t>Re MDA Investment Management</w:t>
      </w:r>
      <w:r w:rsidR="009D797D">
        <w:t xml:space="preserve"> </w:t>
      </w:r>
      <w:r w:rsidR="009D797D" w:rsidRPr="00413A2A">
        <w:t>[2005] BCC 783</w:t>
      </w:r>
      <w:r w:rsidR="009D797D">
        <w:t xml:space="preserve"> at [123]. </w:t>
      </w:r>
      <w:r w:rsidR="00C96365">
        <w:t>Further</w:t>
      </w:r>
      <w:r w:rsidR="003041A7">
        <w:t xml:space="preserve">, </w:t>
      </w:r>
      <w:r w:rsidR="009D797D">
        <w:t>Darty says that</w:t>
      </w:r>
      <w:r w:rsidR="003041A7">
        <w:t xml:space="preserve"> </w:t>
      </w:r>
      <w:r w:rsidR="00F5374E">
        <w:t xml:space="preserve">it </w:t>
      </w:r>
      <w:r w:rsidR="003041A7">
        <w:t>would be wrong in principle to make any remedial order in circumstances where the real issue was the grant of the debenture to HA</w:t>
      </w:r>
      <w:r w:rsidR="0020589E">
        <w:t>L, and that entity would be the main beneficiary of any recovery by the Liquidator.</w:t>
      </w:r>
      <w:bookmarkEnd w:id="37"/>
    </w:p>
    <w:p w14:paraId="08308664" w14:textId="64D5EC58" w:rsidR="00180A6B" w:rsidRDefault="000903B5" w:rsidP="000903B5">
      <w:pPr>
        <w:pStyle w:val="Heading1"/>
        <w:spacing w:before="480"/>
      </w:pPr>
      <w:r>
        <w:t>Was Comet insolvent on 3 February 2012?</w:t>
      </w:r>
    </w:p>
    <w:p w14:paraId="4B0511FD" w14:textId="24094722" w:rsidR="00C4590F" w:rsidRDefault="00C4590F" w:rsidP="000903B5">
      <w:pPr>
        <w:pStyle w:val="BodyText"/>
      </w:pPr>
      <w:bookmarkStart w:id="38" w:name="_Ref118464121"/>
      <w:r>
        <w:t>I deal first with the question of whether Comet was in fact insolvent</w:t>
      </w:r>
      <w:r w:rsidR="008C6EBD">
        <w:t xml:space="preserve"> at the relevant time.</w:t>
      </w:r>
      <w:bookmarkEnd w:id="38"/>
    </w:p>
    <w:p w14:paraId="62569CAF" w14:textId="59591EF2" w:rsidR="00060253" w:rsidRDefault="002A22F5" w:rsidP="000903B5">
      <w:pPr>
        <w:pStyle w:val="BodyText"/>
      </w:pPr>
      <w:bookmarkStart w:id="39" w:name="_Ref118192058"/>
      <w:r>
        <w:t xml:space="preserve">The </w:t>
      </w:r>
      <w:r w:rsidR="000C4CC8">
        <w:t xml:space="preserve">Completion Minutes </w:t>
      </w:r>
      <w:r w:rsidR="00AA31D5">
        <w:t>recorded the following consideration and determination by the New Board:</w:t>
      </w:r>
      <w:bookmarkEnd w:id="39"/>
    </w:p>
    <w:p w14:paraId="329C6605" w14:textId="355AE1E6" w:rsidR="00D6721E" w:rsidRPr="00D6721E" w:rsidRDefault="00AF2404" w:rsidP="00D6721E">
      <w:pPr>
        <w:pStyle w:val="Citations"/>
        <w:rPr>
          <w:b/>
          <w:bCs/>
        </w:rPr>
      </w:pPr>
      <w:r>
        <w:rPr>
          <w:b/>
          <w:bCs/>
        </w:rPr>
        <w:t>“</w:t>
      </w:r>
      <w:r w:rsidR="00D6721E" w:rsidRPr="00D6721E">
        <w:rPr>
          <w:b/>
          <w:bCs/>
        </w:rPr>
        <w:t>16</w:t>
      </w:r>
      <w:r>
        <w:rPr>
          <w:b/>
          <w:bCs/>
        </w:rPr>
        <w:t>.</w:t>
      </w:r>
      <w:r w:rsidR="00D6721E" w:rsidRPr="00D6721E">
        <w:rPr>
          <w:b/>
          <w:bCs/>
        </w:rPr>
        <w:t xml:space="preserve"> Assessment of the current financial position of the Company </w:t>
      </w:r>
    </w:p>
    <w:p w14:paraId="4225E6DC" w14:textId="0EAF8350" w:rsidR="00D6721E" w:rsidRDefault="00D6721E" w:rsidP="00D6721E">
      <w:pPr>
        <w:pStyle w:val="Citations"/>
      </w:pPr>
      <w:r>
        <w:t xml:space="preserve">16.1 A copy of the Company's business plan, for the period of 18 months from the Completion Date, was produced to the meeting (the </w:t>
      </w:r>
      <w:r w:rsidR="00E24F45">
        <w:t>“</w:t>
      </w:r>
      <w:r>
        <w:t>Business Plan</w:t>
      </w:r>
      <w:r w:rsidR="00E24F45">
        <w:t>”</w:t>
      </w:r>
      <w:r>
        <w:t xml:space="preserve">). </w:t>
      </w:r>
    </w:p>
    <w:p w14:paraId="43165160" w14:textId="77777777" w:rsidR="00D6721E" w:rsidRDefault="00D6721E" w:rsidP="00D6721E">
      <w:pPr>
        <w:pStyle w:val="Citations"/>
      </w:pPr>
      <w:r>
        <w:t xml:space="preserve">16.2 The Continuing Directors reviewed the financial position of the Company in light of: </w:t>
      </w:r>
    </w:p>
    <w:p w14:paraId="4A3CA658" w14:textId="1E03ABDC" w:rsidR="00D6721E" w:rsidRDefault="00D6721E" w:rsidP="00422CDE">
      <w:pPr>
        <w:pStyle w:val="Citations"/>
        <w:ind w:left="1440"/>
      </w:pPr>
      <w:r>
        <w:t xml:space="preserve">16.2.1 the Business Plan, including the assumptions underlying it; </w:t>
      </w:r>
    </w:p>
    <w:p w14:paraId="13C648FA" w14:textId="5164D795" w:rsidR="00D6721E" w:rsidRDefault="00D6721E" w:rsidP="00422CDE">
      <w:pPr>
        <w:pStyle w:val="Citations"/>
        <w:ind w:left="1440"/>
      </w:pPr>
      <w:r>
        <w:t xml:space="preserve">16.2.2 the availability, and terms and conditions, of the ABL Facility Agreement; and </w:t>
      </w:r>
    </w:p>
    <w:p w14:paraId="42EB83A6" w14:textId="77777777" w:rsidR="00D6721E" w:rsidRDefault="00D6721E" w:rsidP="00422CDE">
      <w:pPr>
        <w:pStyle w:val="Citations"/>
        <w:ind w:left="1440"/>
      </w:pPr>
      <w:r>
        <w:t xml:space="preserve">16.2.3 the availability, and terms and conditions, of the RCF Agreement. </w:t>
      </w:r>
    </w:p>
    <w:p w14:paraId="0887F487" w14:textId="6535EF29" w:rsidR="00D6721E" w:rsidRDefault="00D6721E" w:rsidP="00D6721E">
      <w:pPr>
        <w:pStyle w:val="Citations"/>
      </w:pPr>
      <w:r>
        <w:t xml:space="preserve">16.3 The Continuing Directors noted that, given the fact that, without additional funding; the Company would inevitably run out of cash in the foreseeable future, the Continuing Directors have been advised that they must consider the interests of creditors of the Company as a </w:t>
      </w:r>
    </w:p>
    <w:p w14:paraId="62BC8C73" w14:textId="77777777" w:rsidR="00D6721E" w:rsidRDefault="00D6721E" w:rsidP="00D6721E">
      <w:pPr>
        <w:pStyle w:val="Citations"/>
      </w:pPr>
      <w:r>
        <w:t xml:space="preserve">whole. </w:t>
      </w:r>
    </w:p>
    <w:p w14:paraId="34941AB6" w14:textId="6CADF544" w:rsidR="00D6721E" w:rsidRDefault="00D6721E" w:rsidP="00D6721E">
      <w:pPr>
        <w:pStyle w:val="Citations"/>
      </w:pPr>
      <w:r>
        <w:t>16.4 On the basis of the Continuing Directors</w:t>
      </w:r>
      <w:r w:rsidR="006106BD">
        <w:t>’</w:t>
      </w:r>
      <w:r>
        <w:t xml:space="preserve"> knowledge of the Company</w:t>
      </w:r>
      <w:r w:rsidR="006106BD">
        <w:t>’</w:t>
      </w:r>
      <w:r>
        <w:t xml:space="preserve">s financial position, the Continuing Directors considered whether the Company was presently unable to pay its debts, or would be so unable immediately following completion of the Completion and Finance Documents and the Post-Completion Documents, for the purposes of section 123 of the Insolvency Act 1986. The Continuing Directors considered in particular whether: </w:t>
      </w:r>
    </w:p>
    <w:p w14:paraId="795D76C3" w14:textId="2145AA0D" w:rsidR="00D6721E" w:rsidRDefault="00D6721E" w:rsidP="00422CDE">
      <w:pPr>
        <w:pStyle w:val="Citations"/>
        <w:ind w:left="1440"/>
      </w:pPr>
      <w:r>
        <w:t xml:space="preserve">16.4.1 any creditor to whom the Company owed over £750 had served on the Company a statutory demand for the sum due which the Company had failed to pay within three weeks or otherwise deal with; </w:t>
      </w:r>
    </w:p>
    <w:p w14:paraId="7429868B" w14:textId="30EB6D2B" w:rsidR="00D6721E" w:rsidRDefault="002440FB" w:rsidP="00422CDE">
      <w:pPr>
        <w:pStyle w:val="Citations"/>
        <w:ind w:left="1440"/>
      </w:pPr>
      <w:r>
        <w:t xml:space="preserve">16.4.2 </w:t>
      </w:r>
      <w:r w:rsidR="00D6721E">
        <w:t xml:space="preserve">any creditor had obtained a judgment against the Company which had not been satisfied; </w:t>
      </w:r>
    </w:p>
    <w:p w14:paraId="4F1C2542" w14:textId="21AE9218" w:rsidR="00D6721E" w:rsidRDefault="002440FB" w:rsidP="00422CDE">
      <w:pPr>
        <w:pStyle w:val="Citations"/>
        <w:ind w:left="1440"/>
      </w:pPr>
      <w:r>
        <w:t xml:space="preserve">16.4.3 </w:t>
      </w:r>
      <w:r w:rsidR="00D6721E">
        <w:t xml:space="preserve">the Company was presently unable to pay its debts as they fell due; and </w:t>
      </w:r>
    </w:p>
    <w:p w14:paraId="53624887" w14:textId="5C7F03BD" w:rsidR="00D6721E" w:rsidRDefault="00D6721E" w:rsidP="00422CDE">
      <w:pPr>
        <w:pStyle w:val="Citations"/>
        <w:ind w:left="1440"/>
      </w:pPr>
      <w:r>
        <w:t xml:space="preserve">16.4.4 </w:t>
      </w:r>
      <w:r w:rsidR="00422CDE">
        <w:t>the value of the Company</w:t>
      </w:r>
      <w:r w:rsidR="006106BD">
        <w:t>’</w:t>
      </w:r>
      <w:r w:rsidR="00422CDE">
        <w:t xml:space="preserve">s assets (valued for these purposes at their </w:t>
      </w:r>
      <w:r w:rsidR="00422CDE" w:rsidRPr="00F5374E">
        <w:t>real</w:t>
      </w:r>
      <w:r w:rsidR="00422CDE">
        <w:t>, rather than simply their book, values) is presently less than the amount of its liabilities, taking into account for these purposes the Company</w:t>
      </w:r>
      <w:r w:rsidR="00E276BC">
        <w:t>’</w:t>
      </w:r>
      <w:r w:rsidR="00422CDE">
        <w:t>s contingent and prospective liabilities.</w:t>
      </w:r>
    </w:p>
    <w:p w14:paraId="0A50958E" w14:textId="5B28BD24" w:rsidR="00AA31D5" w:rsidRDefault="00D6721E" w:rsidP="00D6721E">
      <w:pPr>
        <w:pStyle w:val="Citations"/>
      </w:pPr>
      <w:r>
        <w:t>16.5 Having considered all of the above, and having concluded in particular that the answer to each of the questions set out in paragraphs 16.4.1 to 16.4.4 was in the negative, the meeting concluded that the Company was not unable to pay its debts for the purposes of section 123 of the Insolvency Act 1986 and immediately following the date on which the Completion and Finance Documents and the Post-Completion Documents are signed, there would be no ground on which the Company could then be found to be unable to pay its debts for the purposes of section 123 of the Insolvency Act 1986.</w:t>
      </w:r>
      <w:r w:rsidR="00422CDE">
        <w:t>”</w:t>
      </w:r>
    </w:p>
    <w:p w14:paraId="2B350897" w14:textId="23080F12" w:rsidR="000903B5" w:rsidRDefault="00E41EF4" w:rsidP="000903B5">
      <w:pPr>
        <w:pStyle w:val="BodyText"/>
      </w:pPr>
      <w:r>
        <w:t xml:space="preserve">Both experts were asked to </w:t>
      </w:r>
      <w:r w:rsidR="00B54E73">
        <w:t>opine on Comet</w:t>
      </w:r>
      <w:r w:rsidR="009F2FDC">
        <w:t>’s</w:t>
      </w:r>
      <w:r w:rsidR="00B54E73">
        <w:t xml:space="preserve"> balance sheet solven</w:t>
      </w:r>
      <w:r w:rsidR="009F2FDC">
        <w:t>cy</w:t>
      </w:r>
      <w:r w:rsidR="00B54E73">
        <w:t xml:space="preserve"> </w:t>
      </w:r>
      <w:r w:rsidR="00CC5320">
        <w:t xml:space="preserve">within s.123(2) IA 1986 </w:t>
      </w:r>
      <w:r w:rsidR="00B54E73">
        <w:t>on 3 February 2012.</w:t>
      </w:r>
      <w:r w:rsidR="00E1580A">
        <w:t xml:space="preserve"> Mr Lewis was also </w:t>
      </w:r>
      <w:r w:rsidR="00CC5320">
        <w:t>asked to opine</w:t>
      </w:r>
      <w:r w:rsidR="00A12A5D">
        <w:t xml:space="preserve"> </w:t>
      </w:r>
      <w:r w:rsidR="00CA3E7E">
        <w:t>on</w:t>
      </w:r>
      <w:r w:rsidR="00276824">
        <w:t xml:space="preserve"> cash flow solven</w:t>
      </w:r>
      <w:r w:rsidR="00CA3E7E">
        <w:t>cy</w:t>
      </w:r>
      <w:r w:rsidR="007C4CCA">
        <w:t xml:space="preserve"> within s.123(1)(e)</w:t>
      </w:r>
      <w:r w:rsidR="00276824">
        <w:t>.</w:t>
      </w:r>
      <w:r w:rsidR="002744BB">
        <w:t xml:space="preserve"> Mr Ellison</w:t>
      </w:r>
      <w:r w:rsidR="00A12A5D">
        <w:t xml:space="preserve">’s </w:t>
      </w:r>
      <w:r w:rsidR="00EE108D">
        <w:t>opinion was not sought</w:t>
      </w:r>
      <w:r w:rsidR="002744BB">
        <w:t xml:space="preserve"> on </w:t>
      </w:r>
      <w:r w:rsidR="00EE108D">
        <w:t>cash flow insolvency</w:t>
      </w:r>
      <w:r w:rsidR="00AA7BF7">
        <w:t xml:space="preserve"> on the basis that it t</w:t>
      </w:r>
      <w:r w:rsidR="00877C0F">
        <w:t>urned on an evaluation of the evidence</w:t>
      </w:r>
      <w:r w:rsidR="007C4CCA">
        <w:t>.</w:t>
      </w:r>
      <w:r w:rsidR="00C93462">
        <w:t xml:space="preserve"> I will address balance sheet insolvency first.</w:t>
      </w:r>
    </w:p>
    <w:p w14:paraId="247567D1" w14:textId="4CFD5F10" w:rsidR="00D17148" w:rsidRDefault="007F3A53" w:rsidP="00E40B94">
      <w:pPr>
        <w:pStyle w:val="Heading2"/>
      </w:pPr>
      <w:r>
        <w:t>Balance sheet insolvency</w:t>
      </w:r>
    </w:p>
    <w:p w14:paraId="2F34D9A8" w14:textId="62309935" w:rsidR="007F3A53" w:rsidRDefault="000F453C" w:rsidP="007F3A53">
      <w:pPr>
        <w:pStyle w:val="BodyText"/>
      </w:pPr>
      <w:r>
        <w:t>By far the</w:t>
      </w:r>
      <w:r w:rsidR="008B5B4B">
        <w:t xml:space="preserve"> </w:t>
      </w:r>
      <w:r w:rsidR="003C6621">
        <w:t xml:space="preserve">most significant </w:t>
      </w:r>
      <w:r w:rsidR="00442DD2">
        <w:t>debate</w:t>
      </w:r>
      <w:r w:rsidR="009E3528">
        <w:t xml:space="preserve"> between </w:t>
      </w:r>
      <w:r w:rsidR="00BF656E">
        <w:t>the experts</w:t>
      </w:r>
      <w:r w:rsidR="00373901">
        <w:t xml:space="preserve"> in relation to balance sheet solvency</w:t>
      </w:r>
      <w:r w:rsidR="00D1314F">
        <w:t xml:space="preserve"> related </w:t>
      </w:r>
      <w:r w:rsidR="003C6621">
        <w:t>to</w:t>
      </w:r>
      <w:r w:rsidR="00373901">
        <w:t xml:space="preserve"> whether </w:t>
      </w:r>
      <w:r w:rsidR="002304F5">
        <w:t>Comet’s assets should include</w:t>
      </w:r>
      <w:r w:rsidR="00652C0F">
        <w:t xml:space="preserve"> a </w:t>
      </w:r>
      <w:r w:rsidR="00676F39">
        <w:t xml:space="preserve">material </w:t>
      </w:r>
      <w:r w:rsidR="00652C0F">
        <w:t>deferred tax asset</w:t>
      </w:r>
      <w:r w:rsidR="00F46C49">
        <w:t xml:space="preserve"> (“DTA”)</w:t>
      </w:r>
      <w:r w:rsidR="00656201">
        <w:t xml:space="preserve"> </w:t>
      </w:r>
      <w:r w:rsidR="00A86378">
        <w:t xml:space="preserve">that had been included in the FY2011 </w:t>
      </w:r>
      <w:r w:rsidR="002208C8">
        <w:t>statutory</w:t>
      </w:r>
      <w:r w:rsidR="00A86378">
        <w:t xml:space="preserve"> acco</w:t>
      </w:r>
      <w:r w:rsidR="002208C8">
        <w:t>unts</w:t>
      </w:r>
      <w:r w:rsidR="00E01C3D">
        <w:t>, with Mr Ellison opining that it should not</w:t>
      </w:r>
      <w:r w:rsidR="0058115F">
        <w:t xml:space="preserve"> and Mr Lewis</w:t>
      </w:r>
      <w:r w:rsidR="002208C8">
        <w:t xml:space="preserve"> concluding that he was unable </w:t>
      </w:r>
      <w:r w:rsidR="007B241F">
        <w:t xml:space="preserve">to draw a definitive conclusion in the absence of long term forecasts from around the date of the </w:t>
      </w:r>
      <w:r w:rsidR="004F5F7E">
        <w:t>transaction</w:t>
      </w:r>
      <w:r w:rsidR="007B241F">
        <w:t>.</w:t>
      </w:r>
      <w:r w:rsidR="004F5F7E">
        <w:t xml:space="preserve"> </w:t>
      </w:r>
      <w:r w:rsidR="000146A1">
        <w:t xml:space="preserve">There was </w:t>
      </w:r>
      <w:r w:rsidR="009B4CCF">
        <w:t xml:space="preserve">also </w:t>
      </w:r>
      <w:r w:rsidR="00861FC6">
        <w:t xml:space="preserve">some debate </w:t>
      </w:r>
      <w:r w:rsidR="000470B3">
        <w:t>about</w:t>
      </w:r>
      <w:r w:rsidR="00B904B3">
        <w:t xml:space="preserve"> the impact of the </w:t>
      </w:r>
      <w:r w:rsidR="00060253">
        <w:t>statement</w:t>
      </w:r>
      <w:r w:rsidR="00E276BC">
        <w:t>s</w:t>
      </w:r>
      <w:r w:rsidR="00060253">
        <w:t xml:space="preserve"> </w:t>
      </w:r>
      <w:r w:rsidR="00E276BC">
        <w:t xml:space="preserve">about solvency in the </w:t>
      </w:r>
      <w:r w:rsidR="009A1267">
        <w:t>Completion Minutes</w:t>
      </w:r>
      <w:r w:rsidR="00C7027C">
        <w:t>, the revolving facilities</w:t>
      </w:r>
      <w:r w:rsidR="009B4CCF">
        <w:t xml:space="preserve"> and </w:t>
      </w:r>
      <w:r w:rsidR="00525F83">
        <w:t>the likelihood of parental support</w:t>
      </w:r>
      <w:r w:rsidR="00F84AD0">
        <w:t>.</w:t>
      </w:r>
    </w:p>
    <w:p w14:paraId="01D1985C" w14:textId="04DF98A7" w:rsidR="00F84AD0" w:rsidRDefault="00A16656" w:rsidP="007F3A53">
      <w:pPr>
        <w:pStyle w:val="BodyText"/>
      </w:pPr>
      <w:r>
        <w:t>D</w:t>
      </w:r>
      <w:r w:rsidR="00F84AD0">
        <w:t xml:space="preserve">espite being asked to opine </w:t>
      </w:r>
      <w:r>
        <w:t>by reference to</w:t>
      </w:r>
      <w:r w:rsidR="00F84AD0">
        <w:t xml:space="preserve"> the statutory test and referring to </w:t>
      </w:r>
      <w:r w:rsidR="00F84AD0" w:rsidRPr="00EC5FCF">
        <w:rPr>
          <w:i/>
          <w:iCs/>
        </w:rPr>
        <w:t>Eurosail</w:t>
      </w:r>
      <w:r w:rsidR="00EC5FCF">
        <w:t xml:space="preserve">, Mr Lewis gave no indication in his </w:t>
      </w:r>
      <w:r w:rsidR="00C7027C">
        <w:t>report that there were any other major issues that the court should consider</w:t>
      </w:r>
      <w:r w:rsidR="00D7066A">
        <w:t>.</w:t>
      </w:r>
      <w:r w:rsidR="00F46C49">
        <w:t xml:space="preserve"> Rather, he devote</w:t>
      </w:r>
      <w:r w:rsidR="004E1E28">
        <w:t>d</w:t>
      </w:r>
      <w:r w:rsidR="00F46C49">
        <w:t xml:space="preserve"> some 15 pages specifically to the </w:t>
      </w:r>
      <w:r w:rsidR="00F55910">
        <w:t>DTA issue</w:t>
      </w:r>
      <w:r w:rsidR="00AF3B7D">
        <w:t xml:space="preserve"> and </w:t>
      </w:r>
      <w:r w:rsidR="00C946C0">
        <w:t>fewer than four</w:t>
      </w:r>
      <w:r w:rsidR="00AF3B7D">
        <w:t xml:space="preserve"> pages to the more general</w:t>
      </w:r>
      <w:r w:rsidR="00C946C0">
        <w:t xml:space="preserve"> question of balance sheet solvency and the</w:t>
      </w:r>
      <w:r w:rsidR="00AF3B7D">
        <w:t xml:space="preserve"> solvency assessment in the Completion Minutes</w:t>
      </w:r>
      <w:r w:rsidR="00C946C0">
        <w:t>.</w:t>
      </w:r>
    </w:p>
    <w:p w14:paraId="5679C6CD" w14:textId="1129229B" w:rsidR="008B3172" w:rsidRDefault="008B3172" w:rsidP="007F3A53">
      <w:pPr>
        <w:pStyle w:val="BodyText"/>
      </w:pPr>
      <w:r>
        <w:t>In written opening submissions</w:t>
      </w:r>
      <w:r w:rsidR="00CE6110">
        <w:t xml:space="preserve"> Darty criticised</w:t>
      </w:r>
      <w:r>
        <w:t xml:space="preserve"> the Liquidator</w:t>
      </w:r>
      <w:r w:rsidR="00A16656">
        <w:t xml:space="preserve"> and Mr Ellison</w:t>
      </w:r>
      <w:r>
        <w:t xml:space="preserve"> </w:t>
      </w:r>
      <w:r w:rsidR="00CE6110">
        <w:t>for doing</w:t>
      </w:r>
      <w:r>
        <w:t xml:space="preserve"> exactly what should not be done, namely</w:t>
      </w:r>
      <w:r w:rsidR="00C041D4">
        <w:t xml:space="preserve"> to</w:t>
      </w:r>
      <w:r>
        <w:t xml:space="preserve"> approach</w:t>
      </w:r>
      <w:r w:rsidR="00CE6110">
        <w:t xml:space="preserve"> the balance sheet in a mechanical way</w:t>
      </w:r>
      <w:r>
        <w:t xml:space="preserve"> </w:t>
      </w:r>
      <w:r w:rsidR="00B8419F">
        <w:t xml:space="preserve">rather than </w:t>
      </w:r>
      <w:r w:rsidR="00A16656">
        <w:t xml:space="preserve">to </w:t>
      </w:r>
      <w:r w:rsidR="00B8419F">
        <w:t xml:space="preserve">consider whether Comet </w:t>
      </w:r>
      <w:r w:rsidR="00A03987">
        <w:t>could reasonably be expected to meet its liabilities.</w:t>
      </w:r>
      <w:r w:rsidR="00AD6303">
        <w:t xml:space="preserve"> </w:t>
      </w:r>
      <w:r w:rsidR="00A16656">
        <w:t>Darty</w:t>
      </w:r>
      <w:r w:rsidR="00AD6303">
        <w:t xml:space="preserve"> </w:t>
      </w:r>
      <w:r w:rsidR="00AF04C6">
        <w:t xml:space="preserve">also pointed out that the </w:t>
      </w:r>
      <w:r w:rsidR="00A16656">
        <w:t>D</w:t>
      </w:r>
      <w:r w:rsidR="00AF04C6">
        <w:t xml:space="preserve">isposal led to </w:t>
      </w:r>
      <w:r w:rsidR="00A16656">
        <w:t>a</w:t>
      </w:r>
      <w:r w:rsidR="00AF04C6">
        <w:t xml:space="preserve"> significant improvement in </w:t>
      </w:r>
      <w:r w:rsidR="00A16656">
        <w:t>Comet’s</w:t>
      </w:r>
      <w:r w:rsidR="00AF04C6">
        <w:t xml:space="preserve"> balance sheet.</w:t>
      </w:r>
    </w:p>
    <w:p w14:paraId="6C1A35C6" w14:textId="5B212DF6" w:rsidR="002F666B" w:rsidRDefault="005D7B84" w:rsidP="007F3A53">
      <w:pPr>
        <w:pStyle w:val="BodyText"/>
      </w:pPr>
      <w:r>
        <w:t xml:space="preserve">Darty took a different approach at trial, maintaining by the </w:t>
      </w:r>
      <w:r w:rsidR="000C0F52">
        <w:t xml:space="preserve">time of closing submissions that the DTA was effectively beside the point because it was </w:t>
      </w:r>
      <w:r w:rsidR="000C0F52" w:rsidRPr="0009255D">
        <w:t>not a present asset</w:t>
      </w:r>
      <w:r w:rsidR="000C0F52">
        <w:t>. Rather</w:t>
      </w:r>
      <w:r w:rsidR="00C562E6">
        <w:t xml:space="preserve">, </w:t>
      </w:r>
      <w:r w:rsidR="00A16656">
        <w:t>Darty</w:t>
      </w:r>
      <w:r w:rsidR="006937C2">
        <w:t xml:space="preserve"> said that the Liquidator had incorrectly assessed long-term liabilities</w:t>
      </w:r>
      <w:r w:rsidR="00283AF7">
        <w:t xml:space="preserve"> </w:t>
      </w:r>
      <w:r w:rsidR="00283AF7" w:rsidRPr="0009255D">
        <w:t>and</w:t>
      </w:r>
      <w:r w:rsidR="00283AF7">
        <w:t xml:space="preserve"> net debt</w:t>
      </w:r>
      <w:r w:rsidR="00BE1F1B">
        <w:t xml:space="preserve"> for the purposes of s.123(2), such that he had not established</w:t>
      </w:r>
      <w:r w:rsidR="007E474C">
        <w:t xml:space="preserve"> insolvency.</w:t>
      </w:r>
      <w:r w:rsidR="006C1373">
        <w:t xml:space="preserve"> </w:t>
      </w:r>
    </w:p>
    <w:p w14:paraId="6751587D" w14:textId="2B7A2543" w:rsidR="00F86EDB" w:rsidRDefault="00F86EDB" w:rsidP="007F3A53">
      <w:pPr>
        <w:pStyle w:val="BodyText"/>
      </w:pPr>
      <w:r>
        <w:t>I will return to the subject of the DTA below</w:t>
      </w:r>
      <w:r w:rsidR="00DF36F6">
        <w:t xml:space="preserve">, but to explain it briefly, </w:t>
      </w:r>
      <w:r w:rsidR="0045324B">
        <w:t xml:space="preserve">in the case of Comet </w:t>
      </w:r>
      <w:r w:rsidR="00DF36F6">
        <w:t>it represent</w:t>
      </w:r>
      <w:r w:rsidR="0045324B">
        <w:t xml:space="preserve">ed </w:t>
      </w:r>
      <w:r w:rsidR="00A16656">
        <w:t xml:space="preserve">tax benefits in the form of </w:t>
      </w:r>
      <w:r w:rsidR="0045324B">
        <w:t>carried forward losses and unclaimed capital allowances that</w:t>
      </w:r>
      <w:r w:rsidR="00FF5D46">
        <w:t xml:space="preserve"> were available to offset future taxable profits of Comet’s trade. </w:t>
      </w:r>
      <w:r w:rsidR="00471A10">
        <w:t>Such tax benefits are of value only if and to the extent that future taxable profits</w:t>
      </w:r>
      <w:r w:rsidR="00C064B4">
        <w:t xml:space="preserve"> actually arise, such that a tax saving can be made</w:t>
      </w:r>
      <w:r w:rsidR="006869B4">
        <w:t>. Under</w:t>
      </w:r>
      <w:r w:rsidR="00A16656">
        <w:t xml:space="preserve"> International Financial Reporting Standards</w:t>
      </w:r>
      <w:r w:rsidR="006869B4">
        <w:t xml:space="preserve"> </w:t>
      </w:r>
      <w:r w:rsidR="00A16656">
        <w:t>(</w:t>
      </w:r>
      <w:r w:rsidR="00F83F77">
        <w:t>“</w:t>
      </w:r>
      <w:r w:rsidR="00330931">
        <w:t>IFRS</w:t>
      </w:r>
      <w:r w:rsidR="00F83F77">
        <w:t>”</w:t>
      </w:r>
      <w:r w:rsidR="00A16656">
        <w:t>)</w:t>
      </w:r>
      <w:r w:rsidR="00330931">
        <w:t>, a DTA of this nature is recognised only to the extent</w:t>
      </w:r>
      <w:r w:rsidR="002A4A66">
        <w:t xml:space="preserve"> that it is “probable” that</w:t>
      </w:r>
      <w:r w:rsidR="00956D50">
        <w:t xml:space="preserve"> future</w:t>
      </w:r>
      <w:r w:rsidR="002A4A66">
        <w:t xml:space="preserve"> taxable profit</w:t>
      </w:r>
      <w:r w:rsidR="00956D50">
        <w:t>s</w:t>
      </w:r>
      <w:r w:rsidR="002A4A66">
        <w:t xml:space="preserve"> will be available</w:t>
      </w:r>
      <w:r w:rsidR="004B3815">
        <w:t xml:space="preserve"> against which the benefits can be offset</w:t>
      </w:r>
      <w:r w:rsidR="00F048BF">
        <w:t xml:space="preserve">. Under UK </w:t>
      </w:r>
      <w:r w:rsidR="00A16656">
        <w:t>Generally accepted accounting principles (</w:t>
      </w:r>
      <w:r w:rsidR="00F83F77">
        <w:t>“</w:t>
      </w:r>
      <w:r w:rsidR="00A16656">
        <w:t xml:space="preserve">UK </w:t>
      </w:r>
      <w:r w:rsidR="00F048BF">
        <w:t>GAAP</w:t>
      </w:r>
      <w:r w:rsidR="00F83F77">
        <w:t>”</w:t>
      </w:r>
      <w:r w:rsidR="00A16656">
        <w:t>)</w:t>
      </w:r>
      <w:r w:rsidR="00F048BF">
        <w:t xml:space="preserve"> </w:t>
      </w:r>
      <w:r w:rsidR="00956D50">
        <w:t xml:space="preserve">the </w:t>
      </w:r>
      <w:r w:rsidR="00F048BF">
        <w:t>test is “more likely than not” rather than</w:t>
      </w:r>
      <w:r w:rsidR="002A71B9">
        <w:t xml:space="preserve"> “probable”, but</w:t>
      </w:r>
      <w:r w:rsidR="00956D50">
        <w:t xml:space="preserve"> for present </w:t>
      </w:r>
      <w:r w:rsidR="002A71B9">
        <w:t>purposes the tests are effectively synonymous.</w:t>
      </w:r>
    </w:p>
    <w:p w14:paraId="01414E28" w14:textId="1FDE5D2C" w:rsidR="00DC57D8" w:rsidRDefault="00DC57D8" w:rsidP="007F3A53">
      <w:pPr>
        <w:pStyle w:val="BodyText"/>
      </w:pPr>
      <w:r>
        <w:t xml:space="preserve">I also refer below to </w:t>
      </w:r>
      <w:r w:rsidR="00494B50">
        <w:t xml:space="preserve">the draft statutory accounts for </w:t>
      </w:r>
      <w:r w:rsidR="00494B50" w:rsidRPr="00494B50">
        <w:t xml:space="preserve">FY2012. </w:t>
      </w:r>
      <w:r w:rsidR="00494B50">
        <w:t>The FY2012 accounts were never finalised because the auditors were waiting for a letter of support from HAL which did not materialise.</w:t>
      </w:r>
      <w:r w:rsidR="00F11A5A">
        <w:t xml:space="preserve"> The evidence indicates that, </w:t>
      </w:r>
      <w:r w:rsidR="004C22E2">
        <w:t>in the absence of such a letter,</w:t>
      </w:r>
      <w:r w:rsidR="009D488B">
        <w:t xml:space="preserve"> the auditors PwC were proposing that an </w:t>
      </w:r>
      <w:r w:rsidR="004C22E2">
        <w:t>“emphasis of matter</w:t>
      </w:r>
      <w:r w:rsidR="00D91E52">
        <w:t xml:space="preserve">” section </w:t>
      </w:r>
      <w:r w:rsidR="009D488B">
        <w:t>be</w:t>
      </w:r>
      <w:r w:rsidR="00D91E52">
        <w:t xml:space="preserve"> included in the auditors’ report</w:t>
      </w:r>
      <w:r w:rsidR="008B54B3">
        <w:t>. Th</w:t>
      </w:r>
      <w:r w:rsidR="005845DB">
        <w:t>e</w:t>
      </w:r>
      <w:r w:rsidR="002E4342">
        <w:t xml:space="preserve"> draft that PwC provided</w:t>
      </w:r>
      <w:r w:rsidR="008B54B3">
        <w:t xml:space="preserve"> was a</w:t>
      </w:r>
      <w:r w:rsidR="00D91E52">
        <w:t xml:space="preserve">long the lines of </w:t>
      </w:r>
      <w:r w:rsidR="00865C8C">
        <w:t>Comet being reliant</w:t>
      </w:r>
      <w:r w:rsidR="00F21125">
        <w:t xml:space="preserve"> on continued support from investors and suppliers</w:t>
      </w:r>
      <w:r w:rsidR="005845DB">
        <w:t>,</w:t>
      </w:r>
      <w:r w:rsidR="009D488B">
        <w:t xml:space="preserve"> but the directors being of the view that such support would continue to be provided while Comet</w:t>
      </w:r>
      <w:r w:rsidR="00F53314">
        <w:t xml:space="preserve"> continued to meet </w:t>
      </w:r>
      <w:r w:rsidR="009D488B">
        <w:t>its financial targets</w:t>
      </w:r>
      <w:r w:rsidR="00430364">
        <w:t xml:space="preserve">. However, it also warned </w:t>
      </w:r>
      <w:r w:rsidR="00F53314">
        <w:t>that</w:t>
      </w:r>
      <w:r w:rsidR="004B4D32">
        <w:t xml:space="preserve"> if Comet fell short of expectations “as a consequence of the challenging trading environment” or the support of supplie</w:t>
      </w:r>
      <w:r w:rsidR="002E4342">
        <w:t>r</w:t>
      </w:r>
      <w:r w:rsidR="004B4D32">
        <w:t>s diminished,</w:t>
      </w:r>
      <w:r w:rsidR="00430364">
        <w:t xml:space="preserve"> then</w:t>
      </w:r>
      <w:r w:rsidR="008B54B3">
        <w:t xml:space="preserve"> that could cast “significant doubt” over Comet’s ability to continue as a going concern.</w:t>
      </w:r>
    </w:p>
    <w:p w14:paraId="491A1652" w14:textId="3E79764D" w:rsidR="00815050" w:rsidRDefault="00815050" w:rsidP="00815050">
      <w:pPr>
        <w:pStyle w:val="Heading3"/>
      </w:pPr>
      <w:r>
        <w:t xml:space="preserve">Mr Ellison’s </w:t>
      </w:r>
      <w:r w:rsidR="00155FFA">
        <w:t>report</w:t>
      </w:r>
    </w:p>
    <w:p w14:paraId="277AAE9B" w14:textId="653479FD" w:rsidR="007F5C76" w:rsidRDefault="006E2214" w:rsidP="007F3A53">
      <w:pPr>
        <w:pStyle w:val="BodyText"/>
      </w:pPr>
      <w:r>
        <w:t>Mr Ellison’s starting point</w:t>
      </w:r>
      <w:r w:rsidR="00507FE3">
        <w:t xml:space="preserve"> was</w:t>
      </w:r>
      <w:r w:rsidR="00E87A5A">
        <w:t xml:space="preserve"> Comet’s unaudited </w:t>
      </w:r>
      <w:r w:rsidR="00507FE3">
        <w:t>management accounts to 31 January 2012</w:t>
      </w:r>
      <w:r w:rsidR="009F6152">
        <w:t>.</w:t>
      </w:r>
      <w:r w:rsidR="009658AC">
        <w:t xml:space="preserve"> However, he </w:t>
      </w:r>
      <w:r w:rsidR="00DF642C">
        <w:t>also considered</w:t>
      </w:r>
      <w:r w:rsidR="004A0C6A">
        <w:t xml:space="preserve"> other financial information</w:t>
      </w:r>
      <w:r w:rsidR="00AB3D09">
        <w:t xml:space="preserve"> from around that date</w:t>
      </w:r>
      <w:r w:rsidR="004A0C6A">
        <w:t>, including</w:t>
      </w:r>
      <w:r w:rsidR="00AB3D09">
        <w:t xml:space="preserve"> opening balance sheets</w:t>
      </w:r>
      <w:r w:rsidR="00E549AF">
        <w:t xml:space="preserve"> prepared by management relating to the position immediately after the Disposal</w:t>
      </w:r>
      <w:r w:rsidR="0078543F">
        <w:t xml:space="preserve"> and</w:t>
      </w:r>
      <w:r w:rsidR="004A0C6A">
        <w:t xml:space="preserve"> reports prepared by Deloitte</w:t>
      </w:r>
      <w:r w:rsidR="00814815">
        <w:t xml:space="preserve">, as well as the FY2011 statutory accounts and draft audited accounts for </w:t>
      </w:r>
      <w:r w:rsidR="008147D7">
        <w:t>FY2012</w:t>
      </w:r>
      <w:r w:rsidR="0078543F">
        <w:t xml:space="preserve">. </w:t>
      </w:r>
    </w:p>
    <w:p w14:paraId="14CE84D0" w14:textId="7371FC8E" w:rsidR="006D78FA" w:rsidRDefault="00507FE3" w:rsidP="00F5108C">
      <w:pPr>
        <w:pStyle w:val="BodyText"/>
      </w:pPr>
      <w:r>
        <w:t>The</w:t>
      </w:r>
      <w:r w:rsidR="008147D7">
        <w:t xml:space="preserve"> management accounts</w:t>
      </w:r>
      <w:r>
        <w:t xml:space="preserve"> included a DTA of</w:t>
      </w:r>
      <w:r w:rsidR="00D1078F">
        <w:t xml:space="preserve"> £44.9m, which</w:t>
      </w:r>
      <w:r w:rsidR="00961A7B">
        <w:t xml:space="preserve"> in</w:t>
      </w:r>
      <w:r w:rsidR="00000838">
        <w:t xml:space="preserve"> Mr Ellison’s </w:t>
      </w:r>
      <w:r w:rsidR="00961A7B">
        <w:t>view</w:t>
      </w:r>
      <w:r w:rsidR="005863A6">
        <w:t xml:space="preserve"> should have been written off </w:t>
      </w:r>
      <w:r w:rsidR="00961A7B">
        <w:t xml:space="preserve">because it did not meet the </w:t>
      </w:r>
      <w:r w:rsidR="00F870EC">
        <w:t>test</w:t>
      </w:r>
      <w:r w:rsidR="00961A7B">
        <w:t xml:space="preserve"> of it being probable that Comet would have sufficient taxable profits</w:t>
      </w:r>
      <w:r w:rsidR="00171959">
        <w:t xml:space="preserve"> available in future periods to allow it to be used. In reaching this conclusion he pointed to the fact that </w:t>
      </w:r>
      <w:r w:rsidR="001A2DD3">
        <w:t>C</w:t>
      </w:r>
      <w:r w:rsidR="00171959">
        <w:t>omet had</w:t>
      </w:r>
      <w:r w:rsidR="001A2DD3">
        <w:t xml:space="preserve"> incurred </w:t>
      </w:r>
      <w:r w:rsidR="00171959">
        <w:t>losses</w:t>
      </w:r>
      <w:r w:rsidR="001A2DD3">
        <w:t xml:space="preserve"> in FY2009, FY2010 and FY2011</w:t>
      </w:r>
      <w:r w:rsidR="0039314B">
        <w:t>,</w:t>
      </w:r>
      <w:r w:rsidR="005863A6">
        <w:t xml:space="preserve"> and</w:t>
      </w:r>
      <w:r w:rsidR="0039314B">
        <w:t xml:space="preserve"> was incurring further losses in the year to date</w:t>
      </w:r>
      <w:r w:rsidR="00143703">
        <w:t>.</w:t>
      </w:r>
      <w:r w:rsidR="005863A6">
        <w:t xml:space="preserve"> In his view the position was getting worse rather than better.</w:t>
      </w:r>
      <w:r w:rsidR="00404A51">
        <w:t xml:space="preserve"> </w:t>
      </w:r>
      <w:r w:rsidR="00E95745">
        <w:t>In cros</w:t>
      </w:r>
      <w:r w:rsidR="00240B44">
        <w:t>s-examination</w:t>
      </w:r>
      <w:r w:rsidR="00BC50E0">
        <w:t xml:space="preserve"> Mr Ellison </w:t>
      </w:r>
      <w:r w:rsidR="0063046B">
        <w:t>drew a</w:t>
      </w:r>
      <w:r w:rsidR="00315846">
        <w:t xml:space="preserve"> graphic</w:t>
      </w:r>
      <w:r w:rsidR="0063046B">
        <w:t xml:space="preserve"> analogy between Comet’s increasing losses and</w:t>
      </w:r>
      <w:r w:rsidR="002E02C8">
        <w:t xml:space="preserve"> “…</w:t>
      </w:r>
      <w:r w:rsidR="0063046B">
        <w:t>falling off a cliff</w:t>
      </w:r>
      <w:r w:rsidR="00A67CE6">
        <w:t>, and as happens when you do fall off a cliff, you fall faster and faster”.</w:t>
      </w:r>
    </w:p>
    <w:p w14:paraId="3B3C51BF" w14:textId="35833244" w:rsidR="00815050" w:rsidRDefault="00404A51" w:rsidP="007F3A53">
      <w:pPr>
        <w:pStyle w:val="BodyText"/>
      </w:pPr>
      <w:r>
        <w:t>Without the DTA</w:t>
      </w:r>
      <w:r w:rsidR="00831380">
        <w:t>, Comet’s</w:t>
      </w:r>
      <w:r>
        <w:t xml:space="preserve"> balance sheet</w:t>
      </w:r>
      <w:r w:rsidR="00830FA0">
        <w:t xml:space="preserve"> prior to the Disposal</w:t>
      </w:r>
      <w:r>
        <w:t xml:space="preserve"> showed substantial negative net assets</w:t>
      </w:r>
      <w:r w:rsidR="00156ED6">
        <w:t xml:space="preserve"> under both an IFRS and UK GAAP basis.</w:t>
      </w:r>
      <w:r w:rsidR="003321A1">
        <w:t xml:space="preserve"> </w:t>
      </w:r>
      <w:r w:rsidR="00F870EC">
        <w:t>Mr Elli</w:t>
      </w:r>
      <w:r w:rsidR="009B1A27">
        <w:t>son</w:t>
      </w:r>
      <w:r w:rsidR="003321A1">
        <w:t xml:space="preserve"> commented that he appreciated that the balance sheet test should not be applied mechanically,</w:t>
      </w:r>
      <w:r w:rsidR="00E734E6">
        <w:t xml:space="preserve"> and that (for </w:t>
      </w:r>
      <w:r w:rsidR="003321A1">
        <w:t>example)</w:t>
      </w:r>
      <w:r w:rsidR="00E734E6">
        <w:t xml:space="preserve"> the prospect of an injection of further share capital would need to be taken into account,</w:t>
      </w:r>
      <w:r w:rsidR="009D37C2">
        <w:t xml:space="preserve"> but he had seen no evidence of</w:t>
      </w:r>
      <w:r w:rsidR="00DB447C">
        <w:t xml:space="preserve"> anything of that nature</w:t>
      </w:r>
      <w:r w:rsidR="009D37C2">
        <w:t>.</w:t>
      </w:r>
    </w:p>
    <w:p w14:paraId="696D6BAB" w14:textId="184848BB" w:rsidR="004509A1" w:rsidRDefault="00C65AE8" w:rsidP="007F3A53">
      <w:pPr>
        <w:pStyle w:val="BodyText"/>
      </w:pPr>
      <w:r>
        <w:t>In total Mr Elli</w:t>
      </w:r>
      <w:r w:rsidR="006B0A00">
        <w:t>son</w:t>
      </w:r>
      <w:r>
        <w:t xml:space="preserve"> reviewed 11 balance sheets for the period between 31 January and 28 April 2012</w:t>
      </w:r>
      <w:r w:rsidR="0066540F">
        <w:t xml:space="preserve"> produced for various purposes, including a key supplier update</w:t>
      </w:r>
      <w:r w:rsidR="00DC01FC">
        <w:t xml:space="preserve"> and a balance sheet prepared for a Board meeting on 10 February 2012</w:t>
      </w:r>
      <w:r>
        <w:t>. Nine of these</w:t>
      </w:r>
      <w:r w:rsidR="00512864">
        <w:t>, including the two just mentioned,</w:t>
      </w:r>
      <w:r>
        <w:t xml:space="preserve"> showed net liabilities, and the tenth would have done if the DTA had been written off.</w:t>
      </w:r>
      <w:r w:rsidR="00F917D1">
        <w:t xml:space="preserve"> </w:t>
      </w:r>
      <w:r w:rsidR="004A6B99">
        <w:t xml:space="preserve">The balance sheet for the 10 February </w:t>
      </w:r>
      <w:r w:rsidR="00A15603">
        <w:t>B</w:t>
      </w:r>
      <w:r w:rsidR="004A6B99">
        <w:t>oard meeting showed a deficit of £9.9m</w:t>
      </w:r>
      <w:r w:rsidR="001D67E5">
        <w:t xml:space="preserve"> and incorporated</w:t>
      </w:r>
      <w:r w:rsidR="00375D01">
        <w:t xml:space="preserve"> a write off of most of the DTA</w:t>
      </w:r>
      <w:r w:rsidR="009337D9">
        <w:t>, but also showed a pre-Disposal deficit of £6.7m</w:t>
      </w:r>
      <w:r w:rsidR="00FC3E80">
        <w:t xml:space="preserve"> without the DTA write off.</w:t>
      </w:r>
    </w:p>
    <w:p w14:paraId="2E22AEEF" w14:textId="26BADAED" w:rsidR="00905D4A" w:rsidRDefault="00F917D1" w:rsidP="007F3A53">
      <w:pPr>
        <w:pStyle w:val="BodyText"/>
      </w:pPr>
      <w:r>
        <w:t xml:space="preserve">Mr Ellison </w:t>
      </w:r>
      <w:r w:rsidR="00550954">
        <w:t>also noted that</w:t>
      </w:r>
      <w:r w:rsidR="005D69D3">
        <w:t xml:space="preserve"> a Deloitte report dated 20 January 2012 projected balance sheet insolvency from February 2012 onwards</w:t>
      </w:r>
      <w:r w:rsidR="00B1562C">
        <w:t xml:space="preserve"> even with the DTA</w:t>
      </w:r>
      <w:r w:rsidR="00420DE9">
        <w:t>,</w:t>
      </w:r>
      <w:r w:rsidR="00F6727D">
        <w:t xml:space="preserve"> as well as </w:t>
      </w:r>
      <w:r w:rsidR="00420DE9">
        <w:t>net liabilities in January 2012 without it.</w:t>
      </w:r>
      <w:r w:rsidR="00202F9B">
        <w:t xml:space="preserve"> A further Deloitte report</w:t>
      </w:r>
      <w:r w:rsidR="00F846F2">
        <w:t xml:space="preserve"> in March 2012 showed net liabilities in January 2012</w:t>
      </w:r>
      <w:r w:rsidR="0041681F">
        <w:t xml:space="preserve"> and continued deterioration thereafter</w:t>
      </w:r>
      <w:r w:rsidR="00F846F2">
        <w:t>.</w:t>
      </w:r>
      <w:r w:rsidR="00A70AF7">
        <w:t xml:space="preserve"> The draft sta</w:t>
      </w:r>
      <w:r w:rsidR="009C5B3D">
        <w:t>tutory accounts for FY2012 showed a balance sheet deficit of £53.2m.</w:t>
      </w:r>
    </w:p>
    <w:p w14:paraId="11469675" w14:textId="19239FD8" w:rsidR="00EC5689" w:rsidRDefault="003576CF" w:rsidP="00EA24CF">
      <w:pPr>
        <w:pStyle w:val="BodyText"/>
      </w:pPr>
      <w:bookmarkStart w:id="40" w:name="_Ref118704174"/>
      <w:r>
        <w:t>Mr Ellison calculated</w:t>
      </w:r>
      <w:r w:rsidR="00254058">
        <w:t xml:space="preserve"> net liabilities </w:t>
      </w:r>
      <w:r w:rsidR="00C87D25">
        <w:t>of £51.6m immediately prior to the Disposal on an IFRS basis,</w:t>
      </w:r>
      <w:r w:rsidR="00254058">
        <w:t xml:space="preserve"> and £22.2m on a UK GAAP basis</w:t>
      </w:r>
      <w:r w:rsidR="003D6514">
        <w:t>.</w:t>
      </w:r>
      <w:r w:rsidR="00FD520E">
        <w:t xml:space="preserve"> The position immediately after the Disposal was different, with his calculation showing positive net assets </w:t>
      </w:r>
      <w:r w:rsidR="0099144E">
        <w:t xml:space="preserve">of £19.4m </w:t>
      </w:r>
      <w:r w:rsidR="00FD520E">
        <w:t>on a UK</w:t>
      </w:r>
      <w:r w:rsidR="002423DB">
        <w:t xml:space="preserve"> GAAP basis but net liabilities</w:t>
      </w:r>
      <w:r w:rsidR="0099144E">
        <w:t xml:space="preserve"> of £10m</w:t>
      </w:r>
      <w:r w:rsidR="002423DB">
        <w:t xml:space="preserve"> on an IFRS basis</w:t>
      </w:r>
      <w:r w:rsidR="00D527E9">
        <w:t>.</w:t>
      </w:r>
      <w:r w:rsidR="008E0E74">
        <w:t xml:space="preserve"> The material</w:t>
      </w:r>
      <w:r w:rsidR="00FB5CF1">
        <w:t xml:space="preserve"> reason for the difference related to the treatment of landlord incentives (</w:t>
      </w:r>
      <w:r w:rsidR="00831380">
        <w:t xml:space="preserve">largely </w:t>
      </w:r>
      <w:r w:rsidR="00FB5CF1">
        <w:t>reverse premiums and rent free periods).</w:t>
      </w:r>
      <w:r w:rsidR="00F205BB">
        <w:t xml:space="preserve"> Under IFRS</w:t>
      </w:r>
      <w:r w:rsidR="0031656B">
        <w:t>,</w:t>
      </w:r>
      <w:r w:rsidR="00F205BB">
        <w:t xml:space="preserve"> incentives </w:t>
      </w:r>
      <w:r w:rsidR="0031656B">
        <w:t xml:space="preserve">must </w:t>
      </w:r>
      <w:r w:rsidR="00F205BB">
        <w:t>be allocated over</w:t>
      </w:r>
      <w:r w:rsidR="00681754">
        <w:t xml:space="preserve"> the term of the lease, whereas under UK GAAP</w:t>
      </w:r>
      <w:r w:rsidR="00A63E58">
        <w:t xml:space="preserve"> they are allocated over</w:t>
      </w:r>
      <w:r w:rsidR="00E75868">
        <w:t xml:space="preserve"> a period to the next </w:t>
      </w:r>
      <w:r w:rsidR="007F20AF">
        <w:t xml:space="preserve">rent </w:t>
      </w:r>
      <w:r w:rsidR="00E75868">
        <w:t>review date, if shorter. The result</w:t>
      </w:r>
      <w:r w:rsidR="00EA24CF">
        <w:t xml:space="preserve"> </w:t>
      </w:r>
      <w:r w:rsidR="007F20AF">
        <w:t>i</w:t>
      </w:r>
      <w:r w:rsidR="00EA24CF">
        <w:t xml:space="preserve">s </w:t>
      </w:r>
      <w:r w:rsidR="00E75868">
        <w:t>to recognise</w:t>
      </w:r>
      <w:r w:rsidR="00EA24CF">
        <w:t xml:space="preserve"> a larger deferred income liability in a balance sheet prepared under IFRS.</w:t>
      </w:r>
      <w:bookmarkEnd w:id="40"/>
    </w:p>
    <w:p w14:paraId="6671C706" w14:textId="16C689F8" w:rsidR="00836E2F" w:rsidRDefault="003D6AE1" w:rsidP="00EA24CF">
      <w:pPr>
        <w:pStyle w:val="BodyText"/>
      </w:pPr>
      <w:bookmarkStart w:id="41" w:name="_Ref117875931"/>
      <w:r>
        <w:t>The FY2011 accounts had been prepared under UK GAAP</w:t>
      </w:r>
      <w:r w:rsidR="001944AB">
        <w:t>,</w:t>
      </w:r>
      <w:r w:rsidR="006A4902">
        <w:t xml:space="preserve"> but the draft</w:t>
      </w:r>
      <w:r w:rsidR="001944AB">
        <w:t xml:space="preserve"> </w:t>
      </w:r>
      <w:r w:rsidR="006A4902">
        <w:t>accounts for FY2012 show that the directors had decided to adopt IFRS</w:t>
      </w:r>
      <w:r w:rsidR="008B7FFE">
        <w:t>. Mr Ellison also formed the view that the relevant management accounts had been prepared</w:t>
      </w:r>
      <w:r w:rsidR="00A5167A">
        <w:t xml:space="preserve"> in accordance with IFRS</w:t>
      </w:r>
      <w:r w:rsidR="00A44007">
        <w:t>,</w:t>
      </w:r>
      <w:r w:rsidR="00282EED">
        <w:t xml:space="preserve"> and pointed out that a “Key Supplier Update” produced in March 2012</w:t>
      </w:r>
      <w:r w:rsidR="00E6106F">
        <w:t xml:space="preserve"> also produced a balance sheet which was said to be “based on IFRS and consistent with the internal management reporting”.</w:t>
      </w:r>
      <w:r w:rsidR="00F944D3">
        <w:t xml:space="preserve"> He noted that, if IFRS had not been adopted, </w:t>
      </w:r>
      <w:r w:rsidR="00183AA5">
        <w:t>then new UK GAAP rules applicable from January 2015</w:t>
      </w:r>
      <w:r w:rsidR="00401CE4">
        <w:t xml:space="preserve"> (with a facility for early adoption from January 2013) would also</w:t>
      </w:r>
      <w:r w:rsidR="0090579F">
        <w:t xml:space="preserve"> make the treatment of lease incentives consistent with that under IFRS.</w:t>
      </w:r>
      <w:bookmarkEnd w:id="41"/>
    </w:p>
    <w:p w14:paraId="0F575539" w14:textId="424C11CE" w:rsidR="00D527E9" w:rsidRDefault="00013C5B" w:rsidP="007F3A53">
      <w:pPr>
        <w:pStyle w:val="BodyText"/>
      </w:pPr>
      <w:r>
        <w:t>As</w:t>
      </w:r>
      <w:r w:rsidR="00DA5B28">
        <w:t xml:space="preserve"> regards the DTA,</w:t>
      </w:r>
      <w:r w:rsidR="00AB68CF">
        <w:t xml:space="preserve"> Mr Ellison’s clear opinion was that</w:t>
      </w:r>
      <w:r w:rsidR="006760E4">
        <w:t xml:space="preserve"> it did not meet the criterion for recognition either under IFRS or UK GAAP.</w:t>
      </w:r>
      <w:r w:rsidR="008B46F9">
        <w:t xml:space="preserve"> He </w:t>
      </w:r>
      <w:r w:rsidR="00675AFE">
        <w:t xml:space="preserve">considered the </w:t>
      </w:r>
      <w:r w:rsidR="00B93E70">
        <w:t>analysis</w:t>
      </w:r>
      <w:r w:rsidR="00675AFE">
        <w:t xml:space="preserve"> that supported</w:t>
      </w:r>
      <w:r w:rsidR="00B93E70">
        <w:t xml:space="preserve"> the inclusion of the DTA in the FY2011 accounts to be superficial</w:t>
      </w:r>
      <w:r w:rsidR="00665A4B">
        <w:t>, and not borne out by events.</w:t>
      </w:r>
      <w:r w:rsidR="00BA66EA">
        <w:t xml:space="preserve"> Rather,</w:t>
      </w:r>
      <w:r w:rsidR="0084283B">
        <w:t xml:space="preserve"> trading performance and market conditions deteriorated in the 10 months prior to the </w:t>
      </w:r>
      <w:r w:rsidR="009E707F">
        <w:t>Disposal</w:t>
      </w:r>
      <w:r w:rsidR="0084283B">
        <w:t>, and the figures predicted increasing losses</w:t>
      </w:r>
      <w:r w:rsidR="00D52E6E">
        <w:t>. Mr Ellison considered his conclusion to be reinforced by the fact that the DTA was written off</w:t>
      </w:r>
      <w:r w:rsidR="00A4586E">
        <w:t xml:space="preserve"> in the management accounts after the Disposal</w:t>
      </w:r>
      <w:r w:rsidR="006270D1">
        <w:t>,</w:t>
      </w:r>
      <w:r w:rsidR="00A4586E">
        <w:t xml:space="preserve"> and within the draft FY2012 statutory accounts.</w:t>
      </w:r>
    </w:p>
    <w:p w14:paraId="22999139" w14:textId="6C346CE8" w:rsidR="00472D24" w:rsidRDefault="00F049F8" w:rsidP="00F049F8">
      <w:pPr>
        <w:pStyle w:val="Heading3"/>
      </w:pPr>
      <w:r>
        <w:t xml:space="preserve">Mr Lewis’s </w:t>
      </w:r>
      <w:r w:rsidR="00155FFA">
        <w:t>report</w:t>
      </w:r>
    </w:p>
    <w:p w14:paraId="1D0CB70B" w14:textId="5A4B877D" w:rsidR="00F049F8" w:rsidRDefault="00CA0508" w:rsidP="007F3A53">
      <w:pPr>
        <w:pStyle w:val="BodyText"/>
      </w:pPr>
      <w:r>
        <w:t xml:space="preserve">Mr </w:t>
      </w:r>
      <w:r w:rsidR="00E47AF9">
        <w:t xml:space="preserve">Lewis </w:t>
      </w:r>
      <w:r w:rsidR="00BA71C7">
        <w:t>relied on both the FY2011 and FY2012 financial statements having been prepared on a going concern basis</w:t>
      </w:r>
      <w:r w:rsidR="00CA4663">
        <w:t>,</w:t>
      </w:r>
      <w:r w:rsidR="00BA71C7">
        <w:t xml:space="preserve"> with the FY2012 accounts </w:t>
      </w:r>
      <w:r w:rsidR="00CA4663">
        <w:t xml:space="preserve">having been </w:t>
      </w:r>
      <w:r w:rsidR="00BA71C7">
        <w:t>approved</w:t>
      </w:r>
      <w:r w:rsidR="00463882">
        <w:t xml:space="preserve"> at a Board meeting</w:t>
      </w:r>
      <w:r w:rsidR="00CA4663">
        <w:t xml:space="preserve"> in September 2012</w:t>
      </w:r>
      <w:r w:rsidR="00463882">
        <w:t>,</w:t>
      </w:r>
      <w:r w:rsidR="0085410F">
        <w:t xml:space="preserve"> and </w:t>
      </w:r>
      <w:r w:rsidR="00001B46">
        <w:t xml:space="preserve">on the New Board’s conclusion </w:t>
      </w:r>
      <w:r w:rsidR="00664E32">
        <w:t>recorded at paragraph 16.5 of the Completion Minutes</w:t>
      </w:r>
      <w:r w:rsidR="003D61F7">
        <w:t>.</w:t>
      </w:r>
    </w:p>
    <w:p w14:paraId="0B240193" w14:textId="0C159852" w:rsidR="00755FA0" w:rsidRDefault="003D61F7" w:rsidP="007F3A53">
      <w:pPr>
        <w:pStyle w:val="BodyText"/>
      </w:pPr>
      <w:r>
        <w:t>In relation to balance sheet solvency</w:t>
      </w:r>
      <w:r w:rsidR="00DD71BF">
        <w:t>, Mr Lewis</w:t>
      </w:r>
      <w:r w:rsidR="008C382F">
        <w:t xml:space="preserve"> focused</w:t>
      </w:r>
      <w:r w:rsidR="00DD71BF">
        <w:t xml:space="preserve"> on </w:t>
      </w:r>
      <w:r w:rsidR="003531FD">
        <w:t>four balance sheets referred to in the Liquidators’ pleadings</w:t>
      </w:r>
      <w:r w:rsidR="008C382F">
        <w:t>, and</w:t>
      </w:r>
      <w:r w:rsidR="00F009DC">
        <w:t xml:space="preserve"> as already noted</w:t>
      </w:r>
      <w:r w:rsidR="00A46048">
        <w:t xml:space="preserve"> commented </w:t>
      </w:r>
      <w:r w:rsidR="008C382F">
        <w:t>that</w:t>
      </w:r>
      <w:r w:rsidR="0097219B">
        <w:t xml:space="preserve"> the recoverability of the DTA was “pivotal” to the Liquidator’s assessment of balance sheet solvency.</w:t>
      </w:r>
      <w:r w:rsidR="00FE12BE">
        <w:t xml:space="preserve"> Mr Lewis </w:t>
      </w:r>
      <w:r w:rsidR="00A46048">
        <w:t>speculated about</w:t>
      </w:r>
      <w:r w:rsidR="00F854DE">
        <w:t xml:space="preserve"> how the</w:t>
      </w:r>
      <w:r w:rsidR="00FE12BE">
        <w:t xml:space="preserve"> directors </w:t>
      </w:r>
      <w:r w:rsidR="00F854DE">
        <w:t xml:space="preserve">reached the conclusion that they did </w:t>
      </w:r>
      <w:r w:rsidR="00E946F3">
        <w:t xml:space="preserve">about </w:t>
      </w:r>
      <w:r w:rsidR="008A52BE">
        <w:t>balance sheet solvency at the 3 February 2012 meeting</w:t>
      </w:r>
      <w:r w:rsidR="00E946F3">
        <w:t xml:space="preserve">, suggesting that they may </w:t>
      </w:r>
      <w:r w:rsidR="009C6F39">
        <w:t>have been</w:t>
      </w:r>
      <w:r w:rsidR="00E946F3">
        <w:t xml:space="preserve"> looking at different figures</w:t>
      </w:r>
      <w:r w:rsidR="008E36FB">
        <w:t xml:space="preserve"> from </w:t>
      </w:r>
      <w:r w:rsidR="00E946F3">
        <w:t>those relied on by the Liquidator, that they may have taken a less pessimistic view about the DTA</w:t>
      </w:r>
      <w:r w:rsidR="00AA0792">
        <w:t>, or that their</w:t>
      </w:r>
      <w:r w:rsidR="008E36FB">
        <w:t xml:space="preserve"> conclusion may have been </w:t>
      </w:r>
      <w:r w:rsidR="00AA0792">
        <w:t>formed taking into consideration a long-term</w:t>
      </w:r>
      <w:r w:rsidR="008E36FB">
        <w:t xml:space="preserve"> view</w:t>
      </w:r>
      <w:r w:rsidR="00AA0792">
        <w:t>.</w:t>
      </w:r>
      <w:r w:rsidR="00AD5B0C">
        <w:t xml:space="preserve"> </w:t>
      </w:r>
    </w:p>
    <w:p w14:paraId="30531325" w14:textId="2A7856DA" w:rsidR="003D61F7" w:rsidRDefault="00755FA0" w:rsidP="007F3A53">
      <w:pPr>
        <w:pStyle w:val="BodyText"/>
      </w:pPr>
      <w:r>
        <w:t xml:space="preserve">Mr Lewis </w:t>
      </w:r>
      <w:r w:rsidR="00AD5B0C">
        <w:t>also noted that without the</w:t>
      </w:r>
      <w:r w:rsidR="005976E1">
        <w:t xml:space="preserve"> </w:t>
      </w:r>
      <w:r w:rsidR="003137E8">
        <w:t>revolving credit facility owed to KIL or HAL</w:t>
      </w:r>
      <w:r w:rsidR="00BD6B4C">
        <w:t>, which was a debt to a related party, there would be net assets irrespective of the position with the DTA.</w:t>
      </w:r>
      <w:r w:rsidR="00D76B86">
        <w:t xml:space="preserve"> It was relevant to determine whether the directors believed that </w:t>
      </w:r>
      <w:r w:rsidR="004B7775">
        <w:t>that debt</w:t>
      </w:r>
      <w:r w:rsidR="00D76B86">
        <w:t xml:space="preserve"> would actually need to be repaid.</w:t>
      </w:r>
      <w:r>
        <w:t xml:space="preserve"> The conclusion</w:t>
      </w:r>
      <w:r w:rsidR="005537B0">
        <w:t xml:space="preserve"> in the FY2011 and FY2012 financial statements</w:t>
      </w:r>
      <w:r>
        <w:t xml:space="preserve"> that</w:t>
      </w:r>
      <w:r w:rsidR="00F2236A">
        <w:t xml:space="preserve"> </w:t>
      </w:r>
      <w:r w:rsidR="005537B0">
        <w:t>C</w:t>
      </w:r>
      <w:r w:rsidR="00F2236A">
        <w:t xml:space="preserve">omet was </w:t>
      </w:r>
      <w:r>
        <w:t>a going concern supported the position that they did not consider that</w:t>
      </w:r>
      <w:r w:rsidR="00E5392F">
        <w:t xml:space="preserve"> repayment</w:t>
      </w:r>
      <w:r w:rsidR="00793444">
        <w:t xml:space="preserve"> of</w:t>
      </w:r>
      <w:r w:rsidR="00E5392F">
        <w:t xml:space="preserve"> </w:t>
      </w:r>
      <w:r w:rsidR="00ED431B">
        <w:t xml:space="preserve">either the KIL RCF or the HAL RCF </w:t>
      </w:r>
      <w:r>
        <w:t>would be</w:t>
      </w:r>
      <w:r w:rsidR="00E5392F">
        <w:t xml:space="preserve"> demanded</w:t>
      </w:r>
      <w:r w:rsidR="00F2236A">
        <w:t xml:space="preserve"> within 12 months of the signing of the relevant financial statements</w:t>
      </w:r>
      <w:r w:rsidR="00B8367B">
        <w:t xml:space="preserve">. Further, </w:t>
      </w:r>
      <w:r w:rsidR="00F955EC">
        <w:t>Darty’s</w:t>
      </w:r>
      <w:r w:rsidR="00B8367B">
        <w:t xml:space="preserve"> witness </w:t>
      </w:r>
      <w:r w:rsidR="0018627A">
        <w:t>evidence supported the conclusion that Comet would continue as a going concern</w:t>
      </w:r>
      <w:r w:rsidR="00015407">
        <w:t>.</w:t>
      </w:r>
      <w:r w:rsidR="00524EBA">
        <w:t xml:space="preserve"> However, there was no </w:t>
      </w:r>
      <w:r w:rsidR="006E4D57">
        <w:t>cle</w:t>
      </w:r>
      <w:r w:rsidR="009F4732">
        <w:t>ar expression of the directors’ views on the likelihood of the HAL RCF being called.</w:t>
      </w:r>
    </w:p>
    <w:p w14:paraId="5181EBA2" w14:textId="009B0719" w:rsidR="00015407" w:rsidRDefault="00F64876" w:rsidP="007F3A53">
      <w:pPr>
        <w:pStyle w:val="BodyText"/>
      </w:pPr>
      <w:r>
        <w:t xml:space="preserve">In relation to the DTA, </w:t>
      </w:r>
      <w:r w:rsidR="000C3BFD">
        <w:t>Mr Lewis referred to the conclusion reflected in the FY2011</w:t>
      </w:r>
      <w:r w:rsidR="00E77478">
        <w:t xml:space="preserve"> accounts</w:t>
      </w:r>
      <w:r w:rsidR="004972E2">
        <w:t xml:space="preserve"> that the DTA, then £27m, </w:t>
      </w:r>
      <w:r w:rsidR="00FF2FF7">
        <w:t xml:space="preserve">could be utilised. The </w:t>
      </w:r>
      <w:r w:rsidR="006B5C27">
        <w:t xml:space="preserve">short </w:t>
      </w:r>
      <w:r w:rsidR="00FF2FF7">
        <w:t xml:space="preserve">supporting document referred to a return to </w:t>
      </w:r>
      <w:r w:rsidR="000520A9">
        <w:t>retail profit in FY2014 and</w:t>
      </w:r>
      <w:r w:rsidR="00B13ED9">
        <w:t xml:space="preserve"> m</w:t>
      </w:r>
      <w:r w:rsidR="002570E9">
        <w:t>odest</w:t>
      </w:r>
      <w:r w:rsidR="000520A9">
        <w:t xml:space="preserve"> </w:t>
      </w:r>
      <w:r w:rsidR="00C5036E">
        <w:t>taxable profit in FY2015.</w:t>
      </w:r>
      <w:r w:rsidR="00966B85">
        <w:t xml:space="preserve"> The slightly longer document produced in July 2012 </w:t>
      </w:r>
      <w:r w:rsidR="00C10A5F">
        <w:t>to support the decision to write the DTA off the following year</w:t>
      </w:r>
      <w:r w:rsidR="006F32E9">
        <w:t xml:space="preserve"> </w:t>
      </w:r>
      <w:r w:rsidR="00D80C8C">
        <w:t xml:space="preserve">also </w:t>
      </w:r>
      <w:r w:rsidR="006F32E9">
        <w:t>suggested a return to</w:t>
      </w:r>
      <w:r w:rsidR="001D6E7D">
        <w:t xml:space="preserve"> modest</w:t>
      </w:r>
      <w:r w:rsidR="006F32E9">
        <w:t xml:space="preserve"> taxable profits in FY2015</w:t>
      </w:r>
      <w:r w:rsidR="00D80C8C">
        <w:t>, but with the DTA continuing to increase to FY2017 due to increasing capital allowances</w:t>
      </w:r>
      <w:r w:rsidR="00C9736B">
        <w:t>,</w:t>
      </w:r>
      <w:r w:rsidR="00202B8A">
        <w:t xml:space="preserve"> such that it was appropriate to write it off</w:t>
      </w:r>
      <w:r w:rsidR="00D80C8C">
        <w:t>.</w:t>
      </w:r>
    </w:p>
    <w:p w14:paraId="0B3139C4" w14:textId="0C37D7FB" w:rsidR="00C9736B" w:rsidRDefault="00C9736B" w:rsidP="007F3A53">
      <w:pPr>
        <w:pStyle w:val="BodyText"/>
      </w:pPr>
      <w:r>
        <w:t>Mr Lewis</w:t>
      </w:r>
      <w:r w:rsidR="00BD7407">
        <w:t xml:space="preserve"> noted that he had </w:t>
      </w:r>
      <w:r w:rsidR="00363FCD">
        <w:t>only been provided with short-term forecasts, rather than the longer-term forecasts he would have expected to see.</w:t>
      </w:r>
      <w:r w:rsidR="007224F8">
        <w:t xml:space="preserve"> He considered other available information, including Comet’s management accounts which </w:t>
      </w:r>
      <w:r w:rsidR="007B51A1">
        <w:t>includ</w:t>
      </w:r>
      <w:r w:rsidR="007224F8">
        <w:t>e</w:t>
      </w:r>
      <w:r w:rsidR="00506C41">
        <w:t>d</w:t>
      </w:r>
      <w:r w:rsidR="007224F8">
        <w:t xml:space="preserve"> the DTA </w:t>
      </w:r>
      <w:r w:rsidR="007B51A1">
        <w:t>up to</w:t>
      </w:r>
      <w:r w:rsidR="00506C41">
        <w:t xml:space="preserve"> </w:t>
      </w:r>
      <w:r w:rsidR="007B51A1">
        <w:t xml:space="preserve">April </w:t>
      </w:r>
      <w:r w:rsidR="00506C41">
        <w:t>2012</w:t>
      </w:r>
      <w:r w:rsidR="00294AE9">
        <w:t xml:space="preserve"> and relevant correspondence</w:t>
      </w:r>
      <w:r w:rsidR="00F40C12">
        <w:t xml:space="preserve">, </w:t>
      </w:r>
      <w:r w:rsidR="00A615AF">
        <w:t xml:space="preserve">pointing out that Comet’s </w:t>
      </w:r>
      <w:r w:rsidR="00F3113F">
        <w:t>B</w:t>
      </w:r>
      <w:r w:rsidR="00A615AF">
        <w:t>oard only made a formal decision to write off the DTA on 24 September 2012</w:t>
      </w:r>
      <w:r w:rsidR="00294AE9">
        <w:t>.</w:t>
      </w:r>
    </w:p>
    <w:p w14:paraId="09E9A773" w14:textId="0EF01EBC" w:rsidR="00467071" w:rsidRDefault="00700C7B" w:rsidP="007F3A53">
      <w:pPr>
        <w:pStyle w:val="BodyText"/>
      </w:pPr>
      <w:r>
        <w:t xml:space="preserve">Having referred to the </w:t>
      </w:r>
      <w:r w:rsidR="004A7EC2">
        <w:t xml:space="preserve">New Board’s assessment of solvency on 3 February 2012 and </w:t>
      </w:r>
      <w:r w:rsidR="005B0448">
        <w:t xml:space="preserve">what Mr Lewis considered to be a reasonable assumption that OpCapita </w:t>
      </w:r>
      <w:r w:rsidR="00B60B93">
        <w:t>acquired Comet</w:t>
      </w:r>
      <w:r w:rsidR="005B0448">
        <w:t xml:space="preserve"> on the basis that </w:t>
      </w:r>
      <w:r w:rsidR="009D1747">
        <w:t>i</w:t>
      </w:r>
      <w:r w:rsidR="005B0448">
        <w:t>t could be returned to profit</w:t>
      </w:r>
      <w:r w:rsidR="002500C9">
        <w:t>, Mr Lewis concluded that without l</w:t>
      </w:r>
      <w:r w:rsidR="00205F39">
        <w:t>o</w:t>
      </w:r>
      <w:r w:rsidR="002500C9">
        <w:t>ng</w:t>
      </w:r>
      <w:r w:rsidR="00205F39">
        <w:t>-</w:t>
      </w:r>
      <w:r w:rsidR="002500C9">
        <w:t>term forecasts</w:t>
      </w:r>
      <w:r w:rsidR="00205F39">
        <w:t xml:space="preserve"> he could not reach a firm conclusion</w:t>
      </w:r>
      <w:r w:rsidR="0090235D">
        <w:t xml:space="preserve"> about whether the DTA was recoverable either in full or in part at the date of the Disposal.</w:t>
      </w:r>
    </w:p>
    <w:p w14:paraId="612AE10C" w14:textId="69376845" w:rsidR="001F6DDE" w:rsidRDefault="005B4453" w:rsidP="005B4453">
      <w:pPr>
        <w:pStyle w:val="Heading3"/>
      </w:pPr>
      <w:r>
        <w:t>Long-term liabilities</w:t>
      </w:r>
      <w:r w:rsidR="00306391">
        <w:t xml:space="preserve"> and net debt</w:t>
      </w:r>
    </w:p>
    <w:p w14:paraId="0024F8BB" w14:textId="1043DC87" w:rsidR="005B4453" w:rsidRDefault="00863556" w:rsidP="00916126">
      <w:pPr>
        <w:pStyle w:val="BodyText"/>
      </w:pPr>
      <w:r>
        <w:t xml:space="preserve">Darty did not dispute that the </w:t>
      </w:r>
      <w:r w:rsidR="00935337">
        <w:t>balance sheet was an appropriate starting point for determining balance sheet solvency but, in</w:t>
      </w:r>
      <w:r w:rsidR="00305B72">
        <w:t xml:space="preserve"> a case developed for the first time in cross-examination of Mr Ellison, </w:t>
      </w:r>
      <w:r w:rsidR="00935337">
        <w:t xml:space="preserve">it </w:t>
      </w:r>
      <w:r w:rsidR="00EB5E58">
        <w:t>maintained that irrespective of the DTA</w:t>
      </w:r>
      <w:r w:rsidR="001F126A">
        <w:t xml:space="preserve"> position Comet was solvent on a balance sheet basis because</w:t>
      </w:r>
      <w:r w:rsidR="00030B7E">
        <w:t xml:space="preserve"> </w:t>
      </w:r>
      <w:r w:rsidR="004F78E1">
        <w:t xml:space="preserve">(using IFRS figures at 31 January 2012) </w:t>
      </w:r>
      <w:r w:rsidR="00030B7E">
        <w:t>(a) current assets exceeded current liabilities by a reasonable margin</w:t>
      </w:r>
      <w:r w:rsidR="008C5981">
        <w:t>, indicating an ability</w:t>
      </w:r>
      <w:r w:rsidR="00F228C3">
        <w:t xml:space="preserve"> </w:t>
      </w:r>
      <w:r w:rsidR="008C5981">
        <w:t>to pay debts over the following 12 months</w:t>
      </w:r>
      <w:r w:rsidR="009856D6">
        <w:t>;</w:t>
      </w:r>
      <w:r w:rsidR="00C822D7">
        <w:t xml:space="preserve"> and (b)</w:t>
      </w:r>
      <w:r w:rsidR="00F70C9B">
        <w:t xml:space="preserve"> the deficit only arose as a result of creditors over one year </w:t>
      </w:r>
      <w:r w:rsidR="004F78E1">
        <w:t>of £85.2m</w:t>
      </w:r>
      <w:r w:rsidR="00F7026E">
        <w:t xml:space="preserve"> and net debt of £116.1m.</w:t>
      </w:r>
      <w:r w:rsidR="0034367A">
        <w:t xml:space="preserve"> </w:t>
      </w:r>
      <w:r w:rsidR="006001CF">
        <w:t>Mr Smith</w:t>
      </w:r>
      <w:r w:rsidR="0034367A">
        <w:t xml:space="preserve"> submitted </w:t>
      </w:r>
      <w:r w:rsidR="0004216A">
        <w:t>that most of the £85.2m should not be taken into account, and the balance (if at all)</w:t>
      </w:r>
      <w:r w:rsidR="00583D32">
        <w:t xml:space="preserve"> only on a discounted basis.</w:t>
      </w:r>
      <w:r w:rsidR="00CE0616">
        <w:t xml:space="preserve"> </w:t>
      </w:r>
      <w:r w:rsidR="006001CF">
        <w:t>H</w:t>
      </w:r>
      <w:r w:rsidR="00CE0616">
        <w:t xml:space="preserve">e also submitted that </w:t>
      </w:r>
      <w:r w:rsidR="006001CF">
        <w:t xml:space="preserve">the major component of net debt, </w:t>
      </w:r>
      <w:r w:rsidR="002D39C1">
        <w:t>being the KIL RCF, should not be included at face value.</w:t>
      </w:r>
    </w:p>
    <w:p w14:paraId="76F65252" w14:textId="119296EB" w:rsidR="009E57C0" w:rsidRDefault="009E57C0" w:rsidP="00916126">
      <w:pPr>
        <w:pStyle w:val="BodyText"/>
      </w:pPr>
      <w:r>
        <w:t xml:space="preserve">I deal with the </w:t>
      </w:r>
      <w:r w:rsidR="00A8318C">
        <w:t xml:space="preserve">individual </w:t>
      </w:r>
      <w:r>
        <w:t xml:space="preserve">points raised </w:t>
      </w:r>
      <w:r w:rsidR="00A8318C">
        <w:t>below. But I first</w:t>
      </w:r>
      <w:r w:rsidR="00276E3E">
        <w:t xml:space="preserve"> need to comment on the element of ambush that Dart</w:t>
      </w:r>
      <w:r w:rsidR="009134D6">
        <w:t>y’s approach involved. It is not a proper answer to this simply to refer to</w:t>
      </w:r>
      <w:r w:rsidR="00755FDE">
        <w:t xml:space="preserve"> the burden of proof being on the Liquidator on th</w:t>
      </w:r>
      <w:r w:rsidR="00A61AEE">
        <w:t>e solvency</w:t>
      </w:r>
      <w:r w:rsidR="00755FDE">
        <w:t xml:space="preserve"> issue. </w:t>
      </w:r>
      <w:r w:rsidR="00A647C2">
        <w:t>Both</w:t>
      </w:r>
      <w:r w:rsidR="00A61AEE">
        <w:t xml:space="preserve"> expert</w:t>
      </w:r>
      <w:r w:rsidR="00A647C2">
        <w:t>s</w:t>
      </w:r>
      <w:r w:rsidR="00A61AEE">
        <w:t xml:space="preserve"> w</w:t>
      </w:r>
      <w:r w:rsidR="00A647C2">
        <w:t>ere</w:t>
      </w:r>
      <w:r w:rsidR="00A61AEE">
        <w:t xml:space="preserve"> asked to opine on </w:t>
      </w:r>
      <w:r w:rsidR="00606A80">
        <w:t>solvency for the purposes of s.123</w:t>
      </w:r>
      <w:r w:rsidR="009113DA">
        <w:t xml:space="preserve"> and </w:t>
      </w:r>
      <w:r w:rsidR="00F00668">
        <w:t>these points were not raised. O</w:t>
      </w:r>
      <w:r w:rsidR="00015527">
        <w:t>f course the issue of solvency is ultimately one for the court and not experts, but the effect of Darty’s approach is that</w:t>
      </w:r>
      <w:r w:rsidR="006059D8">
        <w:t xml:space="preserve"> not only was</w:t>
      </w:r>
      <w:r w:rsidR="00015527">
        <w:t xml:space="preserve"> </w:t>
      </w:r>
      <w:r w:rsidR="00401956">
        <w:t xml:space="preserve">the court </w:t>
      </w:r>
      <w:r w:rsidR="006059D8">
        <w:t xml:space="preserve">unable </w:t>
      </w:r>
      <w:r w:rsidR="00401956">
        <w:t xml:space="preserve">to obtain any assistance in relation to matters that </w:t>
      </w:r>
      <w:r w:rsidR="00AC094D">
        <w:t>experts could have addressed, in particular in relation to</w:t>
      </w:r>
      <w:r w:rsidR="006908B8">
        <w:t xml:space="preserve"> the</w:t>
      </w:r>
      <w:r w:rsidR="00AC094D">
        <w:t xml:space="preserve"> discounting</w:t>
      </w:r>
      <w:r w:rsidR="00EB05B9">
        <w:t xml:space="preserve"> of pro</w:t>
      </w:r>
      <w:r w:rsidR="00A06E6E">
        <w:t>spective liabilities</w:t>
      </w:r>
      <w:r w:rsidR="006059D8">
        <w:t xml:space="preserve">, but </w:t>
      </w:r>
      <w:r w:rsidR="00D91D4A">
        <w:t>Darty’s approach at trial conflict</w:t>
      </w:r>
      <w:r w:rsidR="006059D8">
        <w:t>ed</w:t>
      </w:r>
      <w:r w:rsidR="00D91D4A">
        <w:t xml:space="preserve"> with that of its own expert.</w:t>
      </w:r>
      <w:r w:rsidR="007F2168">
        <w:t xml:space="preserve"> The proper time to ensure </w:t>
      </w:r>
      <w:r w:rsidR="005009D9">
        <w:t xml:space="preserve">that </w:t>
      </w:r>
      <w:r w:rsidR="007F2168">
        <w:t>the point was raised was</w:t>
      </w:r>
      <w:r w:rsidR="005009D9">
        <w:t xml:space="preserve"> through the expert report process.</w:t>
      </w:r>
    </w:p>
    <w:p w14:paraId="0BDE7496" w14:textId="6EB0BDC3" w:rsidR="001A4F9C" w:rsidRDefault="001A4F9C" w:rsidP="00916126">
      <w:pPr>
        <w:pStyle w:val="BodyText"/>
      </w:pPr>
      <w:r>
        <w:t xml:space="preserve">A further initial point to make is that Mr Ellison was clear in his evidence that he </w:t>
      </w:r>
      <w:r w:rsidR="000E7EFD">
        <w:t>had excluded contingent liabilities from his assessment</w:t>
      </w:r>
      <w:r w:rsidR="00E708DF">
        <w:t xml:space="preserve">. He was referring here to liabilities that are treated </w:t>
      </w:r>
      <w:r w:rsidR="000A4170">
        <w:t>as</w:t>
      </w:r>
      <w:r w:rsidR="00A404BC">
        <w:t xml:space="preserve"> conti</w:t>
      </w:r>
      <w:r w:rsidR="00EC78BA">
        <w:t>ngent in an accounting sense, and are typically disclosed in</w:t>
      </w:r>
      <w:r w:rsidR="00925BBF">
        <w:t xml:space="preserve"> the</w:t>
      </w:r>
      <w:r w:rsidR="00EC78BA">
        <w:t xml:space="preserve"> notes to the accounts</w:t>
      </w:r>
      <w:r w:rsidR="00094D2F">
        <w:t>.</w:t>
      </w:r>
      <w:r w:rsidR="00EC78BA">
        <w:t xml:space="preserve"> Mr Ellison explained that</w:t>
      </w:r>
      <w:r w:rsidR="003363A5">
        <w:t xml:space="preserve"> the accounting concept applie</w:t>
      </w:r>
      <w:r w:rsidR="00E93E19">
        <w:t>s</w:t>
      </w:r>
      <w:r w:rsidR="003363A5">
        <w:t xml:space="preserve"> to liabilities</w:t>
      </w:r>
      <w:r w:rsidR="00244EDC">
        <w:t xml:space="preserve"> where there </w:t>
      </w:r>
      <w:r w:rsidR="00E93E19">
        <w:t>i</w:t>
      </w:r>
      <w:r w:rsidR="00244EDC">
        <w:t>s uncertainty as to whether they w</w:t>
      </w:r>
      <w:r w:rsidR="00E93E19">
        <w:t>ill</w:t>
      </w:r>
      <w:r w:rsidR="00244EDC">
        <w:t xml:space="preserve"> crystallise. Such liabilities are usu</w:t>
      </w:r>
      <w:r w:rsidR="002A1ABC">
        <w:t>ally only provided for in the accounts, as opposed to</w:t>
      </w:r>
      <w:r w:rsidR="00723428">
        <w:t xml:space="preserve"> being</w:t>
      </w:r>
      <w:r w:rsidR="002A1ABC">
        <w:t xml:space="preserve"> disclosed</w:t>
      </w:r>
      <w:r w:rsidR="00925BBF">
        <w:t xml:space="preserve"> in the notes</w:t>
      </w:r>
      <w:r w:rsidR="002A1ABC">
        <w:t>, where they were more likely than not to cr</w:t>
      </w:r>
      <w:r w:rsidR="00846005">
        <w:t>ystallise.</w:t>
      </w:r>
      <w:r w:rsidR="005F62B1">
        <w:t xml:space="preserve"> As I understood his evidence, he had entirely excluded </w:t>
      </w:r>
      <w:r w:rsidR="0083471E">
        <w:t>contingent liabilities that were disclosed, as opposed to provided, in the accounts.</w:t>
      </w:r>
    </w:p>
    <w:p w14:paraId="512EF807" w14:textId="5B8DBA78" w:rsidR="00F7026E" w:rsidRDefault="00C12556" w:rsidP="00916126">
      <w:pPr>
        <w:pStyle w:val="BodyText"/>
      </w:pPr>
      <w:r>
        <w:t xml:space="preserve">Turning to the long-term liabilities that were </w:t>
      </w:r>
      <w:r w:rsidR="00634D65">
        <w:t>taken into account by Mr Ellison</w:t>
      </w:r>
      <w:r>
        <w:t>, o</w:t>
      </w:r>
      <w:r w:rsidR="00306391">
        <w:t xml:space="preserve">f the </w:t>
      </w:r>
      <w:r w:rsidR="00376ACD">
        <w:t>£85.2m, £38.45</w:t>
      </w:r>
      <w:r w:rsidR="004C7A35">
        <w:t xml:space="preserve">m was attributable to landlord incentives in the form of </w:t>
      </w:r>
      <w:r w:rsidR="002731AA">
        <w:t>reverse premiums, rent free periods and</w:t>
      </w:r>
      <w:r w:rsidR="0081192E">
        <w:t xml:space="preserve"> (in respect of</w:t>
      </w:r>
      <w:r w:rsidR="005D2F8C">
        <w:t xml:space="preserve"> around £2.2m)</w:t>
      </w:r>
      <w:r w:rsidR="002731AA">
        <w:t xml:space="preserve"> capital contributions.</w:t>
      </w:r>
      <w:r w:rsidR="003735D0">
        <w:t xml:space="preserve"> Mr Smith submitted that these did not represent liabilit</w:t>
      </w:r>
      <w:r w:rsidR="00441460">
        <w:t>ies</w:t>
      </w:r>
      <w:r w:rsidR="003735D0">
        <w:t xml:space="preserve"> at all</w:t>
      </w:r>
      <w:r w:rsidR="00CD3FA3">
        <w:t xml:space="preserve">, but </w:t>
      </w:r>
      <w:r w:rsidR="0081192E">
        <w:t>were</w:t>
      </w:r>
      <w:r w:rsidR="00CD3FA3">
        <w:t xml:space="preserve"> simply a reflection of an accounting requirement to spread the benefit of the</w:t>
      </w:r>
      <w:r w:rsidR="005D2F8C">
        <w:t xml:space="preserve"> relevant</w:t>
      </w:r>
      <w:r w:rsidR="00CD3FA3">
        <w:t xml:space="preserve"> incentive.</w:t>
      </w:r>
    </w:p>
    <w:p w14:paraId="34E160DF" w14:textId="7F965AE7" w:rsidR="00A849E4" w:rsidRDefault="00B71AAB" w:rsidP="00916126">
      <w:pPr>
        <w:pStyle w:val="BodyText"/>
      </w:pPr>
      <w:r>
        <w:t xml:space="preserve">In my assessment Mr Ellison dealt with this effectively in cross-examination. </w:t>
      </w:r>
      <w:r w:rsidR="004341A3">
        <w:t>He was given an example</w:t>
      </w:r>
      <w:r w:rsidR="00302AFD">
        <w:t xml:space="preserve"> of a five year lease at a rent of £1m per annum, with </w:t>
      </w:r>
      <w:r w:rsidR="007526FC">
        <w:t>the first</w:t>
      </w:r>
      <w:r w:rsidR="00302AFD">
        <w:t xml:space="preserve"> year rent free. </w:t>
      </w:r>
      <w:r w:rsidR="002F7FC6">
        <w:t>Ignoring rent revie</w:t>
      </w:r>
      <w:r w:rsidR="007804B1">
        <w:t xml:space="preserve">ws for simplicity, the </w:t>
      </w:r>
      <w:r w:rsidR="00DE0065">
        <w:t>correct P&amp;L treatment is to record</w:t>
      </w:r>
      <w:r w:rsidR="00A31A3E">
        <w:t xml:space="preserve"> an annual expense of £800,000, corresponding to the total of £4m rent actually payable over the lease term. </w:t>
      </w:r>
    </w:p>
    <w:p w14:paraId="28CC47D0" w14:textId="7FD8BE0E" w:rsidR="00EB3FE9" w:rsidRDefault="00A849E4" w:rsidP="00916126">
      <w:pPr>
        <w:pStyle w:val="BodyText"/>
      </w:pPr>
      <w:r>
        <w:t>In the first year there is obviously no cash outlay because no rent is actually charged</w:t>
      </w:r>
      <w:r w:rsidR="007526FC">
        <w:t xml:space="preserve">. </w:t>
      </w:r>
      <w:r w:rsidR="002C009F">
        <w:t xml:space="preserve">So, rather than a reduction in cash </w:t>
      </w:r>
      <w:r w:rsidR="00A54175">
        <w:t xml:space="preserve">or </w:t>
      </w:r>
      <w:r w:rsidR="00D3080B">
        <w:t xml:space="preserve">an </w:t>
      </w:r>
      <w:r w:rsidR="00A54175">
        <w:t>increase</w:t>
      </w:r>
      <w:r w:rsidR="00D3080B">
        <w:t xml:space="preserve"> in</w:t>
      </w:r>
      <w:r w:rsidR="00A54175">
        <w:t xml:space="preserve"> borrowings, the corresponding balance sheet entry </w:t>
      </w:r>
      <w:r w:rsidR="00D92B11">
        <w:t>is a liability of £800,000. That amount then reduces by £200,000 per year over the following four years</w:t>
      </w:r>
      <w:r w:rsidR="009D766A">
        <w:t>, matching the excess of the £1m rent paid</w:t>
      </w:r>
      <w:r w:rsidR="00170185">
        <w:t xml:space="preserve"> in each of those years</w:t>
      </w:r>
      <w:r w:rsidR="009D766A">
        <w:t xml:space="preserve"> over the </w:t>
      </w:r>
      <w:r w:rsidR="002502AD">
        <w:t xml:space="preserve">£800,000 </w:t>
      </w:r>
      <w:r w:rsidR="009D766A">
        <w:t>charge</w:t>
      </w:r>
      <w:r w:rsidR="00170185">
        <w:t>d</w:t>
      </w:r>
      <w:r w:rsidR="009D766A">
        <w:t xml:space="preserve"> to P&amp;L.</w:t>
      </w:r>
    </w:p>
    <w:p w14:paraId="721797FD" w14:textId="2CB3A86A" w:rsidR="00293689" w:rsidRDefault="00293689" w:rsidP="00916126">
      <w:pPr>
        <w:pStyle w:val="BodyText"/>
      </w:pPr>
      <w:r>
        <w:t>Mr Ellison</w:t>
      </w:r>
      <w:r w:rsidR="00FF34DD">
        <w:t xml:space="preserve"> explained the liability as reflecting the fact that</w:t>
      </w:r>
      <w:r w:rsidR="00FA41B7">
        <w:t xml:space="preserve"> the tenant was committed to paying “</w:t>
      </w:r>
      <w:r w:rsidR="00FA41B7" w:rsidRPr="009E5F6E">
        <w:t>over the odds</w:t>
      </w:r>
      <w:r w:rsidR="00FA41B7">
        <w:t xml:space="preserve">” in years two to five. </w:t>
      </w:r>
      <w:r w:rsidR="00F97033">
        <w:t>I agree</w:t>
      </w:r>
      <w:r w:rsidR="00E033B4">
        <w:t xml:space="preserve"> and would make two points</w:t>
      </w:r>
      <w:r w:rsidR="00F97033">
        <w:t xml:space="preserve">. </w:t>
      </w:r>
      <w:r w:rsidR="00E033B4">
        <w:t xml:space="preserve">First, </w:t>
      </w:r>
      <w:r w:rsidR="00470B49">
        <w:t>the £800,000</w:t>
      </w:r>
      <w:r w:rsidR="00E113CB">
        <w:t xml:space="preserve"> of liability on the balance sheet</w:t>
      </w:r>
      <w:r w:rsidR="00470B49">
        <w:t xml:space="preserve"> </w:t>
      </w:r>
      <w:r w:rsidR="00F97033">
        <w:t xml:space="preserve">corresponds to actual rent that the tenant will be obliged to pay over the </w:t>
      </w:r>
      <w:r w:rsidR="00F65397">
        <w:t xml:space="preserve">term of the </w:t>
      </w:r>
      <w:r w:rsidR="00F97033">
        <w:t xml:space="preserve">lease. </w:t>
      </w:r>
      <w:r w:rsidR="00F65397">
        <w:t xml:space="preserve">Secondly, </w:t>
      </w:r>
      <w:r w:rsidR="00195AE5">
        <w:t xml:space="preserve">it reflects that £1m per annum </w:t>
      </w:r>
      <w:r w:rsidR="00195AE5" w:rsidRPr="00195AE5">
        <w:rPr>
          <w:i/>
          <w:iCs/>
        </w:rPr>
        <w:t>is</w:t>
      </w:r>
      <w:r w:rsidR="008D0CAF">
        <w:rPr>
          <w:i/>
          <w:iCs/>
        </w:rPr>
        <w:t xml:space="preserve"> </w:t>
      </w:r>
      <w:r w:rsidR="008D0CAF">
        <w:t>an excessive rent as compared to what</w:t>
      </w:r>
      <w:r w:rsidR="00A93D87">
        <w:t xml:space="preserve"> an incoming tenant would</w:t>
      </w:r>
      <w:r w:rsidR="007C18F1">
        <w:t xml:space="preserve"> be prepared to</w:t>
      </w:r>
      <w:r w:rsidR="00A93D87">
        <w:t xml:space="preserve"> pay. The fact that </w:t>
      </w:r>
      <w:r w:rsidR="00F86798">
        <w:t>the tenant has agreed to pay only £4m over five years</w:t>
      </w:r>
      <w:r w:rsidR="00A93D87">
        <w:t xml:space="preserve"> demonstrates th</w:t>
      </w:r>
      <w:r w:rsidR="00F86798">
        <w:t>is.</w:t>
      </w:r>
      <w:r w:rsidR="00E86859">
        <w:t xml:space="preserve"> </w:t>
      </w:r>
      <w:r w:rsidR="004346D4">
        <w:t>Contrary to Mr Smith’s submission, i</w:t>
      </w:r>
      <w:r w:rsidR="00E86859">
        <w:t>n my vi</w:t>
      </w:r>
      <w:r w:rsidR="00AC62CB">
        <w:t xml:space="preserve">ew it makes no difference that the liability </w:t>
      </w:r>
      <w:r w:rsidR="00C47D88">
        <w:t xml:space="preserve">is recorded pursuant to an accounting standard that specifically </w:t>
      </w:r>
      <w:r w:rsidR="001C2EEE">
        <w:t xml:space="preserve">addresses landlord incentives </w:t>
      </w:r>
      <w:r w:rsidR="004608A9">
        <w:t xml:space="preserve">rather than one </w:t>
      </w:r>
      <w:r w:rsidR="004346D4">
        <w:t>that deals</w:t>
      </w:r>
      <w:r w:rsidR="00013D86">
        <w:t xml:space="preserve"> explicitly</w:t>
      </w:r>
      <w:r w:rsidR="004346D4">
        <w:t xml:space="preserve"> with</w:t>
      </w:r>
      <w:r w:rsidR="004608A9">
        <w:t xml:space="preserve"> onerous leases</w:t>
      </w:r>
      <w:r w:rsidR="00B46E53">
        <w:t>.</w:t>
      </w:r>
    </w:p>
    <w:p w14:paraId="5DFD4C42" w14:textId="5DE75922" w:rsidR="00DF35B4" w:rsidRDefault="00B46E53" w:rsidP="00916126">
      <w:pPr>
        <w:pStyle w:val="BodyText"/>
      </w:pPr>
      <w:r>
        <w:t>I accept that</w:t>
      </w:r>
      <w:r w:rsidR="009D316D">
        <w:t xml:space="preserve"> Mr Ellison has not applied discounting, as required </w:t>
      </w:r>
      <w:r w:rsidR="00986612">
        <w:t>for the p</w:t>
      </w:r>
      <w:r w:rsidR="00FC521E">
        <w:t xml:space="preserve">urposes of s.123(2) </w:t>
      </w:r>
      <w:r w:rsidR="000E1ADD">
        <w:t>in respect of contingent and prospective liabilities.</w:t>
      </w:r>
      <w:r w:rsidR="003E12E8">
        <w:t xml:space="preserve"> I will return to that</w:t>
      </w:r>
      <w:r w:rsidR="00D455B0">
        <w:t xml:space="preserve">, but in circumstances </w:t>
      </w:r>
      <w:r w:rsidR="00376C17">
        <w:t>where the issue was not raised in time to allow it to be properly addressed</w:t>
      </w:r>
      <w:r w:rsidR="00034C05">
        <w:t>, I have very limited tools</w:t>
      </w:r>
      <w:r w:rsidR="00084731">
        <w:t xml:space="preserve"> to approach that question and will need to take a broad brush approach</w:t>
      </w:r>
      <w:r w:rsidR="003E12E8">
        <w:t xml:space="preserve">. </w:t>
      </w:r>
      <w:r w:rsidR="00DF35B4">
        <w:t>In the circumstances I am not prepared to accede</w:t>
      </w:r>
      <w:r w:rsidR="00260A2F">
        <w:t xml:space="preserve"> to Mr Smith’s submission that I should</w:t>
      </w:r>
      <w:r w:rsidR="00260A2F" w:rsidRPr="00260A2F">
        <w:t xml:space="preserve"> </w:t>
      </w:r>
      <w:r w:rsidR="00260A2F">
        <w:t>simply exclude figures that Mr Ellison has not attempted to discount.</w:t>
      </w:r>
    </w:p>
    <w:p w14:paraId="0D0DE025" w14:textId="34EC371B" w:rsidR="00901033" w:rsidRDefault="003E12E8" w:rsidP="00916126">
      <w:pPr>
        <w:pStyle w:val="BodyText"/>
      </w:pPr>
      <w:r>
        <w:t xml:space="preserve">I also </w:t>
      </w:r>
      <w:r w:rsidR="000D73BB">
        <w:t>recognise the oddity of concluding that Comet was balance sheet insolvent on a IFRS but not GAAP basis</w:t>
      </w:r>
      <w:r w:rsidR="00AF1165">
        <w:t xml:space="preserve"> (because of the different treatment of lease incentives</w:t>
      </w:r>
      <w:r w:rsidR="006A0B0A">
        <w:t>,</w:t>
      </w:r>
      <w:r w:rsidR="00AF1165">
        <w:t xml:space="preserve"> see [</w:t>
      </w:r>
      <w:r w:rsidR="009B1FED">
        <w:fldChar w:fldCharType="begin"/>
      </w:r>
      <w:r w:rsidR="009B1FED">
        <w:instrText xml:space="preserve"> REF _Ref118704174 \r \h </w:instrText>
      </w:r>
      <w:r w:rsidR="009B1FED">
        <w:fldChar w:fldCharType="separate"/>
      </w:r>
      <w:r w:rsidR="00E762C8">
        <w:t>146</w:t>
      </w:r>
      <w:r w:rsidR="009B1FED">
        <w:fldChar w:fldCharType="end"/>
      </w:r>
      <w:r w:rsidR="00AF1165">
        <w:t>] above)</w:t>
      </w:r>
      <w:r w:rsidR="00D23E9C">
        <w:t xml:space="preserve">, but point out that on either basis </w:t>
      </w:r>
      <w:r w:rsidR="00AF2152">
        <w:t xml:space="preserve">Mr Ellison’s calculations showed balance sheet insolvency </w:t>
      </w:r>
      <w:r w:rsidR="00D01FD5">
        <w:t>prior to the Disposal.</w:t>
      </w:r>
      <w:r w:rsidR="00E0742D">
        <w:t xml:space="preserve"> </w:t>
      </w:r>
    </w:p>
    <w:p w14:paraId="25DC92EB" w14:textId="69CD4879" w:rsidR="00B46E53" w:rsidRDefault="00901033" w:rsidP="00916126">
      <w:pPr>
        <w:pStyle w:val="BodyText"/>
      </w:pPr>
      <w:r>
        <w:t>Long-term liabilities also</w:t>
      </w:r>
      <w:r w:rsidR="00561BCA">
        <w:t xml:space="preserve"> include</w:t>
      </w:r>
      <w:r w:rsidR="00D022F1">
        <w:t xml:space="preserve"> a DB Scheme adjustment of £26.</w:t>
      </w:r>
      <w:r w:rsidR="00EA5B15">
        <w:t>6</w:t>
      </w:r>
      <w:r w:rsidR="00D022F1">
        <w:t>m</w:t>
      </w:r>
      <w:r w:rsidR="00C12DAB">
        <w:t xml:space="preserve">. Mr Smith criticised Mr Ellison for including this at face value </w:t>
      </w:r>
      <w:r w:rsidR="009C6F29">
        <w:t>without interrogating it</w:t>
      </w:r>
      <w:r w:rsidR="00C269A5">
        <w:t>. He submitted that it was likely to be an estimate of the present value</w:t>
      </w:r>
      <w:r w:rsidR="000E1ADD">
        <w:t xml:space="preserve"> </w:t>
      </w:r>
      <w:r w:rsidR="00C269A5">
        <w:t xml:space="preserve">of the DB Scheme </w:t>
      </w:r>
      <w:r w:rsidR="003A425A">
        <w:t>deficit</w:t>
      </w:r>
      <w:r w:rsidR="00B95C39">
        <w:t>, but was not an estimate of what Comet would in fact expect to pay</w:t>
      </w:r>
      <w:r w:rsidR="00085BF8">
        <w:t xml:space="preserve"> if it continued as a going concern</w:t>
      </w:r>
      <w:r w:rsidR="003A425A">
        <w:t>, which had been agreed at £6.1m.</w:t>
      </w:r>
      <w:r w:rsidR="00907574">
        <w:t xml:space="preserve"> The estimate was in any event highly contingent</w:t>
      </w:r>
      <w:r w:rsidR="00A4603A">
        <w:t>.</w:t>
      </w:r>
    </w:p>
    <w:p w14:paraId="4938BDB0" w14:textId="12FCA94E" w:rsidR="00CE522D" w:rsidRDefault="00941F54" w:rsidP="00916126">
      <w:pPr>
        <w:pStyle w:val="BodyText"/>
      </w:pPr>
      <w:r>
        <w:t>I disagree</w:t>
      </w:r>
      <w:r w:rsidR="00781336">
        <w:t xml:space="preserve">. </w:t>
      </w:r>
      <w:r w:rsidR="00101A75">
        <w:t>In the absence of more detailed information I have no reason to question the provision in respect of the DB Scheme</w:t>
      </w:r>
      <w:r w:rsidR="001D51C9">
        <w:t xml:space="preserve">. </w:t>
      </w:r>
      <w:r w:rsidR="00B856C6">
        <w:t xml:space="preserve">The notes to the FY2011 accounts indicate that it is calculated </w:t>
      </w:r>
      <w:r w:rsidR="00A27B48">
        <w:t>in accordance with FRS17</w:t>
      </w:r>
      <w:r w:rsidR="007C42EC">
        <w:t xml:space="preserve"> and </w:t>
      </w:r>
      <w:r w:rsidR="00B856C6">
        <w:t>on a present value basis, so discounting is incorporated.</w:t>
      </w:r>
      <w:r w:rsidR="00A91FBF">
        <w:t xml:space="preserve"> The currently agreed</w:t>
      </w:r>
      <w:r w:rsidR="00923D2C">
        <w:t xml:space="preserve"> annual</w:t>
      </w:r>
      <w:r w:rsidR="00A91FBF">
        <w:t xml:space="preserve"> deficit contribution level is not determinative of the overall liability.</w:t>
      </w:r>
    </w:p>
    <w:p w14:paraId="784490A3" w14:textId="1C906A96" w:rsidR="00E62EE9" w:rsidRDefault="00DB5CB9" w:rsidP="00916126">
      <w:pPr>
        <w:pStyle w:val="BodyText"/>
      </w:pPr>
      <w:r>
        <w:t xml:space="preserve">A further </w:t>
      </w:r>
      <w:r w:rsidR="002D7A7A">
        <w:t>component</w:t>
      </w:r>
      <w:r>
        <w:t xml:space="preserve"> of long-term liabilities w</w:t>
      </w:r>
      <w:r w:rsidR="002D7A7A">
        <w:t xml:space="preserve">ere provisions described as “exceptional idle” and </w:t>
      </w:r>
      <w:r w:rsidR="00651E95">
        <w:t>“</w:t>
      </w:r>
      <w:r w:rsidR="002D7A7A">
        <w:t>idle provision</w:t>
      </w:r>
      <w:r w:rsidR="00651E95">
        <w:t>”. Mr Smith criticised the fact that Mr Ellison had not interrogated these and did not know what they were.</w:t>
      </w:r>
      <w:r w:rsidR="009F292D">
        <w:t xml:space="preserve"> In fact, I can see from the FY2011 and FY2012 accounts </w:t>
      </w:r>
      <w:r w:rsidR="00C62695">
        <w:t>that they are provisions for future liabilities in respect</w:t>
      </w:r>
      <w:r w:rsidR="00AB1057">
        <w:t xml:space="preserve"> of</w:t>
      </w:r>
      <w:r w:rsidR="00C62695">
        <w:t xml:space="preserve"> </w:t>
      </w:r>
      <w:r w:rsidR="00636011">
        <w:t>rent, rates and service charges for</w:t>
      </w:r>
      <w:r w:rsidR="00C62695">
        <w:t xml:space="preserve"> unused (idle)</w:t>
      </w:r>
      <w:r w:rsidR="00E911D3">
        <w:t xml:space="preserve"> properties and those sublet at a shortfall. </w:t>
      </w:r>
      <w:r w:rsidR="002460ED">
        <w:t>Relevant to discounting, the</w:t>
      </w:r>
      <w:r w:rsidR="005862D5">
        <w:t xml:space="preserve"> </w:t>
      </w:r>
      <w:r w:rsidR="00636011">
        <w:t>accounts</w:t>
      </w:r>
      <w:r w:rsidR="002460ED">
        <w:t xml:space="preserve"> also</w:t>
      </w:r>
      <w:r w:rsidR="00636011">
        <w:t xml:space="preserve"> indicate that </w:t>
      </w:r>
      <w:r w:rsidR="00C03B6A">
        <w:t xml:space="preserve">the majority of the provision </w:t>
      </w:r>
      <w:r w:rsidR="002460ED">
        <w:t xml:space="preserve">was </w:t>
      </w:r>
      <w:r w:rsidR="00C03B6A">
        <w:t>expected to be used within 5 years</w:t>
      </w:r>
      <w:r w:rsidR="005862D5">
        <w:t>.</w:t>
      </w:r>
    </w:p>
    <w:p w14:paraId="5994D389" w14:textId="098287F3" w:rsidR="00FB5A9E" w:rsidRDefault="003153CF" w:rsidP="00916126">
      <w:pPr>
        <w:pStyle w:val="BodyText"/>
      </w:pPr>
      <w:r>
        <w:t>Finally, long-term liabilities included</w:t>
      </w:r>
      <w:r w:rsidR="008F71A0">
        <w:t xml:space="preserve"> an onerous lease provision of around £4m </w:t>
      </w:r>
      <w:r w:rsidR="00FC4D84">
        <w:t>and a “rent fixed uplift” of around £6.6m</w:t>
      </w:r>
      <w:r w:rsidR="001C319D">
        <w:t>, which Mr Smith</w:t>
      </w:r>
      <w:r w:rsidR="0076603C">
        <w:t xml:space="preserve"> submitted should be excluded in the absence of a sensible discount being applied by Mr Ellison</w:t>
      </w:r>
      <w:r w:rsidR="00260A2F">
        <w:t>.</w:t>
      </w:r>
      <w:r w:rsidR="00A51527">
        <w:t xml:space="preserve"> My understanding from the </w:t>
      </w:r>
      <w:r w:rsidR="004E0429">
        <w:t>note</w:t>
      </w:r>
      <w:r w:rsidR="00A51527">
        <w:t xml:space="preserve">s to </w:t>
      </w:r>
      <w:r w:rsidR="004E0429">
        <w:t>the FY2012 accounts</w:t>
      </w:r>
      <w:r w:rsidR="00370D7C">
        <w:t xml:space="preserve"> is that</w:t>
      </w:r>
      <w:r w:rsidR="00681775">
        <w:t xml:space="preserve">, as the name suggests, </w:t>
      </w:r>
      <w:r w:rsidR="001B5ACE">
        <w:t xml:space="preserve">the latter relates to a fixed increase in rent following a period in which </w:t>
      </w:r>
      <w:r w:rsidR="00EC65D3">
        <w:t xml:space="preserve">the rent was below market (or nil) and that, as with other landlord incentives, </w:t>
      </w:r>
      <w:r w:rsidR="00370D7C">
        <w:t xml:space="preserve">IFRS </w:t>
      </w:r>
      <w:r w:rsidR="00EC65D3">
        <w:t>requires</w:t>
      </w:r>
      <w:r w:rsidR="00370D7C">
        <w:t xml:space="preserve"> </w:t>
      </w:r>
      <w:r w:rsidR="00DB66AE">
        <w:t>a spreading</w:t>
      </w:r>
      <w:r w:rsidR="00283AFF">
        <w:t xml:space="preserve"> over the remaining period of the lease</w:t>
      </w:r>
      <w:r w:rsidR="002A7B58">
        <w:t xml:space="preserve">, whereas </w:t>
      </w:r>
      <w:r w:rsidR="00190078">
        <w:t xml:space="preserve">UK </w:t>
      </w:r>
      <w:r w:rsidR="002A7B58">
        <w:t>GAAP</w:t>
      </w:r>
      <w:r w:rsidR="003B035B">
        <w:t xml:space="preserve"> required spreading over the period to the next rent review date</w:t>
      </w:r>
      <w:r w:rsidR="00283AFF">
        <w:t>.</w:t>
      </w:r>
      <w:r w:rsidR="004D6101">
        <w:t xml:space="preserve"> As </w:t>
      </w:r>
      <w:r w:rsidR="00E64C69">
        <w:t>I have said, I am not prepared simply to exclude altogether liabilities that undoubtedly existed</w:t>
      </w:r>
      <w:r w:rsidR="002A7B58">
        <w:t>.</w:t>
      </w:r>
    </w:p>
    <w:p w14:paraId="6D6BA3C1" w14:textId="674B1159" w:rsidR="002D39C1" w:rsidRDefault="002D39C1" w:rsidP="00916126">
      <w:pPr>
        <w:pStyle w:val="BodyText"/>
      </w:pPr>
      <w:r>
        <w:t>Turning to net debt</w:t>
      </w:r>
      <w:r w:rsidR="00F2541F">
        <w:t xml:space="preserve">, </w:t>
      </w:r>
      <w:r w:rsidR="00357E88">
        <w:t>Mr Smith submitted that</w:t>
      </w:r>
      <w:r w:rsidR="00E35B0B">
        <w:t xml:space="preserve"> </w:t>
      </w:r>
      <w:r w:rsidR="007227F2">
        <w:t>the KIL</w:t>
      </w:r>
      <w:r w:rsidR="00E5697F">
        <w:t xml:space="preserve"> </w:t>
      </w:r>
      <w:r w:rsidR="007227F2">
        <w:t>RCF</w:t>
      </w:r>
      <w:r w:rsidR="00E5697F">
        <w:t xml:space="preserve"> </w:t>
      </w:r>
      <w:r w:rsidR="00E35B0B">
        <w:t>should not have been taken into account at face value because Comet’s liability to repay only accrued if a demand was made.</w:t>
      </w:r>
      <w:r w:rsidR="00E15F16">
        <w:t xml:space="preserve"> No attempt had been made to assess the likelihood of that occurring</w:t>
      </w:r>
      <w:r w:rsidR="00AF4D34">
        <w:t>, and there is no basis for thinking that it would in fact be demanded at</w:t>
      </w:r>
      <w:r w:rsidR="00EF597B">
        <w:t xml:space="preserve"> all given that Kesa was unlikely to put</w:t>
      </w:r>
      <w:r w:rsidR="009529B7">
        <w:t xml:space="preserve"> Comet into liquidation</w:t>
      </w:r>
      <w:r w:rsidR="007227F2">
        <w:t xml:space="preserve"> and had provided a comfort letter</w:t>
      </w:r>
      <w:r w:rsidR="002F02B4">
        <w:t xml:space="preserve"> (see [</w:t>
      </w:r>
      <w:r w:rsidR="002F02B4">
        <w:fldChar w:fldCharType="begin"/>
      </w:r>
      <w:r w:rsidR="002F02B4">
        <w:instrText xml:space="preserve"> REF _Ref118116213 \r \h </w:instrText>
      </w:r>
      <w:r w:rsidR="002F02B4">
        <w:fldChar w:fldCharType="separate"/>
      </w:r>
      <w:r w:rsidR="00E762C8">
        <w:t>17</w:t>
      </w:r>
      <w:r w:rsidR="002F02B4">
        <w:fldChar w:fldCharType="end"/>
      </w:r>
      <w:r w:rsidR="002F02B4">
        <w:t>] above)</w:t>
      </w:r>
      <w:r w:rsidR="00E5697F">
        <w:t>.</w:t>
      </w:r>
      <w:r w:rsidR="003A5931">
        <w:t xml:space="preserve"> As regards the position following the Disposal, the transaction improved Comet’s balance sheet and there was no basis for thinking that the HAL RCF was likely to be demanded in the reasonably near future or at all</w:t>
      </w:r>
      <w:r w:rsidR="00A351EE">
        <w:t>, bearing in mind the assurances given by OpCapita. The statement of intention in the SPA was functionally equivalent to a comfort letter</w:t>
      </w:r>
      <w:r w:rsidR="008B4D85">
        <w:t>. Rather,</w:t>
      </w:r>
      <w:r w:rsidR="004A46DE">
        <w:t xml:space="preserve"> it was more likely that the decision to place </w:t>
      </w:r>
      <w:r w:rsidR="007A7CF4">
        <w:t>C</w:t>
      </w:r>
      <w:r w:rsidR="004A46DE">
        <w:t>omet into administration was caused by reduction in facilities by suppliers and an impact on the ratio of</w:t>
      </w:r>
      <w:r w:rsidR="005F3B53">
        <w:t xml:space="preserve"> </w:t>
      </w:r>
      <w:r w:rsidR="005F3B53" w:rsidRPr="00D90FA2">
        <w:t xml:space="preserve">inventory </w:t>
      </w:r>
      <w:r w:rsidR="004A46DE" w:rsidRPr="00D90FA2">
        <w:t>to creditors</w:t>
      </w:r>
      <w:r w:rsidR="00D90FA2">
        <w:t xml:space="preserve"> (see [</w:t>
      </w:r>
      <w:r w:rsidR="00D90FA2">
        <w:fldChar w:fldCharType="begin"/>
      </w:r>
      <w:r w:rsidR="00D90FA2">
        <w:instrText xml:space="preserve"> REF _Ref117852944 \r \h </w:instrText>
      </w:r>
      <w:r w:rsidR="00D90FA2">
        <w:fldChar w:fldCharType="separate"/>
      </w:r>
      <w:r w:rsidR="00E762C8">
        <w:t>56</w:t>
      </w:r>
      <w:r w:rsidR="00D90FA2">
        <w:fldChar w:fldCharType="end"/>
      </w:r>
      <w:r w:rsidR="00D90FA2">
        <w:t>] above)</w:t>
      </w:r>
      <w:r w:rsidR="00E81B9A">
        <w:t>.</w:t>
      </w:r>
    </w:p>
    <w:p w14:paraId="1BC78062" w14:textId="7325504C" w:rsidR="0085761C" w:rsidRDefault="0057002B" w:rsidP="00916126">
      <w:pPr>
        <w:pStyle w:val="BodyText"/>
      </w:pPr>
      <w:r>
        <w:t>I agree with Mr Gledhill that it would be wrong to regard</w:t>
      </w:r>
      <w:r w:rsidR="00F123D8">
        <w:t xml:space="preserve"> an on demand loan facility as a contingent liability. It is clearly an actual liability. </w:t>
      </w:r>
      <w:r w:rsidR="00970974">
        <w:t xml:space="preserve">Further, </w:t>
      </w:r>
      <w:r w:rsidR="00CB6DAA">
        <w:t xml:space="preserve">it is important to bear in mind that </w:t>
      </w:r>
      <w:r w:rsidR="00985E46">
        <w:t>the ability of a company to pay its debts as they fall due</w:t>
      </w:r>
      <w:r w:rsidR="005F635D">
        <w:t>, looking at the reasonably near future</w:t>
      </w:r>
      <w:r w:rsidR="00985E46">
        <w:t xml:space="preserve"> (</w:t>
      </w:r>
      <w:r w:rsidR="005F635D">
        <w:t>that is</w:t>
      </w:r>
      <w:r w:rsidR="00FD20E5">
        <w:t>,</w:t>
      </w:r>
      <w:r w:rsidR="005F635D">
        <w:t xml:space="preserve"> </w:t>
      </w:r>
      <w:r w:rsidR="00985E46">
        <w:t>cash flow solve</w:t>
      </w:r>
      <w:r w:rsidR="0085761C">
        <w:t>ncy)</w:t>
      </w:r>
      <w:r w:rsidR="00F4169B">
        <w:t>,</w:t>
      </w:r>
      <w:r w:rsidR="0085761C">
        <w:t xml:space="preserve"> is not determinative of balance sheet solvency</w:t>
      </w:r>
      <w:r w:rsidR="00FD20E5">
        <w:t xml:space="preserve">, a test which stands </w:t>
      </w:r>
      <w:r w:rsidR="00955265">
        <w:t xml:space="preserve">“side by side” with </w:t>
      </w:r>
      <w:r w:rsidR="009E6ECA">
        <w:t xml:space="preserve">the </w:t>
      </w:r>
      <w:r w:rsidR="00955265">
        <w:t>cash flow solvency</w:t>
      </w:r>
      <w:r w:rsidR="009E6ECA">
        <w:t xml:space="preserve"> test</w:t>
      </w:r>
      <w:r w:rsidR="00955265">
        <w:t xml:space="preserve">. </w:t>
      </w:r>
    </w:p>
    <w:p w14:paraId="2D0A9916" w14:textId="2AD9221C" w:rsidR="00382B90" w:rsidRDefault="00F123D8" w:rsidP="00916126">
      <w:pPr>
        <w:pStyle w:val="BodyText"/>
      </w:pPr>
      <w:r>
        <w:t>However</w:t>
      </w:r>
      <w:r w:rsidR="00AB25AD">
        <w:t xml:space="preserve">, </w:t>
      </w:r>
      <w:r w:rsidR="00016C14">
        <w:t xml:space="preserve">the likelihood of continued support by the lender, in the form of an </w:t>
      </w:r>
      <w:r w:rsidR="00B11B32">
        <w:t>absence of a demand, is also relevant to a determination of whether</w:t>
      </w:r>
      <w:r w:rsidR="008C0F55">
        <w:t xml:space="preserve"> a company is able to pay its debts.</w:t>
      </w:r>
      <w:r w:rsidR="00136AA9">
        <w:t xml:space="preserve"> Kesa would continue to support</w:t>
      </w:r>
      <w:r w:rsidR="00E36BB6">
        <w:t xml:space="preserve"> Comet while it owned it</w:t>
      </w:r>
      <w:r w:rsidR="009E6ECA">
        <w:t>,</w:t>
      </w:r>
      <w:r w:rsidR="00E36BB6">
        <w:t xml:space="preserve"> </w:t>
      </w:r>
      <w:r w:rsidR="00C560A3">
        <w:t>but only while it did</w:t>
      </w:r>
      <w:r w:rsidR="00BC2CDC">
        <w:t xml:space="preserve"> so</w:t>
      </w:r>
      <w:r w:rsidR="00C560A3">
        <w:t xml:space="preserve">. </w:t>
      </w:r>
      <w:r w:rsidR="00BC2CDC">
        <w:t xml:space="preserve">It </w:t>
      </w:r>
      <w:r w:rsidR="00B820BA">
        <w:t>had been clear for some months</w:t>
      </w:r>
      <w:r w:rsidR="00A463DC">
        <w:t xml:space="preserve"> prior to the Disposal that it </w:t>
      </w:r>
      <w:r w:rsidR="00E36BB6">
        <w:t xml:space="preserve">wanted to </w:t>
      </w:r>
      <w:r w:rsidR="00BC2CDC">
        <w:t>cease to own Comet on terms that it provided no furt</w:t>
      </w:r>
      <w:r w:rsidR="00BB2B34">
        <w:t>her support</w:t>
      </w:r>
      <w:r w:rsidR="00E36BB6" w:rsidRPr="00C560A3">
        <w:t>.</w:t>
      </w:r>
    </w:p>
    <w:p w14:paraId="75EEC6DB" w14:textId="6FCDF71F" w:rsidR="00506C41" w:rsidRDefault="00506C41" w:rsidP="00506C41">
      <w:pPr>
        <w:pStyle w:val="Heading3"/>
      </w:pPr>
      <w:r>
        <w:t>DTA</w:t>
      </w:r>
    </w:p>
    <w:p w14:paraId="4B8E5693" w14:textId="77C92628" w:rsidR="00506C41" w:rsidRDefault="00AA3FF2" w:rsidP="00506C41">
      <w:pPr>
        <w:pStyle w:val="BodyText"/>
      </w:pPr>
      <w:r>
        <w:t xml:space="preserve">In my view the DTA should not be reflected as an asset in determining Comet’s balance sheet solvency. Irrespective of whether it </w:t>
      </w:r>
      <w:r w:rsidR="005D6BFC">
        <w:t xml:space="preserve">is or is not capable of being characterised as a present asset for the purposes of s.123(2) IA 1986, </w:t>
      </w:r>
      <w:r w:rsidR="00C134BB">
        <w:t>I prefer Mr Ellison’s evidence that it should in any event be ignored.</w:t>
      </w:r>
    </w:p>
    <w:p w14:paraId="04AD92C4" w14:textId="6FA6193E" w:rsidR="009529D0" w:rsidRDefault="00914D0A" w:rsidP="00506C41">
      <w:pPr>
        <w:pStyle w:val="BodyText"/>
      </w:pPr>
      <w:r>
        <w:t>As Mr Ellison said, the consideration of the DTA in relation to the FY2011 accounts looks superficial.</w:t>
      </w:r>
      <w:r w:rsidR="00826736">
        <w:t xml:space="preserve"> But by the end of January 2012 the level of the DTA had materially increased and </w:t>
      </w:r>
      <w:r w:rsidR="00F16EA5">
        <w:t>the</w:t>
      </w:r>
      <w:r w:rsidR="00826736" w:rsidRPr="007A0D24">
        <w:t xml:space="preserve"> indications were that Comet’s performance had continued to deteriorate</w:t>
      </w:r>
      <w:r w:rsidR="00826736">
        <w:t>.</w:t>
      </w:r>
      <w:r w:rsidR="00053535">
        <w:t xml:space="preserve"> </w:t>
      </w:r>
    </w:p>
    <w:p w14:paraId="64D687B3" w14:textId="32E95F09" w:rsidR="00576501" w:rsidRDefault="00F72BFF" w:rsidP="00506C41">
      <w:pPr>
        <w:pStyle w:val="BodyText"/>
      </w:pPr>
      <w:r>
        <w:t>W</w:t>
      </w:r>
      <w:r w:rsidR="00690E45">
        <w:t xml:space="preserve">hen Kesa </w:t>
      </w:r>
      <w:r w:rsidR="0036442F">
        <w:t>announced</w:t>
      </w:r>
      <w:r w:rsidR="00690E45">
        <w:t xml:space="preserve"> its half</w:t>
      </w:r>
      <w:r w:rsidR="0036442F">
        <w:t xml:space="preserve">-year results on 7 December 2011 it stated that </w:t>
      </w:r>
      <w:r w:rsidR="00E12BFD">
        <w:t xml:space="preserve">it had written off </w:t>
      </w:r>
      <w:r w:rsidR="00084299">
        <w:t xml:space="preserve">the group’s UK deferred tax asset </w:t>
      </w:r>
      <w:r w:rsidR="00E12BFD">
        <w:t>because</w:t>
      </w:r>
      <w:r w:rsidR="00525A1A">
        <w:t xml:space="preserve"> management had concluded that</w:t>
      </w:r>
      <w:r w:rsidR="00E12BFD">
        <w:t xml:space="preserve"> “future UK taxable profits are unlikely”.</w:t>
      </w:r>
      <w:r w:rsidR="002A1B30">
        <w:t xml:space="preserve"> Mr Walters’ evidence</w:t>
      </w:r>
      <w:r w:rsidR="005C6576">
        <w:t>, also supported by a PwC report</w:t>
      </w:r>
      <w:r w:rsidR="004843E3">
        <w:t xml:space="preserve"> and a letter of representation to PwC</w:t>
      </w:r>
      <w:r w:rsidR="005C6576">
        <w:t>,</w:t>
      </w:r>
      <w:r w:rsidR="002A1B30">
        <w:t xml:space="preserve"> was that</w:t>
      </w:r>
      <w:r w:rsidR="00222596">
        <w:t xml:space="preserve"> the practice was for</w:t>
      </w:r>
      <w:r w:rsidR="002A1B30">
        <w:t xml:space="preserve"> </w:t>
      </w:r>
      <w:r w:rsidR="00222596">
        <w:t>Kesa to determine such adjustments at a group level</w:t>
      </w:r>
      <w:r w:rsidR="00AD3FFA">
        <w:t>, with adjustments at local level occurring subs</w:t>
      </w:r>
      <w:r w:rsidR="00035E2F">
        <w:t>equ</w:t>
      </w:r>
      <w:r w:rsidR="00AD3FFA">
        <w:t>ently</w:t>
      </w:r>
      <w:r w:rsidR="00DA42B9">
        <w:t>.</w:t>
      </w:r>
      <w:r w:rsidR="00222596">
        <w:t xml:space="preserve"> </w:t>
      </w:r>
      <w:r w:rsidR="00C80C9A">
        <w:t>Although</w:t>
      </w:r>
      <w:r w:rsidR="004F1AA2">
        <w:t xml:space="preserve"> the proposed disposal of Comet may</w:t>
      </w:r>
      <w:r w:rsidR="000231E7">
        <w:t xml:space="preserve"> well also</w:t>
      </w:r>
      <w:r w:rsidR="004F1AA2">
        <w:t xml:space="preserve"> have been a relevant factor</w:t>
      </w:r>
      <w:r w:rsidR="00801A35">
        <w:t xml:space="preserve"> in the write-off</w:t>
      </w:r>
      <w:r w:rsidR="0075285F">
        <w:t>, Mr Platt accepted in cross-examination</w:t>
      </w:r>
      <w:r w:rsidR="000D3DF2">
        <w:t xml:space="preserve"> that the </w:t>
      </w:r>
      <w:r w:rsidR="000A4CFB">
        <w:t>increasing concern that Comet would not return to profit</w:t>
      </w:r>
      <w:r w:rsidR="00DB64DA">
        <w:t xml:space="preserve"> would have been an indicator that the DTA should be written off.</w:t>
      </w:r>
    </w:p>
    <w:p w14:paraId="235388E5" w14:textId="5223408E" w:rsidR="001C75B1" w:rsidRDefault="00F72BFF" w:rsidP="00506C41">
      <w:pPr>
        <w:pStyle w:val="BodyText"/>
      </w:pPr>
      <w:r>
        <w:t xml:space="preserve">In my view </w:t>
      </w:r>
      <w:r w:rsidR="0003611C">
        <w:t>t</w:t>
      </w:r>
      <w:r>
        <w:t>he fact that the DTA continued to be reflected in management accounts</w:t>
      </w:r>
      <w:r w:rsidR="00851A18">
        <w:t xml:space="preserve"> of Comet</w:t>
      </w:r>
      <w:r>
        <w:t xml:space="preserve"> </w:t>
      </w:r>
      <w:r w:rsidR="00851A18">
        <w:t xml:space="preserve">for January 2012 and </w:t>
      </w:r>
      <w:r>
        <w:t xml:space="preserve">for a period thereafter indicates no more than it had not been properly reviewed. </w:t>
      </w:r>
      <w:r w:rsidR="00576501">
        <w:t>As Mr Lewis fairly pointed out, email evidence indicated that the normal process for reviewing deferred tax changes was at the year end, a point also supported by a statement in the FY2012 accounts</w:t>
      </w:r>
      <w:r w:rsidR="00CC637A">
        <w:t>, the PwC documentation just referred to</w:t>
      </w:r>
      <w:r w:rsidR="00576501">
        <w:t xml:space="preserve"> and by Mr Walters’ evidence</w:t>
      </w:r>
      <w:r w:rsidR="00BA0407">
        <w:t>.</w:t>
      </w:r>
      <w:r w:rsidR="00576501">
        <w:t xml:space="preserve"> </w:t>
      </w:r>
      <w:r w:rsidR="00BA0407">
        <w:t>B</w:t>
      </w:r>
      <w:r w:rsidR="00576501">
        <w:t>ut it is also clear from the correspondence that</w:t>
      </w:r>
      <w:r w:rsidR="00BA0407">
        <w:t xml:space="preserve"> in fact</w:t>
      </w:r>
      <w:r w:rsidR="00576501">
        <w:t xml:space="preserve"> a write off was being considered within Comet by no later than January 2012, there also being reference in February 2012 to a review on deferred tax recoverability</w:t>
      </w:r>
      <w:r w:rsidR="00576501" w:rsidRPr="00277A97">
        <w:t xml:space="preserve"> </w:t>
      </w:r>
      <w:r w:rsidR="00576501">
        <w:t>being work in progress.</w:t>
      </w:r>
      <w:r w:rsidR="00E607DA">
        <w:t xml:space="preserve"> </w:t>
      </w:r>
      <w:r w:rsidR="00F2310B">
        <w:t xml:space="preserve">Further, </w:t>
      </w:r>
      <w:r w:rsidR="00126B80">
        <w:t xml:space="preserve">by March 2012 figures presented to suppliers </w:t>
      </w:r>
      <w:r w:rsidR="004C3789">
        <w:t>incorporated a full DTA write-off.</w:t>
      </w:r>
      <w:r w:rsidR="00BD228E">
        <w:t xml:space="preserve"> As</w:t>
      </w:r>
      <w:r w:rsidR="006F1B51">
        <w:t xml:space="preserve"> the Liquidator submitted, given the significance of the </w:t>
      </w:r>
      <w:r w:rsidR="007E73A8">
        <w:t>relationships with the suppliers,</w:t>
      </w:r>
      <w:r w:rsidR="006F1B51">
        <w:t xml:space="preserve"> that is unlikely to </w:t>
      </w:r>
      <w:r w:rsidR="006E4538">
        <w:t xml:space="preserve">have </w:t>
      </w:r>
      <w:r w:rsidR="006F1B51">
        <w:t>occurred unless it was regarded as necessary.</w:t>
      </w:r>
    </w:p>
    <w:p w14:paraId="3DE6102B" w14:textId="59926787" w:rsidR="00C134BB" w:rsidRDefault="009D33F7" w:rsidP="00506C41">
      <w:pPr>
        <w:pStyle w:val="BodyText"/>
      </w:pPr>
      <w:r>
        <w:t>My</w:t>
      </w:r>
      <w:r w:rsidR="00531D1E">
        <w:t xml:space="preserve"> assessment</w:t>
      </w:r>
      <w:r>
        <w:t xml:space="preserve"> of the evidence is that</w:t>
      </w:r>
      <w:r w:rsidR="00531D1E">
        <w:t xml:space="preserve"> the fact that a formal decision to</w:t>
      </w:r>
      <w:r w:rsidR="00975B2E">
        <w:t xml:space="preserve"> write off the DTA was deferred and only made on 24 September 2012 is attributable to</w:t>
      </w:r>
      <w:r w:rsidR="00B540D8">
        <w:t xml:space="preserve"> (a) a review only being commenced in early 2012 and not completed for a period</w:t>
      </w:r>
      <w:r w:rsidR="00A651C3">
        <w:t>;</w:t>
      </w:r>
      <w:r w:rsidR="00B540D8">
        <w:t xml:space="preserve"> and then (b)</w:t>
      </w:r>
      <w:r w:rsidR="00056026">
        <w:t xml:space="preserve"> the impact </w:t>
      </w:r>
      <w:r w:rsidR="00B540D8">
        <w:t>that an</w:t>
      </w:r>
      <w:r w:rsidR="00056026">
        <w:t xml:space="preserve"> earlier write off would have had on </w:t>
      </w:r>
      <w:r w:rsidR="00056026" w:rsidRPr="002247D2">
        <w:t xml:space="preserve">Comet’s </w:t>
      </w:r>
      <w:r w:rsidR="002247D2">
        <w:t xml:space="preserve">balance sheet solvency covenant </w:t>
      </w:r>
      <w:r w:rsidR="007F6A62">
        <w:t>under the HAL RCF</w:t>
      </w:r>
      <w:r w:rsidR="0087619F">
        <w:t xml:space="preserve">, a problem that was only resolved when the </w:t>
      </w:r>
      <w:r w:rsidR="00396D33">
        <w:t>terms were amended on 17 September 2012</w:t>
      </w:r>
      <w:r w:rsidR="00056026">
        <w:t>.</w:t>
      </w:r>
      <w:r w:rsidR="00B0091A">
        <w:t xml:space="preserve"> There is also no evidence </w:t>
      </w:r>
      <w:r w:rsidR="00F6104B">
        <w:t>to</w:t>
      </w:r>
      <w:r w:rsidR="00B0091A">
        <w:t xml:space="preserve"> indicate that the New Board considered the </w:t>
      </w:r>
      <w:r w:rsidR="00F6104B">
        <w:t xml:space="preserve">recoverability of the DTA </w:t>
      </w:r>
      <w:r w:rsidR="00BD6956">
        <w:t>for</w:t>
      </w:r>
      <w:r w:rsidR="00F6104B">
        <w:t xml:space="preserve"> the purposes of the </w:t>
      </w:r>
      <w:r w:rsidR="002203A7">
        <w:t>Board meeting on 3 February 2012.</w:t>
      </w:r>
    </w:p>
    <w:p w14:paraId="73BF0065" w14:textId="5BE94AA0" w:rsidR="00725FD7" w:rsidRDefault="0010455B" w:rsidP="0010455B">
      <w:pPr>
        <w:pStyle w:val="Heading3"/>
      </w:pPr>
      <w:r>
        <w:t>Overall assessment</w:t>
      </w:r>
    </w:p>
    <w:p w14:paraId="4A7FFBF7" w14:textId="1B60AC4E" w:rsidR="00267CC9" w:rsidRDefault="00465745" w:rsidP="00FA078D">
      <w:pPr>
        <w:pStyle w:val="BodyText"/>
      </w:pPr>
      <w:r>
        <w:t xml:space="preserve">My overall assessment of the evidence </w:t>
      </w:r>
      <w:r w:rsidR="00053199">
        <w:t>i</w:t>
      </w:r>
      <w:r>
        <w:t xml:space="preserve">s that Comet was balance sheet insolvent within s.123(2) immediately before the </w:t>
      </w:r>
      <w:r w:rsidR="00E72FD4">
        <w:t>D</w:t>
      </w:r>
      <w:r>
        <w:t>isposal</w:t>
      </w:r>
      <w:r w:rsidR="000B5A52">
        <w:t>, notwithstanding the New Board’s determination that it was not</w:t>
      </w:r>
      <w:r w:rsidR="00E72FD4">
        <w:t xml:space="preserve">. </w:t>
      </w:r>
      <w:r w:rsidR="00EA0C2A">
        <w:t>There is no evidence of</w:t>
      </w:r>
      <w:r w:rsidR="00D16D49">
        <w:t xml:space="preserve"> </w:t>
      </w:r>
      <w:r w:rsidR="00123DE0">
        <w:t xml:space="preserve">a </w:t>
      </w:r>
      <w:r w:rsidR="00D16D49">
        <w:t xml:space="preserve">detailed scrutiny of the position </w:t>
      </w:r>
      <w:r w:rsidR="00EA0C2A">
        <w:t>by the New Board</w:t>
      </w:r>
      <w:r w:rsidR="00D53C49">
        <w:t>, and realistically it is likely that they focused on cash flow solvency</w:t>
      </w:r>
      <w:r w:rsidR="00BF4319">
        <w:t xml:space="preserve"> rather than balance sheet solvency</w:t>
      </w:r>
      <w:r w:rsidR="00D16D49">
        <w:t>.</w:t>
      </w:r>
      <w:r w:rsidR="004E3EB7">
        <w:t xml:space="preserve"> </w:t>
      </w:r>
      <w:r w:rsidR="00283367">
        <w:t>I have determined that the</w:t>
      </w:r>
      <w:r w:rsidR="004E3EB7">
        <w:t xml:space="preserve"> DTA should not be taken into account</w:t>
      </w:r>
      <w:r w:rsidR="00DC16E9">
        <w:t xml:space="preserve"> but </w:t>
      </w:r>
      <w:r w:rsidR="00FB12C1">
        <w:t xml:space="preserve">that </w:t>
      </w:r>
      <w:r w:rsidR="00DC16E9">
        <w:t>the KIL RCF should. Although certain of the long-term liabilities</w:t>
      </w:r>
      <w:r w:rsidR="0042580C">
        <w:t>, in particular in respect of lease</w:t>
      </w:r>
      <w:r w:rsidR="00BF4319">
        <w:t>-</w:t>
      </w:r>
      <w:r w:rsidR="0042580C">
        <w:t xml:space="preserve">related </w:t>
      </w:r>
      <w:r w:rsidR="00BF4319">
        <w:t>items</w:t>
      </w:r>
      <w:r w:rsidR="0042580C">
        <w:t>, should be discounted</w:t>
      </w:r>
      <w:r w:rsidR="006F3AC0">
        <w:t xml:space="preserve"> to some extent for delay in crystallisation</w:t>
      </w:r>
      <w:r w:rsidR="0042580C">
        <w:t>, I am satisfied that</w:t>
      </w:r>
      <w:r w:rsidR="008B6B93">
        <w:t xml:space="preserve"> it is more likely than not that</w:t>
      </w:r>
      <w:r w:rsidR="0042580C">
        <w:t xml:space="preserve"> any discounting</w:t>
      </w:r>
      <w:r w:rsidR="008B6B93">
        <w:t xml:space="preserve"> would have been</w:t>
      </w:r>
      <w:r w:rsidR="004C3542">
        <w:t xml:space="preserve"> insufficient to have resulted in positive net assets</w:t>
      </w:r>
      <w:r w:rsidR="00DC16E9">
        <w:t>.</w:t>
      </w:r>
      <w:r w:rsidR="006A4EDC">
        <w:t xml:space="preserve"> </w:t>
      </w:r>
    </w:p>
    <w:p w14:paraId="688DCC89" w14:textId="2369F7CD" w:rsidR="00C56ADA" w:rsidRDefault="00226F84" w:rsidP="00506C41">
      <w:pPr>
        <w:pStyle w:val="BodyText"/>
      </w:pPr>
      <w:r>
        <w:t xml:space="preserve">In reaching this </w:t>
      </w:r>
      <w:r w:rsidR="004A0746">
        <w:t xml:space="preserve">conclusion I have sought to stand back and take a realistic view. </w:t>
      </w:r>
      <w:r w:rsidR="007C4406">
        <w:t xml:space="preserve">In particular, </w:t>
      </w:r>
      <w:r w:rsidR="004A0746">
        <w:t xml:space="preserve">I have taken into account Comet’s trend of operating losses in the period leading up to the </w:t>
      </w:r>
      <w:r w:rsidR="0097627A">
        <w:t>D</w:t>
      </w:r>
      <w:r w:rsidR="004A0746">
        <w:t>isposal</w:t>
      </w:r>
      <w:r w:rsidR="0097627A">
        <w:t xml:space="preserve"> and Kesa’s own increasingly negative assessment of the prospects for the business</w:t>
      </w:r>
      <w:r w:rsidR="00A00A79">
        <w:t>.</w:t>
      </w:r>
      <w:r w:rsidR="00E2290D">
        <w:t xml:space="preserve"> I have had regard to the </w:t>
      </w:r>
      <w:r w:rsidR="008A6395">
        <w:t>limited interest</w:t>
      </w:r>
      <w:r w:rsidR="00BD1EFB">
        <w:t xml:space="preserve"> that</w:t>
      </w:r>
      <w:r w:rsidR="008A6395">
        <w:t xml:space="preserve"> there was from potential purchasers, none of wh</w:t>
      </w:r>
      <w:r w:rsidR="00E74219">
        <w:t>om were prepared to take the business on as a going concern without a substantial dowry.</w:t>
      </w:r>
      <w:r w:rsidR="0083383E">
        <w:t xml:space="preserve"> </w:t>
      </w:r>
      <w:r w:rsidR="00281E7A">
        <w:t xml:space="preserve">Indeed, one had proposed an immediate </w:t>
      </w:r>
      <w:r w:rsidR="00CD3970">
        <w:t>administration</w:t>
      </w:r>
      <w:r w:rsidR="00281E7A">
        <w:t>.</w:t>
      </w:r>
      <w:r w:rsidR="00CD3970">
        <w:t xml:space="preserve"> Those expressing interest in Comet</w:t>
      </w:r>
      <w:r w:rsidR="00972B8B">
        <w:t xml:space="preserve"> recognised, in effect, that the business could not operate</w:t>
      </w:r>
      <w:r w:rsidR="00733786">
        <w:t xml:space="preserve"> in the longer term</w:t>
      </w:r>
      <w:r w:rsidR="00E40008">
        <w:t xml:space="preserve"> </w:t>
      </w:r>
      <w:r w:rsidR="00972B8B">
        <w:t>without access to significantly more capital</w:t>
      </w:r>
      <w:r w:rsidR="00804202">
        <w:t>, because it was not generating profits</w:t>
      </w:r>
      <w:r w:rsidR="00BD1EFB">
        <w:t xml:space="preserve"> – rather, it was generating increasing losses –</w:t>
      </w:r>
      <w:r w:rsidR="00804202">
        <w:t xml:space="preserve"> and </w:t>
      </w:r>
      <w:r w:rsidR="003B3AF9">
        <w:t>the outlook for profitability was at best very uncertain</w:t>
      </w:r>
      <w:r w:rsidR="00733786">
        <w:t>.</w:t>
      </w:r>
      <w:r w:rsidR="00E40008">
        <w:t xml:space="preserve"> </w:t>
      </w:r>
      <w:r w:rsidR="00750CC5">
        <w:t xml:space="preserve">There was no </w:t>
      </w:r>
      <w:r w:rsidR="00F9600C">
        <w:t>clear evidence that the balance sheet was going to improve (compare Lewison LJ’s comments</w:t>
      </w:r>
      <w:r w:rsidR="00D34B2A">
        <w:t xml:space="preserve"> in </w:t>
      </w:r>
      <w:r w:rsidR="00D34B2A" w:rsidRPr="00A66076">
        <w:rPr>
          <w:i/>
          <w:iCs/>
        </w:rPr>
        <w:t>Bucci v Carmen</w:t>
      </w:r>
      <w:r w:rsidR="00D34B2A">
        <w:t xml:space="preserve"> at </w:t>
      </w:r>
      <w:r w:rsidR="00E938FB">
        <w:t>[38] set out at [</w:t>
      </w:r>
      <w:r w:rsidR="00A66076">
        <w:fldChar w:fldCharType="begin"/>
      </w:r>
      <w:r w:rsidR="00A66076">
        <w:instrText xml:space="preserve"> REF _Ref117854663 \r \h </w:instrText>
      </w:r>
      <w:r w:rsidR="00A66076">
        <w:fldChar w:fldCharType="separate"/>
      </w:r>
      <w:r w:rsidR="00E762C8">
        <w:t>127</w:t>
      </w:r>
      <w:r w:rsidR="00A66076">
        <w:fldChar w:fldCharType="end"/>
      </w:r>
      <w:r w:rsidR="00E938FB">
        <w:t xml:space="preserve">] above). </w:t>
      </w:r>
      <w:r w:rsidR="002938F4">
        <w:t xml:space="preserve">Although there was a hope that Comet could return to at least a break-even position, </w:t>
      </w:r>
      <w:r w:rsidR="00A10CB9">
        <w:t xml:space="preserve">it </w:t>
      </w:r>
      <w:r w:rsidR="001107CC">
        <w:t>seems</w:t>
      </w:r>
      <w:r w:rsidR="00A10CB9">
        <w:t xml:space="preserve"> unlikely that it would </w:t>
      </w:r>
      <w:r w:rsidR="00D70834">
        <w:t xml:space="preserve">(at least in the medium term) </w:t>
      </w:r>
      <w:r w:rsidR="00A10CB9">
        <w:t xml:space="preserve">generate </w:t>
      </w:r>
      <w:r w:rsidR="001107CC">
        <w:t>material</w:t>
      </w:r>
      <w:r w:rsidR="00A10CB9">
        <w:t xml:space="preserve"> profits</w:t>
      </w:r>
      <w:r w:rsidR="00E80E03">
        <w:t xml:space="preserve"> that would offset the </w:t>
      </w:r>
      <w:r w:rsidR="00123DE0">
        <w:t>significant</w:t>
      </w:r>
      <w:r w:rsidR="00E80E03">
        <w:t xml:space="preserve"> losses that had been incurred or were projected to occur. </w:t>
      </w:r>
      <w:r w:rsidR="00E40008">
        <w:t>In other words</w:t>
      </w:r>
      <w:r w:rsidR="00EE6560">
        <w:t xml:space="preserve">, </w:t>
      </w:r>
      <w:r w:rsidR="00E938FB">
        <w:t>Comet</w:t>
      </w:r>
      <w:r w:rsidR="00EE6560">
        <w:t xml:space="preserve"> did not have the means</w:t>
      </w:r>
      <w:r w:rsidR="00D02CE9">
        <w:t>,</w:t>
      </w:r>
      <w:r w:rsidR="00636765">
        <w:t xml:space="preserve"> </w:t>
      </w:r>
      <w:r w:rsidR="00BA06AD">
        <w:t xml:space="preserve">in terms of present assets and their </w:t>
      </w:r>
      <w:r w:rsidR="00BA06AD" w:rsidRPr="00D70834">
        <w:t>profit generating potential</w:t>
      </w:r>
      <w:r w:rsidR="00D02CE9">
        <w:t>,</w:t>
      </w:r>
      <w:r w:rsidR="00EE6560">
        <w:t xml:space="preserve"> to pay its debts.</w:t>
      </w:r>
      <w:r w:rsidR="00BA06AD">
        <w:t xml:space="preserve"> Further,</w:t>
      </w:r>
      <w:r w:rsidR="003D788F">
        <w:t xml:space="preserve"> </w:t>
      </w:r>
      <w:r w:rsidR="00D70834">
        <w:t>whi</w:t>
      </w:r>
      <w:r w:rsidR="00B44919">
        <w:t>le</w:t>
      </w:r>
      <w:r w:rsidR="00CE71CE">
        <w:t xml:space="preserve"> prepared to support Comet while it remained </w:t>
      </w:r>
      <w:r w:rsidR="00993674">
        <w:t xml:space="preserve">its owner, </w:t>
      </w:r>
      <w:r w:rsidR="007715A1">
        <w:t xml:space="preserve">Kesa </w:t>
      </w:r>
      <w:r w:rsidR="00993674">
        <w:t>wanted a clean break.</w:t>
      </w:r>
    </w:p>
    <w:p w14:paraId="57560A85" w14:textId="5C437690" w:rsidR="004C3542" w:rsidRDefault="007B5DD3" w:rsidP="00506C41">
      <w:pPr>
        <w:pStyle w:val="BodyText"/>
      </w:pPr>
      <w:r>
        <w:t xml:space="preserve">Whilst not essential to my decision on this point, </w:t>
      </w:r>
      <w:r w:rsidR="00725863">
        <w:t xml:space="preserve">I also </w:t>
      </w:r>
      <w:r w:rsidR="00301A40">
        <w:t xml:space="preserve">note </w:t>
      </w:r>
      <w:r w:rsidR="00725863">
        <w:t>that Mr Ellison’s calculations excluded contingent liabilities that were not provided for in the accounts entirely, wher</w:t>
      </w:r>
      <w:r w:rsidR="00F53E85">
        <w:t xml:space="preserve">eas I should take account of them. </w:t>
      </w:r>
      <w:r w:rsidR="00A7492E">
        <w:t>I have little available information</w:t>
      </w:r>
      <w:r w:rsidR="00301A40">
        <w:t>,</w:t>
      </w:r>
      <w:r>
        <w:t xml:space="preserve"> and </w:t>
      </w:r>
      <w:r w:rsidR="00301A40">
        <w:t>also</w:t>
      </w:r>
      <w:r w:rsidR="00A7492E">
        <w:t xml:space="preserve"> </w:t>
      </w:r>
      <w:r w:rsidR="00301A40">
        <w:t>bear in mind that the assessment should be carried out on a going concern basis</w:t>
      </w:r>
      <w:r w:rsidR="00A832E2">
        <w:t>.</w:t>
      </w:r>
      <w:r w:rsidR="00E707F7">
        <w:t xml:space="preserve"> </w:t>
      </w:r>
      <w:r w:rsidR="00A832E2">
        <w:t>B</w:t>
      </w:r>
      <w:r w:rsidR="00E707F7">
        <w:t>ut</w:t>
      </w:r>
      <w:r w:rsidR="00301A40">
        <w:t xml:space="preserve"> </w:t>
      </w:r>
      <w:r>
        <w:t>for</w:t>
      </w:r>
      <w:r w:rsidR="00963CCB">
        <w:t xml:space="preserve"> example, the potential liability in respect of the DB Scheme was clearly much </w:t>
      </w:r>
      <w:r>
        <w:t>higher than the</w:t>
      </w:r>
      <w:r w:rsidR="002072C2" w:rsidRPr="002072C2">
        <w:t xml:space="preserve"> </w:t>
      </w:r>
      <w:r w:rsidR="00F26C49">
        <w:t>£26.6</w:t>
      </w:r>
      <w:r w:rsidR="00D539E0">
        <w:t>m</w:t>
      </w:r>
      <w:r w:rsidR="00F26C49">
        <w:t xml:space="preserve"> taken into account by Mr Ellison</w:t>
      </w:r>
      <w:r w:rsidR="0038107A">
        <w:t>, and when</w:t>
      </w:r>
      <w:r w:rsidR="00F26C49">
        <w:t xml:space="preserve"> </w:t>
      </w:r>
      <w:r w:rsidR="0038107A" w:rsidRPr="00940903">
        <w:t>considering the alternative of clos</w:t>
      </w:r>
      <w:r w:rsidR="00886160">
        <w:t xml:space="preserve">ure </w:t>
      </w:r>
      <w:r w:rsidR="00940903" w:rsidRPr="00940903">
        <w:t>Kesa estimated</w:t>
      </w:r>
      <w:r w:rsidR="002622A7">
        <w:t xml:space="preserve"> Comet’s</w:t>
      </w:r>
      <w:r w:rsidR="00940903" w:rsidRPr="00940903">
        <w:t xml:space="preserve"> lease exit costs</w:t>
      </w:r>
      <w:r w:rsidR="002622A7">
        <w:t xml:space="preserve"> as</w:t>
      </w:r>
      <w:r w:rsidR="00940903" w:rsidRPr="00940903">
        <w:t xml:space="preserve"> </w:t>
      </w:r>
      <w:r w:rsidR="0038107A" w:rsidRPr="00940903">
        <w:t>ranging between £253m and £422m</w:t>
      </w:r>
      <w:r w:rsidR="00940903">
        <w:t>, suggesting leases</w:t>
      </w:r>
      <w:r w:rsidR="00B87C98">
        <w:t xml:space="preserve"> that, in reality, had substantial negative value</w:t>
      </w:r>
      <w:r w:rsidR="0038107A" w:rsidRPr="002072C2">
        <w:rPr>
          <w:i/>
          <w:iCs/>
        </w:rPr>
        <w:t>.</w:t>
      </w:r>
      <w:r w:rsidR="002072C2" w:rsidRPr="002072C2">
        <w:rPr>
          <w:i/>
          <w:iCs/>
        </w:rPr>
        <w:t xml:space="preserve"> </w:t>
      </w:r>
    </w:p>
    <w:p w14:paraId="00C8A8FD" w14:textId="4B109A11" w:rsidR="0053467C" w:rsidRDefault="00AB1B67" w:rsidP="00506C41">
      <w:pPr>
        <w:pStyle w:val="BodyText"/>
      </w:pPr>
      <w:r>
        <w:t>I have not reached a concluded view on the alternative question of whether Comet was balance sheet insolvent</w:t>
      </w:r>
      <w:r w:rsidR="00425728">
        <w:t xml:space="preserve"> in consequence of the </w:t>
      </w:r>
      <w:r w:rsidR="00B77421">
        <w:t>Disposal</w:t>
      </w:r>
      <w:r w:rsidR="00425728">
        <w:t xml:space="preserve">. </w:t>
      </w:r>
      <w:r w:rsidR="00B24EF9">
        <w:t xml:space="preserve">That question </w:t>
      </w:r>
      <w:r w:rsidR="00B91952">
        <w:t>casts the issue</w:t>
      </w:r>
      <w:r w:rsidR="00B24EF9">
        <w:t xml:space="preserve"> about the </w:t>
      </w:r>
      <w:r w:rsidR="0070112F">
        <w:t>use of IFRS or GAAP into sharper relief, because in accounting terms Comet was balance sheet insolvent on the former but not</w:t>
      </w:r>
      <w:r w:rsidR="002C689B">
        <w:t xml:space="preserve"> the</w:t>
      </w:r>
      <w:r w:rsidR="0070112F">
        <w:t xml:space="preserve"> latter basis.</w:t>
      </w:r>
      <w:r w:rsidR="00B24EF9">
        <w:t xml:space="preserve"> </w:t>
      </w:r>
      <w:r w:rsidR="00B91952">
        <w:t xml:space="preserve">In circumstances where it is </w:t>
      </w:r>
      <w:r w:rsidR="00AB1915">
        <w:t>unnecessary</w:t>
      </w:r>
      <w:r w:rsidR="00B91952">
        <w:t xml:space="preserve"> to reach a concluded view</w:t>
      </w:r>
      <w:r w:rsidR="00AB1915">
        <w:t xml:space="preserve"> on that issue I would prefer to leave it for another occasion. </w:t>
      </w:r>
      <w:r w:rsidR="003008E7">
        <w:t>I would however note</w:t>
      </w:r>
      <w:r w:rsidR="00E04EAD">
        <w:t xml:space="preserve"> that, if it was</w:t>
      </w:r>
      <w:r w:rsidR="00DD2EB5">
        <w:t xml:space="preserve"> necessary to identify a balance sheet as </w:t>
      </w:r>
      <w:r w:rsidR="00363D3E">
        <w:t xml:space="preserve">a </w:t>
      </w:r>
      <w:r w:rsidR="00DD2EB5">
        <w:t>starting point for applying s.123(2), then</w:t>
      </w:r>
      <w:r w:rsidR="00E04EAD">
        <w:t xml:space="preserve"> on the facts of this case</w:t>
      </w:r>
      <w:r w:rsidR="00DD2EB5">
        <w:t xml:space="preserve"> it appears to me</w:t>
      </w:r>
      <w:r w:rsidR="00E04EAD">
        <w:t xml:space="preserve"> to be</w:t>
      </w:r>
      <w:r w:rsidR="00DD2EB5">
        <w:t xml:space="preserve"> more reasonable to start with IFRS, which Comet in fact adopted during the relevant period and was using for presentations to suppliers and internal management reporting (see [</w:t>
      </w:r>
      <w:r w:rsidR="00DD2EB5">
        <w:fldChar w:fldCharType="begin"/>
      </w:r>
      <w:r w:rsidR="00DD2EB5">
        <w:instrText xml:space="preserve"> REF _Ref117875931 \r \h </w:instrText>
      </w:r>
      <w:r w:rsidR="00DD2EB5">
        <w:fldChar w:fldCharType="separate"/>
      </w:r>
      <w:r w:rsidR="00E762C8">
        <w:t>147</w:t>
      </w:r>
      <w:r w:rsidR="00DD2EB5">
        <w:fldChar w:fldCharType="end"/>
      </w:r>
      <w:r w:rsidR="00DD2EB5">
        <w:t>] above).</w:t>
      </w:r>
    </w:p>
    <w:p w14:paraId="437791CA" w14:textId="7C49C265" w:rsidR="00E64E51" w:rsidRDefault="00E64E51" w:rsidP="00E64E51">
      <w:pPr>
        <w:pStyle w:val="Heading2"/>
      </w:pPr>
      <w:r>
        <w:t>Cash flow insolvency</w:t>
      </w:r>
    </w:p>
    <w:p w14:paraId="34B38717" w14:textId="247D0DA4" w:rsidR="00E64E51" w:rsidRDefault="00C03B76" w:rsidP="00506C41">
      <w:pPr>
        <w:pStyle w:val="BodyText"/>
      </w:pPr>
      <w:r>
        <w:t>The Liquidator’s case was that</w:t>
      </w:r>
      <w:r w:rsidR="004A6448">
        <w:t xml:space="preserve"> Comet was cash flow insolvent</w:t>
      </w:r>
      <w:r w:rsidR="006507E5">
        <w:t xml:space="preserve"> immediately after the </w:t>
      </w:r>
      <w:r w:rsidR="00020718">
        <w:t>KIL RCF was repaid</w:t>
      </w:r>
      <w:r w:rsidR="006507E5">
        <w:t>.</w:t>
      </w:r>
      <w:r w:rsidR="00404FDC">
        <w:t xml:space="preserve"> </w:t>
      </w:r>
      <w:r w:rsidR="00054042">
        <w:t>Darty</w:t>
      </w:r>
      <w:r w:rsidR="000B5A6F">
        <w:t xml:space="preserve">’s position was that Comet was solvent on a cash </w:t>
      </w:r>
      <w:r w:rsidR="00767DCF">
        <w:t>f</w:t>
      </w:r>
      <w:r w:rsidR="000B5A6F">
        <w:t>low basis both before and after</w:t>
      </w:r>
      <w:r w:rsidR="00C40B40">
        <w:t xml:space="preserve"> the Disposal. </w:t>
      </w:r>
      <w:r w:rsidR="00807F96">
        <w:t xml:space="preserve">Mr Lewis also reached that view. </w:t>
      </w:r>
      <w:r w:rsidR="00404FDC">
        <w:t xml:space="preserve">Again, it is not necessary for me to </w:t>
      </w:r>
      <w:r w:rsidR="00200857">
        <w:t>reach a conclusion</w:t>
      </w:r>
      <w:r w:rsidR="00404FDC">
        <w:t xml:space="preserve"> on this </w:t>
      </w:r>
      <w:r w:rsidR="00200857">
        <w:t xml:space="preserve">issue </w:t>
      </w:r>
      <w:r w:rsidR="00404FDC">
        <w:t>so I will confine myself to some relatively limited observations.</w:t>
      </w:r>
    </w:p>
    <w:p w14:paraId="6A873147" w14:textId="4949B563" w:rsidR="00D949D0" w:rsidRDefault="00D949D0" w:rsidP="00506C41">
      <w:pPr>
        <w:pStyle w:val="BodyText"/>
      </w:pPr>
      <w:r>
        <w:t xml:space="preserve">It was not </w:t>
      </w:r>
      <w:r w:rsidR="002B6BAC">
        <w:t xml:space="preserve">disputed that the “reasonably near future” </w:t>
      </w:r>
      <w:r w:rsidR="00574285">
        <w:t xml:space="preserve">referred to in </w:t>
      </w:r>
      <w:r w:rsidR="00574285" w:rsidRPr="00574285">
        <w:rPr>
          <w:i/>
          <w:iCs/>
        </w:rPr>
        <w:t xml:space="preserve">Eurosail </w:t>
      </w:r>
      <w:r w:rsidR="0019106D">
        <w:t>should at least cover the next peak trading period. Mr Lewis suggested</w:t>
      </w:r>
      <w:r w:rsidR="00132F24">
        <w:t xml:space="preserve"> a period to the end of the following financial year in April 2013</w:t>
      </w:r>
      <w:r w:rsidR="00AF056C">
        <w:t xml:space="preserve">. The period of 18 months referred to in the heads of terms and SPA also indicates that, in the context of this </w:t>
      </w:r>
      <w:r w:rsidR="00211801">
        <w:t xml:space="preserve">(highly cyclical) </w:t>
      </w:r>
      <w:r w:rsidR="00AF056C">
        <w:t>business</w:t>
      </w:r>
      <w:r w:rsidR="00211801">
        <w:t xml:space="preserve">, </w:t>
      </w:r>
      <w:r w:rsidR="006C6084">
        <w:t>the appropriate period</w:t>
      </w:r>
      <w:r w:rsidR="00200C0D">
        <w:t xml:space="preserve"> </w:t>
      </w:r>
      <w:r w:rsidR="00E2421E">
        <w:t>to consider must be</w:t>
      </w:r>
      <w:r w:rsidR="00200C0D">
        <w:t xml:space="preserve"> at least</w:t>
      </w:r>
      <w:r w:rsidR="006C6084">
        <w:t xml:space="preserve"> a year.</w:t>
      </w:r>
      <w:r w:rsidR="009F07D9">
        <w:t xml:space="preserve"> I am prepared to adopt Mr Lewis’s suggestion.</w:t>
      </w:r>
    </w:p>
    <w:p w14:paraId="2BC07753" w14:textId="64DD33AF" w:rsidR="00220FEE" w:rsidRDefault="00220FEE" w:rsidP="00506C41">
      <w:pPr>
        <w:pStyle w:val="BodyText"/>
      </w:pPr>
      <w:r>
        <w:t>It was also uncontroversial th</w:t>
      </w:r>
      <w:r w:rsidR="005E0484">
        <w:t xml:space="preserve">at it is not fatal to cash flow solvency that debts can only be paid with the </w:t>
      </w:r>
      <w:r w:rsidR="0079739F">
        <w:t>use</w:t>
      </w:r>
      <w:r w:rsidR="005E0484">
        <w:t xml:space="preserve"> of borrowed funds: </w:t>
      </w:r>
      <w:r w:rsidR="0054316F" w:rsidRPr="0054316F">
        <w:rPr>
          <w:i/>
          <w:iCs/>
        </w:rPr>
        <w:t>Re a Company</w:t>
      </w:r>
      <w:r w:rsidR="0054316F" w:rsidRPr="0054316F">
        <w:t xml:space="preserve"> [1986] BCLC 261</w:t>
      </w:r>
      <w:r w:rsidR="0054316F">
        <w:t xml:space="preserve"> at 262</w:t>
      </w:r>
      <w:r w:rsidR="00E877C6">
        <w:t>e, per Nourse J</w:t>
      </w:r>
      <w:r w:rsidR="0079739F">
        <w:t>.</w:t>
      </w:r>
    </w:p>
    <w:p w14:paraId="61DCDB43" w14:textId="56F3589D" w:rsidR="00F816A0" w:rsidRDefault="008C31CA" w:rsidP="00506C41">
      <w:pPr>
        <w:pStyle w:val="BodyText"/>
      </w:pPr>
      <w:r>
        <w:t xml:space="preserve">The Liquidator relied on </w:t>
      </w:r>
      <w:r w:rsidR="00DF752E" w:rsidRPr="00DF752E">
        <w:rPr>
          <w:i/>
          <w:iCs/>
        </w:rPr>
        <w:t>Mac Plant Services Ltd. v Contract Lifting Services (Scotland) Ltd.</w:t>
      </w:r>
      <w:r w:rsidR="00DF752E" w:rsidRPr="00DF752E">
        <w:t xml:space="preserve"> [2009] S</w:t>
      </w:r>
      <w:r w:rsidR="00DF752E">
        <w:t>C</w:t>
      </w:r>
      <w:r w:rsidR="00DF752E" w:rsidRPr="00DF752E">
        <w:t xml:space="preserve"> 125, </w:t>
      </w:r>
      <w:r w:rsidR="00D234D8">
        <w:t xml:space="preserve">a decision of the </w:t>
      </w:r>
      <w:r w:rsidR="00EC43FB">
        <w:t xml:space="preserve">Outer House of the </w:t>
      </w:r>
      <w:r w:rsidR="00D234D8">
        <w:t>Court of Session</w:t>
      </w:r>
      <w:r w:rsidR="00B77421">
        <w:t>,</w:t>
      </w:r>
      <w:r w:rsidR="00D234D8">
        <w:t xml:space="preserve"> where </w:t>
      </w:r>
      <w:r w:rsidR="00DF752E" w:rsidRPr="00DF752E">
        <w:t>Lord Hodge</w:t>
      </w:r>
      <w:r w:rsidR="0028593A">
        <w:t xml:space="preserve"> said</w:t>
      </w:r>
      <w:r w:rsidR="00C413C6">
        <w:t xml:space="preserve"> at [76]</w:t>
      </w:r>
      <w:r w:rsidR="0028593A">
        <w:t>:</w:t>
      </w:r>
    </w:p>
    <w:p w14:paraId="12101E7F" w14:textId="4C8A0702" w:rsidR="0028593A" w:rsidRDefault="00C413C6" w:rsidP="0028593A">
      <w:pPr>
        <w:pStyle w:val="Citations"/>
      </w:pPr>
      <w:r w:rsidRPr="00C413C6">
        <w:t>“</w:t>
      </w:r>
      <w:r w:rsidR="000B339F">
        <w:t xml:space="preserve">… </w:t>
      </w:r>
      <w:r w:rsidRPr="00C413C6">
        <w:t>in order for borrowed funds to be a factor in the assessment of cash flow insolvency the funds must be available or there must be a significant probability that they would be available in time for the debts to be paid</w:t>
      </w:r>
      <w:r w:rsidR="00C46C94">
        <w:t>.</w:t>
      </w:r>
      <w:r w:rsidRPr="00C413C6">
        <w:t>”</w:t>
      </w:r>
    </w:p>
    <w:p w14:paraId="4F0B3346" w14:textId="216C1DD7" w:rsidR="001E3A95" w:rsidRDefault="001E3A95" w:rsidP="001E3A95">
      <w:pPr>
        <w:pStyle w:val="BodyText"/>
      </w:pPr>
      <w:r>
        <w:t xml:space="preserve">However, </w:t>
      </w:r>
      <w:r w:rsidR="007F5F99">
        <w:t>as is made clear in the earlier part of that paragraph</w:t>
      </w:r>
      <w:r w:rsidR="004004A3">
        <w:t>,</w:t>
      </w:r>
      <w:r w:rsidR="007F5F99">
        <w:t xml:space="preserve"> </w:t>
      </w:r>
      <w:r>
        <w:t xml:space="preserve">the context there was </w:t>
      </w:r>
      <w:r w:rsidR="00465EED">
        <w:t xml:space="preserve">an attempt to rely on </w:t>
      </w:r>
      <w:r w:rsidR="001F1958">
        <w:t xml:space="preserve">cash balances available to a </w:t>
      </w:r>
      <w:r w:rsidR="00453300">
        <w:t xml:space="preserve">parent entity where there was no history of </w:t>
      </w:r>
      <w:r w:rsidR="00950DB5">
        <w:t>assistance being provided</w:t>
      </w:r>
      <w:r w:rsidR="00276579">
        <w:t>, and the court was being “invited to speculate”</w:t>
      </w:r>
      <w:r w:rsidR="007A4CA1">
        <w:t xml:space="preserve"> on whether assistance might have been forthcoming.</w:t>
      </w:r>
      <w:r w:rsidR="00E34546">
        <w:t xml:space="preserve"> Lord Hodge went on to determine </w:t>
      </w:r>
      <w:r w:rsidR="006567A3">
        <w:t>that there was no significant probability</w:t>
      </w:r>
      <w:r w:rsidR="0063581A">
        <w:t xml:space="preserve"> of that occurring</w:t>
      </w:r>
      <w:r w:rsidR="006567A3">
        <w:t>.</w:t>
      </w:r>
    </w:p>
    <w:p w14:paraId="776B8B9D" w14:textId="7143CFE7" w:rsidR="00B272A0" w:rsidRDefault="00EC475B" w:rsidP="001E3A95">
      <w:pPr>
        <w:pStyle w:val="BodyText"/>
      </w:pPr>
      <w:r>
        <w:t>On the facts of this case, w</w:t>
      </w:r>
      <w:r w:rsidR="00B60F6E">
        <w:t>hether Comet was cash flow insolvent</w:t>
      </w:r>
      <w:r w:rsidR="00020718">
        <w:t xml:space="preserve"> immediately after the KIL RCF was repaid</w:t>
      </w:r>
      <w:r w:rsidR="001D3903">
        <w:t xml:space="preserve"> turns</w:t>
      </w:r>
      <w:r>
        <w:t xml:space="preserve"> entirely</w:t>
      </w:r>
      <w:r w:rsidR="001D3903">
        <w:t xml:space="preserve"> on </w:t>
      </w:r>
      <w:r w:rsidR="00AE11AE">
        <w:t xml:space="preserve">whether the future availability of funds under the </w:t>
      </w:r>
      <w:r>
        <w:t>HAL RCF, and/or the ABL facility</w:t>
      </w:r>
      <w:r w:rsidR="00AB14C6">
        <w:t xml:space="preserve">, was sufficiently assured to justify the conclusion that Comet was able to pay its debts as </w:t>
      </w:r>
      <w:r w:rsidR="00EC46BF">
        <w:t>they</w:t>
      </w:r>
      <w:r w:rsidR="00AB14C6">
        <w:t xml:space="preserve"> fell due</w:t>
      </w:r>
      <w:r w:rsidR="000D0E54">
        <w:t>, and would continue to do so for the reasonably near future.</w:t>
      </w:r>
    </w:p>
    <w:p w14:paraId="1F867C3C" w14:textId="4CB57CAF" w:rsidR="00313640" w:rsidRDefault="00313640" w:rsidP="001E3A95">
      <w:pPr>
        <w:pStyle w:val="BodyText"/>
      </w:pPr>
      <w:r>
        <w:t xml:space="preserve">In each case drawings </w:t>
      </w:r>
      <w:r w:rsidRPr="00D775CE">
        <w:t>depended on H</w:t>
      </w:r>
      <w:r w:rsidR="007C3563" w:rsidRPr="00D775CE">
        <w:t>2</w:t>
      </w:r>
      <w:r w:rsidRPr="00D775CE">
        <w:t xml:space="preserve">L or </w:t>
      </w:r>
      <w:r w:rsidR="0040563D" w:rsidRPr="00D775CE">
        <w:t>H</w:t>
      </w:r>
      <w:r w:rsidR="007C3563" w:rsidRPr="00D775CE">
        <w:t>A</w:t>
      </w:r>
      <w:r w:rsidR="0040563D" w:rsidRPr="00D775CE">
        <w:t>L’s consent</w:t>
      </w:r>
      <w:r w:rsidR="007C3563" w:rsidRPr="00D775CE">
        <w:t xml:space="preserve"> (see [</w:t>
      </w:r>
      <w:r w:rsidR="007C3563" w:rsidRPr="00D775CE">
        <w:fldChar w:fldCharType="begin"/>
      </w:r>
      <w:r w:rsidR="007C3563" w:rsidRPr="00D775CE">
        <w:instrText xml:space="preserve"> REF _Ref118212798 \r \h </w:instrText>
      </w:r>
      <w:r w:rsidR="00D775CE" w:rsidRPr="00D775CE">
        <w:instrText xml:space="preserve"> \* MERGEFORMAT </w:instrText>
      </w:r>
      <w:r w:rsidR="007C3563" w:rsidRPr="00D775CE">
        <w:fldChar w:fldCharType="separate"/>
      </w:r>
      <w:r w:rsidR="00E762C8">
        <w:t>50</w:t>
      </w:r>
      <w:r w:rsidR="007C3563" w:rsidRPr="00D775CE">
        <w:fldChar w:fldCharType="end"/>
      </w:r>
      <w:r w:rsidR="007C3563" w:rsidRPr="00D775CE">
        <w:t>] and [</w:t>
      </w:r>
      <w:r w:rsidR="007C3563" w:rsidRPr="00D775CE">
        <w:fldChar w:fldCharType="begin"/>
      </w:r>
      <w:r w:rsidR="007C3563" w:rsidRPr="00D775CE">
        <w:instrText xml:space="preserve"> REF _Ref118212805 \r \h </w:instrText>
      </w:r>
      <w:r w:rsidR="00D775CE" w:rsidRPr="00D775CE">
        <w:instrText xml:space="preserve"> \* MERGEFORMAT </w:instrText>
      </w:r>
      <w:r w:rsidR="007C3563" w:rsidRPr="00D775CE">
        <w:fldChar w:fldCharType="separate"/>
      </w:r>
      <w:r w:rsidR="00E762C8">
        <w:t>51</w:t>
      </w:r>
      <w:r w:rsidR="007C3563" w:rsidRPr="00D775CE">
        <w:fldChar w:fldCharType="end"/>
      </w:r>
      <w:r w:rsidR="007C3563" w:rsidRPr="00D775CE">
        <w:t>] above)</w:t>
      </w:r>
      <w:r w:rsidR="00193E44" w:rsidRPr="00D775CE">
        <w:t>.</w:t>
      </w:r>
      <w:r w:rsidR="008F65EA" w:rsidRPr="00D775CE">
        <w:t xml:space="preserve"> Comet’s vulnerability was made worse by the weekly cash sweep</w:t>
      </w:r>
      <w:r w:rsidR="00C27AF0" w:rsidRPr="00D775CE">
        <w:t xml:space="preserve"> provision</w:t>
      </w:r>
      <w:r w:rsidR="00336BD7" w:rsidRPr="00D775CE">
        <w:t xml:space="preserve"> in the HAL RCF</w:t>
      </w:r>
      <w:r w:rsidR="001E38E7" w:rsidRPr="00D775CE">
        <w:t>,</w:t>
      </w:r>
      <w:r w:rsidR="00336BD7" w:rsidRPr="00D775CE">
        <w:t xml:space="preserve"> by the withdrawal of credit insurance</w:t>
      </w:r>
      <w:r w:rsidR="00635D69" w:rsidRPr="00D775CE">
        <w:t xml:space="preserve"> at the end of January 2012</w:t>
      </w:r>
      <w:r w:rsidR="001E38E7" w:rsidRPr="00D775CE">
        <w:t xml:space="preserve"> and by </w:t>
      </w:r>
      <w:r w:rsidR="00136210" w:rsidRPr="00D775CE">
        <w:t xml:space="preserve">onerous terms in the HAL RCF such as the </w:t>
      </w:r>
      <w:r w:rsidR="00315865" w:rsidRPr="00D775CE">
        <w:t>“</w:t>
      </w:r>
      <w:r w:rsidR="00136210" w:rsidRPr="00D775CE">
        <w:t>clean down</w:t>
      </w:r>
      <w:r w:rsidR="00315865" w:rsidRPr="00D775CE">
        <w:t>”</w:t>
      </w:r>
      <w:r w:rsidR="00136210" w:rsidRPr="00D775CE">
        <w:t xml:space="preserve"> provision</w:t>
      </w:r>
      <w:r w:rsidR="00443E37" w:rsidRPr="00D775CE">
        <w:t>.</w:t>
      </w:r>
      <w:r w:rsidR="00193E44" w:rsidRPr="00D775CE">
        <w:t xml:space="preserve"> </w:t>
      </w:r>
      <w:r w:rsidR="00340FC2" w:rsidRPr="00D775CE">
        <w:t>OpCapita had refused to provide an undertaking to Kesa that Comet would continue to be operated as a go</w:t>
      </w:r>
      <w:r w:rsidR="00E24E3E" w:rsidRPr="00D775CE">
        <w:t xml:space="preserve">ing concern, instead giving a much weaker statement of present intention. </w:t>
      </w:r>
      <w:r w:rsidR="00985EC7" w:rsidRPr="00D775CE">
        <w:t xml:space="preserve">Rather than losing money by allowing Comet to </w:t>
      </w:r>
      <w:r w:rsidR="00B0286A" w:rsidRPr="00D775CE">
        <w:t xml:space="preserve">fail, HAL (and H2L) had already benefited to the tune of £36.18m plus the value of </w:t>
      </w:r>
      <w:r w:rsidR="00A865BB" w:rsidRPr="00D775CE">
        <w:t xml:space="preserve">HAL’s security over Comet’s assets. </w:t>
      </w:r>
      <w:r w:rsidR="00B71DDE" w:rsidRPr="00D775CE">
        <w:t>Unlike Kesa it</w:t>
      </w:r>
      <w:r w:rsidR="002324F7" w:rsidRPr="00D775CE">
        <w:t>s new owners</w:t>
      </w:r>
      <w:r w:rsidR="00B71DDE" w:rsidRPr="00D775CE">
        <w:t xml:space="preserve"> did not have to worry about the impact of failure on </w:t>
      </w:r>
      <w:r w:rsidR="00D775CE" w:rsidRPr="00D775CE">
        <w:t>their</w:t>
      </w:r>
      <w:r w:rsidR="00B71DDE" w:rsidRPr="00D775CE">
        <w:t xml:space="preserve"> share price</w:t>
      </w:r>
      <w:r w:rsidR="008D6593" w:rsidRPr="00D775CE">
        <w:t xml:space="preserve"> or on </w:t>
      </w:r>
      <w:r w:rsidR="00D775CE" w:rsidRPr="00D775CE">
        <w:t xml:space="preserve">their broader </w:t>
      </w:r>
      <w:r w:rsidR="008D6593" w:rsidRPr="00D775CE">
        <w:t xml:space="preserve">relationships with suppliers or credit insurers. </w:t>
      </w:r>
      <w:r w:rsidR="00A865BB" w:rsidRPr="00D775CE">
        <w:t>Deloitte had</w:t>
      </w:r>
      <w:r w:rsidR="00D775CE" w:rsidRPr="00D775CE">
        <w:t xml:space="preserve"> also</w:t>
      </w:r>
      <w:r w:rsidR="00A865BB" w:rsidRPr="00D775CE">
        <w:t xml:space="preserve"> advised that the optimum time to enforce security was November or December, when stock had built up for the peak period (see [</w:t>
      </w:r>
      <w:r w:rsidR="00A865BB" w:rsidRPr="00D775CE">
        <w:fldChar w:fldCharType="begin"/>
      </w:r>
      <w:r w:rsidR="00A865BB" w:rsidRPr="00D775CE">
        <w:instrText xml:space="preserve"> REF _Ref117852944 \r \h </w:instrText>
      </w:r>
      <w:r w:rsidR="00D775CE" w:rsidRPr="00D775CE">
        <w:instrText xml:space="preserve"> \* MERGEFORMAT </w:instrText>
      </w:r>
      <w:r w:rsidR="00A865BB" w:rsidRPr="00D775CE">
        <w:fldChar w:fldCharType="separate"/>
      </w:r>
      <w:r w:rsidR="00E762C8">
        <w:t>56</w:t>
      </w:r>
      <w:r w:rsidR="00A865BB" w:rsidRPr="00D775CE">
        <w:fldChar w:fldCharType="end"/>
      </w:r>
      <w:r w:rsidR="00A865BB" w:rsidRPr="00D775CE">
        <w:t>] above).</w:t>
      </w:r>
    </w:p>
    <w:p w14:paraId="3D5D43B8" w14:textId="5F04712C" w:rsidR="00847BF8" w:rsidRDefault="00847BF8" w:rsidP="001E3A95">
      <w:pPr>
        <w:pStyle w:val="BodyText"/>
      </w:pPr>
      <w:r>
        <w:t xml:space="preserve">Further, there is at least some evidence that </w:t>
      </w:r>
      <w:r w:rsidR="004C65A5">
        <w:t xml:space="preserve">even if further drawings </w:t>
      </w:r>
      <w:r w:rsidR="00083440">
        <w:t>under</w:t>
      </w:r>
      <w:r w:rsidR="004C65A5">
        <w:t xml:space="preserve"> Tranche C would be permitted, </w:t>
      </w:r>
      <w:r w:rsidR="00CC5CFE">
        <w:t>any drawing under Tranche D was unlikely. Mr Walters recalled Mr Darke telling him</w:t>
      </w:r>
      <w:r w:rsidR="00223C6F">
        <w:t xml:space="preserve"> that </w:t>
      </w:r>
      <w:r w:rsidR="001028C5">
        <w:t xml:space="preserve">he had been informed that </w:t>
      </w:r>
      <w:r w:rsidR="00223C6F">
        <w:t>the “D” stood for “do not use”</w:t>
      </w:r>
      <w:r w:rsidR="004B6BEF">
        <w:t xml:space="preserve">, and </w:t>
      </w:r>
      <w:r w:rsidR="00877A02">
        <w:t>a cash flow forecast from late January</w:t>
      </w:r>
      <w:r w:rsidR="005749C5">
        <w:t xml:space="preserve"> or early February</w:t>
      </w:r>
      <w:r w:rsidR="00877A02">
        <w:t xml:space="preserve"> 2012</w:t>
      </w:r>
      <w:r w:rsidR="00E03991">
        <w:t xml:space="preserve"> had </w:t>
      </w:r>
      <w:r w:rsidR="00045B57">
        <w:t xml:space="preserve">entries suggesting </w:t>
      </w:r>
      <w:r w:rsidR="00E03991">
        <w:t>that</w:t>
      </w:r>
      <w:r w:rsidR="007D6104">
        <w:t xml:space="preserve"> Tranche D </w:t>
      </w:r>
      <w:r w:rsidR="00C939B1">
        <w:t>might need to be</w:t>
      </w:r>
      <w:r w:rsidR="00045B57">
        <w:t xml:space="preserve"> d</w:t>
      </w:r>
      <w:r w:rsidR="00C939B1">
        <w:t>educted in calculating available funds</w:t>
      </w:r>
      <w:r w:rsidR="00C74409">
        <w:t>, in contrast to Mr Lewis’s assumption that it was available</w:t>
      </w:r>
      <w:r w:rsidR="00482A01">
        <w:t>.</w:t>
      </w:r>
      <w:r w:rsidR="00050166">
        <w:t xml:space="preserve"> That is entirely plausible: the undrawn portion of Tranche C corresponde</w:t>
      </w:r>
      <w:r w:rsidR="001371F5">
        <w:t>d to the £36.18m held by HAL following completion</w:t>
      </w:r>
      <w:r w:rsidR="0096209F">
        <w:t>. Unless Comet had</w:t>
      </w:r>
      <w:r w:rsidR="00366DD9">
        <w:t xml:space="preserve"> by then</w:t>
      </w:r>
      <w:r w:rsidR="0096209F">
        <w:t xml:space="preserve"> generated additional net cash,</w:t>
      </w:r>
      <w:r w:rsidR="00366DD9">
        <w:t xml:space="preserve"> an</w:t>
      </w:r>
      <w:r w:rsidR="006D4BA0">
        <w:t>y</w:t>
      </w:r>
      <w:r w:rsidR="0096209F">
        <w:t xml:space="preserve"> </w:t>
      </w:r>
      <w:r w:rsidR="00426A35">
        <w:t>drawing under Tranche D</w:t>
      </w:r>
      <w:r w:rsidR="0096209F">
        <w:t xml:space="preserve"> would require further funding</w:t>
      </w:r>
      <w:r w:rsidR="00426A35">
        <w:t xml:space="preserve"> to HAL</w:t>
      </w:r>
      <w:r w:rsidR="00366DD9">
        <w:t>.</w:t>
      </w:r>
      <w:r w:rsidR="00A33C8E">
        <w:t xml:space="preserve"> The forecast </w:t>
      </w:r>
      <w:r w:rsidR="00925839">
        <w:t xml:space="preserve">just referred to </w:t>
      </w:r>
      <w:r w:rsidR="00603399">
        <w:t>indicates that</w:t>
      </w:r>
      <w:r w:rsidR="00925839">
        <w:t xml:space="preserve">, when it was prepared, it was anticipated </w:t>
      </w:r>
      <w:r w:rsidR="00603399">
        <w:t xml:space="preserve">that </w:t>
      </w:r>
      <w:r w:rsidR="009422FE">
        <w:t xml:space="preserve">Tranche D would need to be called upon </w:t>
      </w:r>
      <w:r w:rsidR="00593ACC">
        <w:t>at some points</w:t>
      </w:r>
      <w:r w:rsidR="0022401E">
        <w:t>.</w:t>
      </w:r>
    </w:p>
    <w:p w14:paraId="5EE2E82B" w14:textId="3366D21B" w:rsidR="006B195B" w:rsidRDefault="006B195B" w:rsidP="001E3A95">
      <w:pPr>
        <w:pStyle w:val="BodyText"/>
      </w:pPr>
      <w:bookmarkStart w:id="42" w:name="_Ref118464150"/>
      <w:r>
        <w:t xml:space="preserve">Nonetheless, I </w:t>
      </w:r>
      <w:r w:rsidR="00C077C2">
        <w:t>would not have been readily persuaded</w:t>
      </w:r>
      <w:r>
        <w:t xml:space="preserve"> on the evidence that it would be right</w:t>
      </w:r>
      <w:r w:rsidR="005539B1">
        <w:t xml:space="preserve"> to conclude that Comet was unable to pay its debts as they fell due immediately after repayment of the KIL RCF. </w:t>
      </w:r>
      <w:r w:rsidR="00CE6B81">
        <w:t>The New Board had received some form of verbal assurance</w:t>
      </w:r>
      <w:r w:rsidR="00DC03E9">
        <w:t>s</w:t>
      </w:r>
      <w:r w:rsidR="00CE6B81">
        <w:t xml:space="preserve"> from OpCapita</w:t>
      </w:r>
      <w:r w:rsidR="00DC03E9">
        <w:t xml:space="preserve"> prior to completion about the availability of funding, and of course that was borne out by events for a period following completion. </w:t>
      </w:r>
      <w:r w:rsidR="00B322BC">
        <w:t>A representation as to current intention had also been given to Kesa, and a presentation had been made to credit insurers</w:t>
      </w:r>
      <w:r w:rsidR="00F0613A">
        <w:t xml:space="preserve"> which covered </w:t>
      </w:r>
      <w:r w:rsidR="0044713A">
        <w:t>OpCapita’s plans to improve the business</w:t>
      </w:r>
      <w:r w:rsidR="00B322BC">
        <w:t xml:space="preserve">. </w:t>
      </w:r>
      <w:r w:rsidR="00AD3870">
        <w:t xml:space="preserve">New management </w:t>
      </w:r>
      <w:r w:rsidR="00C077C2">
        <w:t>were</w:t>
      </w:r>
      <w:r w:rsidR="00AD3870">
        <w:t xml:space="preserve"> brought in</w:t>
      </w:r>
      <w:r w:rsidR="009B3202">
        <w:t xml:space="preserve"> along with Alvarez &amp; Marsal</w:t>
      </w:r>
      <w:r w:rsidR="00C077C2">
        <w:t>, and e</w:t>
      </w:r>
      <w:r w:rsidR="00AD3870">
        <w:t>ffort was put into implementing</w:t>
      </w:r>
      <w:r w:rsidR="0091482C">
        <w:t xml:space="preserve"> </w:t>
      </w:r>
      <w:r w:rsidR="000C53ED">
        <w:t>the “100 day” plan</w:t>
      </w:r>
      <w:r w:rsidR="0091052B">
        <w:t>. The work done by Deloitte</w:t>
      </w:r>
      <w:r w:rsidR="00C35B4C">
        <w:t xml:space="preserve"> could be viewed as “downside planning”</w:t>
      </w:r>
      <w:r w:rsidR="000152E5">
        <w:t>.</w:t>
      </w:r>
      <w:bookmarkEnd w:id="42"/>
    </w:p>
    <w:p w14:paraId="1B9E5094" w14:textId="77777777" w:rsidR="00376839" w:rsidRDefault="00376839" w:rsidP="00376839">
      <w:pPr>
        <w:pStyle w:val="Heading1"/>
        <w:spacing w:before="480"/>
      </w:pPr>
      <w:r>
        <w:t>Was there preference in fact?</w:t>
      </w:r>
    </w:p>
    <w:p w14:paraId="23860938" w14:textId="18501B17" w:rsidR="00376839" w:rsidRDefault="00376839" w:rsidP="00376839">
      <w:pPr>
        <w:pStyle w:val="BodyText"/>
      </w:pPr>
      <w:bookmarkStart w:id="43" w:name="_Ref118464159"/>
      <w:r>
        <w:t>As already explained, Darty ultimately confined its case on factual preference to a submission that the Tranche B element, representing the Triptych Amount, should be ignored</w:t>
      </w:r>
      <w:r w:rsidR="00FF65B0">
        <w:t>, and to submissions about the counterfactual dividend in a</w:t>
      </w:r>
      <w:r w:rsidR="00A37E0D">
        <w:t xml:space="preserve"> hypothetical liquidation</w:t>
      </w:r>
      <w:r>
        <w:t>.</w:t>
      </w:r>
      <w:bookmarkEnd w:id="43"/>
    </w:p>
    <w:p w14:paraId="3747EAF0" w14:textId="7B824610" w:rsidR="00A37E0D" w:rsidRDefault="00A37E0D" w:rsidP="006F3E94">
      <w:pPr>
        <w:pStyle w:val="Heading2"/>
      </w:pPr>
      <w:r>
        <w:t>The T</w:t>
      </w:r>
      <w:r w:rsidR="006F3E94">
        <w:t>riptych Amount</w:t>
      </w:r>
    </w:p>
    <w:p w14:paraId="681C7FCF" w14:textId="59D90FD2" w:rsidR="00376839" w:rsidRDefault="00376839" w:rsidP="00376839">
      <w:pPr>
        <w:pStyle w:val="BodyText"/>
      </w:pPr>
      <w:r>
        <w:t xml:space="preserve">I do not accept </w:t>
      </w:r>
      <w:r w:rsidR="006F3E94">
        <w:t xml:space="preserve">that </w:t>
      </w:r>
      <w:r w:rsidR="006F3E94" w:rsidRPr="006F3E94">
        <w:t>the Triptych Amount should be ignored</w:t>
      </w:r>
      <w:r w:rsidR="006F3E94">
        <w:t xml:space="preserve"> in determining </w:t>
      </w:r>
      <w:r w:rsidR="00D87901">
        <w:t>the extent of the factual preference</w:t>
      </w:r>
      <w:r>
        <w:t xml:space="preserve">. The documentation is clear and should be respected for what it provides. Just as with Tranche A and Tranche C, where payments were made without cash actually moving out of Macfarlanes’ client account, what was done in relation to the Triptych Amount was in effect no different to a series of cash payments, set offs being equivalent to cash. In order to repay the portion of the KIL RCF equal to the Triptych Amount element, Comet had to take on the burden of a secured borrowing, being Tranche B of the HAL RCF, just as if cash had moved from HAL to Comet and been used by it to repay KIL. </w:t>
      </w:r>
    </w:p>
    <w:p w14:paraId="28601991" w14:textId="77777777" w:rsidR="00376839" w:rsidRDefault="00376839" w:rsidP="00376839">
      <w:pPr>
        <w:pStyle w:val="BodyText"/>
      </w:pPr>
      <w:r>
        <w:t>Another way of looking at this is to say that Comet permitted KIL to satisfy the debt that KIL owed to Triptych (which KIL had been directed to pay successively to HHL and HAL) by set off against an amount that Comet owed KIL under the RCF, but this was at the cost of incurring a secured debt to HAL. This is because HAL gave a further direction to KIL to pay Comet, so permitting a set off, only in exchange for Comet agreeing to incur that debt.</w:t>
      </w:r>
    </w:p>
    <w:p w14:paraId="09C1A2B3" w14:textId="035C7E17" w:rsidR="00376839" w:rsidRDefault="00376839" w:rsidP="00376839">
      <w:pPr>
        <w:pStyle w:val="BodyText"/>
      </w:pPr>
      <w:r>
        <w:t>It is not correct to characterise the arrangement as Triptych rather than Comet giving up value</w:t>
      </w:r>
      <w:r w:rsidRPr="00A823DC">
        <w:t xml:space="preserve"> </w:t>
      </w:r>
      <w:r>
        <w:t>(or indeed KIL or HAL doing so). Triptych had a</w:t>
      </w:r>
      <w:r w:rsidR="006B7EE8">
        <w:t xml:space="preserve"> real</w:t>
      </w:r>
      <w:r>
        <w:t xml:space="preserve"> asset in the form of a debt owed by KIL, which it replaced with a debt owed by HHL to it. Equally, KIL had a real liability to Triptych which the arrangements allowed it to satisfy. The arrangements also meant that HAL effected the advance of Tranche B without having to resort to other cash resources, but in return it got the benefit of Comet’s secured obligation to repay that tranche. But that is all really beside the point. Comet repaid the Triptych Amount element of the KIL RCF just as it repaid the remainder.</w:t>
      </w:r>
    </w:p>
    <w:p w14:paraId="5ECD4127" w14:textId="53F055B0" w:rsidR="00376839" w:rsidRDefault="00D87901" w:rsidP="00AB281A">
      <w:pPr>
        <w:pStyle w:val="Heading2"/>
      </w:pPr>
      <w:r>
        <w:t>The</w:t>
      </w:r>
      <w:r w:rsidR="000B75D0">
        <w:t xml:space="preserve"> counterfactual dividen</w:t>
      </w:r>
      <w:r w:rsidR="00AB281A">
        <w:t>d</w:t>
      </w:r>
    </w:p>
    <w:p w14:paraId="1ABDB010" w14:textId="54DEC9E7" w:rsidR="007A544D" w:rsidRDefault="000A4F83" w:rsidP="008347E8">
      <w:pPr>
        <w:pStyle w:val="BodyText"/>
      </w:pPr>
      <w:bookmarkStart w:id="44" w:name="_Ref118458067"/>
      <w:r>
        <w:t>In order to determine the extent of the preference, it is necess</w:t>
      </w:r>
      <w:r w:rsidR="00B64928">
        <w:t>ary to determine the counterfactual dividend that KI</w:t>
      </w:r>
      <w:r w:rsidR="00F877FB">
        <w:t>L</w:t>
      </w:r>
      <w:r w:rsidR="00B64928">
        <w:t xml:space="preserve"> would have received</w:t>
      </w:r>
      <w:r w:rsidR="0060301D">
        <w:t xml:space="preserve"> in a hypothetical liquidation of Comet on 3 February 2012 (see [</w:t>
      </w:r>
      <w:r w:rsidR="0060301D">
        <w:fldChar w:fldCharType="begin"/>
      </w:r>
      <w:r w:rsidR="0060301D">
        <w:instrText xml:space="preserve"> REF _Ref117862800 \r \h </w:instrText>
      </w:r>
      <w:r w:rsidR="0060301D">
        <w:fldChar w:fldCharType="separate"/>
      </w:r>
      <w:r w:rsidR="00E762C8">
        <w:t>96</w:t>
      </w:r>
      <w:r w:rsidR="0060301D">
        <w:fldChar w:fldCharType="end"/>
      </w:r>
      <w:r w:rsidR="0060301D">
        <w:t>]) above.</w:t>
      </w:r>
      <w:r w:rsidR="00A51C54">
        <w:t xml:space="preserve"> Both experts were instructed on this</w:t>
      </w:r>
      <w:r w:rsidR="00F8139E">
        <w:t xml:space="preserve"> topic</w:t>
      </w:r>
      <w:r w:rsidR="007A544D">
        <w:t>.</w:t>
      </w:r>
      <w:bookmarkEnd w:id="44"/>
      <w:r w:rsidR="007A544D">
        <w:t xml:space="preserve"> </w:t>
      </w:r>
    </w:p>
    <w:p w14:paraId="6327EBE8" w14:textId="1BA01110" w:rsidR="007A544D" w:rsidRDefault="00F8139E" w:rsidP="00613AFA">
      <w:pPr>
        <w:pStyle w:val="BodyText"/>
      </w:pPr>
      <w:r>
        <w:t xml:space="preserve">Mr Lewis </w:t>
      </w:r>
      <w:r w:rsidR="00613BF0">
        <w:t>concentrated on</w:t>
      </w:r>
      <w:r>
        <w:t xml:space="preserve"> a critique of the Liquidator’s pleaded claim</w:t>
      </w:r>
      <w:r w:rsidR="00D9049D">
        <w:t xml:space="preserve"> and effectively re-perform</w:t>
      </w:r>
      <w:r w:rsidR="00DC53D0">
        <w:t>ed</w:t>
      </w:r>
      <w:r w:rsidR="00D9049D">
        <w:t xml:space="preserve"> the Liquidator’s calculations</w:t>
      </w:r>
      <w:r>
        <w:t>.</w:t>
      </w:r>
      <w:r w:rsidR="007A544D">
        <w:t xml:space="preserve"> </w:t>
      </w:r>
      <w:r w:rsidR="00DC53D0">
        <w:t xml:space="preserve">In contrast, </w:t>
      </w:r>
      <w:r w:rsidR="00743D22">
        <w:t xml:space="preserve">Mr Ellison’s </w:t>
      </w:r>
      <w:r w:rsidR="00262B2E">
        <w:t>approach was to</w:t>
      </w:r>
      <w:r w:rsidR="008A2256">
        <w:t xml:space="preserve"> work from first principles to</w:t>
      </w:r>
      <w:r w:rsidR="00262B2E">
        <w:t xml:space="preserve"> produce </w:t>
      </w:r>
      <w:r w:rsidR="00BB2582">
        <w:t xml:space="preserve">an “estimated outcome statement” which </w:t>
      </w:r>
      <w:r w:rsidR="00967991">
        <w:t>incorporated</w:t>
      </w:r>
      <w:r w:rsidR="00BB2582">
        <w:t xml:space="preserve"> </w:t>
      </w:r>
      <w:r w:rsidR="00F27CE1">
        <w:t>figures for asset realisations largely based on actual receipts in the administration and liquidation</w:t>
      </w:r>
      <w:r w:rsidR="00133CA8">
        <w:t xml:space="preserve"> that in fact followed around nine months later</w:t>
      </w:r>
      <w:r w:rsidR="00A3551E">
        <w:t>, which he considered to be the best available pr</w:t>
      </w:r>
      <w:r w:rsidR="00D61261">
        <w:t xml:space="preserve">oxy. </w:t>
      </w:r>
    </w:p>
    <w:p w14:paraId="0B7CF594" w14:textId="7EB44EEF" w:rsidR="006F0149" w:rsidRDefault="009702BC" w:rsidP="00613AFA">
      <w:pPr>
        <w:pStyle w:val="BodyText"/>
      </w:pPr>
      <w:r>
        <w:t xml:space="preserve">This </w:t>
      </w:r>
      <w:r w:rsidR="007A544D">
        <w:t xml:space="preserve">approach </w:t>
      </w:r>
      <w:r>
        <w:t xml:space="preserve">involved </w:t>
      </w:r>
      <w:r w:rsidR="0073584D">
        <w:t>dividing the realisation values actually achieved by</w:t>
      </w:r>
      <w:r w:rsidR="00094B78">
        <w:t xml:space="preserve"> </w:t>
      </w:r>
      <w:r w:rsidR="00FE377B">
        <w:t>net book value</w:t>
      </w:r>
      <w:r w:rsidR="00094B78">
        <w:t xml:space="preserve">s </w:t>
      </w:r>
      <w:r w:rsidR="00E56F28">
        <w:t>s</w:t>
      </w:r>
      <w:r w:rsidR="00094B78">
        <w:t>o as</w:t>
      </w:r>
      <w:r w:rsidR="00FE377B">
        <w:t xml:space="preserve"> to arrive at a realisation percentage for each class of asset. </w:t>
      </w:r>
      <w:r w:rsidR="007A544D">
        <w:t>Mr Ellison</w:t>
      </w:r>
      <w:r w:rsidR="008E40C7">
        <w:t xml:space="preserve"> then applied</w:t>
      </w:r>
      <w:r w:rsidR="00E56F28">
        <w:t xml:space="preserve"> those percentages </w:t>
      </w:r>
      <w:r w:rsidR="008E40C7">
        <w:t>to the</w:t>
      </w:r>
      <w:r w:rsidR="006F0149">
        <w:t xml:space="preserve"> figures in the management accounts </w:t>
      </w:r>
      <w:r w:rsidR="00E56F28">
        <w:t xml:space="preserve">for the period </w:t>
      </w:r>
      <w:r w:rsidR="006F0149">
        <w:t>to 31 January 2012.</w:t>
      </w:r>
      <w:r w:rsidR="00733E59">
        <w:t xml:space="preserve"> He also</w:t>
      </w:r>
      <w:r w:rsidR="0016339D">
        <w:t xml:space="preserve"> made certain other adjustments </w:t>
      </w:r>
      <w:r w:rsidR="00FA6625">
        <w:t xml:space="preserve">that were intended to </w:t>
      </w:r>
      <w:r w:rsidR="0016339D">
        <w:t>reflect the fact that the business would have ceased to trade on a hypothetical liquidation</w:t>
      </w:r>
      <w:r w:rsidR="00D13917">
        <w:t xml:space="preserve"> (that is, for the purpose of calculating the counterfactual dividend he was considering a “break</w:t>
      </w:r>
      <w:r w:rsidR="00C21221">
        <w:t>-</w:t>
      </w:r>
      <w:r w:rsidR="00D13917">
        <w:t>up” rather than going concern</w:t>
      </w:r>
      <w:r w:rsidR="00C21221">
        <w:t xml:space="preserve"> basis of valuation)</w:t>
      </w:r>
      <w:r w:rsidR="0016339D">
        <w:t xml:space="preserve">. </w:t>
      </w:r>
      <w:r w:rsidR="00C80442">
        <w:t>In particular</w:t>
      </w:r>
      <w:r w:rsidR="00653AAB">
        <w:t>,</w:t>
      </w:r>
      <w:r w:rsidR="00DB2F2E">
        <w:t xml:space="preserve"> Mr Ellison</w:t>
      </w:r>
      <w:r w:rsidR="00B1468A">
        <w:t xml:space="preserve"> took the pension deficit number from an independent actuarial review</w:t>
      </w:r>
      <w:r w:rsidR="00572E5F">
        <w:t xml:space="preserve">, at </w:t>
      </w:r>
      <w:r w:rsidR="00C80442">
        <w:t>£307m rather than £26.6m</w:t>
      </w:r>
      <w:r w:rsidR="006138E4">
        <w:t>.</w:t>
      </w:r>
    </w:p>
    <w:p w14:paraId="3E80B450" w14:textId="704D0F53" w:rsidR="00743D22" w:rsidRDefault="00FE377B" w:rsidP="008347E8">
      <w:pPr>
        <w:pStyle w:val="BodyText"/>
      </w:pPr>
      <w:r>
        <w:t xml:space="preserve">Mr Ellison </w:t>
      </w:r>
      <w:r w:rsidR="00D61261">
        <w:t xml:space="preserve">presented a “high” </w:t>
      </w:r>
      <w:r w:rsidR="002D6F22">
        <w:t xml:space="preserve">case </w:t>
      </w:r>
      <w:r w:rsidR="00D61261">
        <w:t>and</w:t>
      </w:r>
      <w:r w:rsidR="005162E1">
        <w:t xml:space="preserve"> a</w:t>
      </w:r>
      <w:r w:rsidR="00D61261">
        <w:t xml:space="preserve"> “low” case</w:t>
      </w:r>
      <w:r w:rsidR="00F65F3B">
        <w:t xml:space="preserve">, </w:t>
      </w:r>
      <w:r w:rsidR="00E3446B">
        <w:t>the l</w:t>
      </w:r>
      <w:r w:rsidR="00F65F3B">
        <w:t>ow case</w:t>
      </w:r>
      <w:r w:rsidR="008847C3">
        <w:t xml:space="preserve"> </w:t>
      </w:r>
      <w:r w:rsidR="00B41A57">
        <w:t>reflecting</w:t>
      </w:r>
      <w:r w:rsidR="008975DE">
        <w:t xml:space="preserve"> a seasonality a</w:t>
      </w:r>
      <w:r w:rsidR="00C354B1">
        <w:t>djustment for</w:t>
      </w:r>
      <w:r w:rsidR="00B41A57">
        <w:t xml:space="preserve"> the likelihood that stock realisations</w:t>
      </w:r>
      <w:r w:rsidR="003C26A5">
        <w:t xml:space="preserve"> would have been lower in February than in the actual insolvency in November, because February is a quiet month and</w:t>
      </w:r>
      <w:r w:rsidR="006443C4">
        <w:t xml:space="preserve"> recoveries in November</w:t>
      </w:r>
      <w:r w:rsidR="00470B1C">
        <w:t xml:space="preserve"> would have benefited from the fact that</w:t>
      </w:r>
      <w:r w:rsidR="003C26A5">
        <w:t xml:space="preserve"> November </w:t>
      </w:r>
      <w:r w:rsidR="005E744F">
        <w:t xml:space="preserve">falls in </w:t>
      </w:r>
      <w:r w:rsidR="003C26A5">
        <w:t>the run-up to Christmas</w:t>
      </w:r>
      <w:r w:rsidR="009527BD">
        <w:t xml:space="preserve"> (that is, the peak trading season). He also estimated costs of liquidation by applying actual costs from the November 2012</w:t>
      </w:r>
      <w:r w:rsidR="008D739E">
        <w:t xml:space="preserve"> administration and liquidation</w:t>
      </w:r>
      <w:r w:rsidR="005E744F">
        <w:t xml:space="preserve"> </w:t>
      </w:r>
      <w:r w:rsidR="008D739E">
        <w:t>with</w:t>
      </w:r>
      <w:r w:rsidR="005E744F">
        <w:t xml:space="preserve"> some</w:t>
      </w:r>
      <w:r w:rsidR="008D739E">
        <w:t xml:space="preserve"> adjustments</w:t>
      </w:r>
      <w:r w:rsidR="00EC4F0E">
        <w:t xml:space="preserve">, in particular in respect of </w:t>
      </w:r>
      <w:r w:rsidR="00F45116">
        <w:t>the</w:t>
      </w:r>
      <w:r w:rsidR="008328EE">
        <w:t xml:space="preserve"> costs of</w:t>
      </w:r>
      <w:r w:rsidR="00F45116">
        <w:t xml:space="preserve"> litigation against the original administrators and liquidators</w:t>
      </w:r>
      <w:r w:rsidR="00EC4F0E">
        <w:t>.</w:t>
      </w:r>
      <w:r w:rsidR="00B93225">
        <w:t xml:space="preserve"> His figures were </w:t>
      </w:r>
      <w:r w:rsidR="00B93225" w:rsidRPr="00B93225">
        <w:t xml:space="preserve">13.8p/£ </w:t>
      </w:r>
      <w:r w:rsidR="00B93225">
        <w:t xml:space="preserve">for the high case </w:t>
      </w:r>
      <w:r w:rsidR="00B93225" w:rsidRPr="00B93225">
        <w:t>and of 11.4p/£</w:t>
      </w:r>
      <w:r w:rsidR="00B93225">
        <w:t xml:space="preserve"> for the low case</w:t>
      </w:r>
      <w:r w:rsidR="002C4276">
        <w:t xml:space="preserve">, </w:t>
      </w:r>
      <w:r w:rsidR="00B93225" w:rsidRPr="00B93225">
        <w:t>equivalent to</w:t>
      </w:r>
      <w:r w:rsidR="006D770B">
        <w:t xml:space="preserve"> a dividend of</w:t>
      </w:r>
      <w:r w:rsidR="00B93225" w:rsidRPr="00B93225">
        <w:t xml:space="preserve"> £17.9m and £14.7m respectively</w:t>
      </w:r>
      <w:r w:rsidR="002C4276">
        <w:t>.</w:t>
      </w:r>
    </w:p>
    <w:p w14:paraId="79DAFBD5" w14:textId="755E713B" w:rsidR="002D6B89" w:rsidRDefault="005B2246" w:rsidP="008347E8">
      <w:pPr>
        <w:pStyle w:val="BodyText"/>
      </w:pPr>
      <w:r>
        <w:t xml:space="preserve">Mr </w:t>
      </w:r>
      <w:r w:rsidR="00B26EF3">
        <w:t>Lewis did not disagree that</w:t>
      </w:r>
      <w:r w:rsidR="00ED4134">
        <w:t xml:space="preserve"> a break-up basis was</w:t>
      </w:r>
      <w:r w:rsidR="00B26EF3">
        <w:t xml:space="preserve"> the correct approach</w:t>
      </w:r>
      <w:r w:rsidR="00A030BB">
        <w:t xml:space="preserve"> or that costs of an insolvency process should be allowe</w:t>
      </w:r>
      <w:r w:rsidR="00F14F63">
        <w:t>d for</w:t>
      </w:r>
      <w:r w:rsidR="00154A70">
        <w:t>. The major differences related to quantum.</w:t>
      </w:r>
      <w:r w:rsidR="00845DCF">
        <w:t xml:space="preserve"> In </w:t>
      </w:r>
      <w:r w:rsidR="00007931">
        <w:t xml:space="preserve">particular, Mr Lewis did not allow for costs of </w:t>
      </w:r>
      <w:r w:rsidR="00845DCF">
        <w:t xml:space="preserve">stock </w:t>
      </w:r>
      <w:r w:rsidR="00007931">
        <w:t>realisations</w:t>
      </w:r>
      <w:r w:rsidR="00A26CAD">
        <w:t xml:space="preserve"> whereas Mr Ellison allowed a total of £79.</w:t>
      </w:r>
      <w:r w:rsidR="008E67C9">
        <w:t>6</w:t>
      </w:r>
      <w:r w:rsidR="00A26CAD">
        <w:t>m</w:t>
      </w:r>
      <w:r w:rsidR="00EB045D">
        <w:t>, arriving at a stock realisation percentage of 31.8%.</w:t>
      </w:r>
      <w:r w:rsidR="00007931">
        <w:t xml:space="preserve"> </w:t>
      </w:r>
      <w:r w:rsidR="002C409C">
        <w:t xml:space="preserve">In the </w:t>
      </w:r>
      <w:r w:rsidR="005A55FC">
        <w:t>joint statement</w:t>
      </w:r>
      <w:r w:rsidR="0026223E">
        <w:t xml:space="preserve"> Mr Lewis</w:t>
      </w:r>
      <w:r w:rsidR="005A55FC">
        <w:t xml:space="preserve"> did not </w:t>
      </w:r>
      <w:r w:rsidR="00C9550A">
        <w:t xml:space="preserve">dispute £30.3m of these costs. Of the balance, the major items were </w:t>
      </w:r>
      <w:r w:rsidR="005F5783">
        <w:t>retention of title payments, agents’ fees</w:t>
      </w:r>
      <w:r w:rsidR="008F0A99">
        <w:t xml:space="preserve"> and costs shown as incurred between 2 May and 2 October 2013</w:t>
      </w:r>
      <w:r w:rsidR="00C92729">
        <w:t>, a period during which</w:t>
      </w:r>
      <w:r w:rsidR="008F0A99">
        <w:t xml:space="preserve"> </w:t>
      </w:r>
      <w:r w:rsidR="00C92729">
        <w:t xml:space="preserve">sales </w:t>
      </w:r>
      <w:r w:rsidR="0026223E">
        <w:t>were negligible.</w:t>
      </w:r>
    </w:p>
    <w:p w14:paraId="5E5068FC" w14:textId="148B02CE" w:rsidR="00431854" w:rsidRDefault="0026223E" w:rsidP="008347E8">
      <w:pPr>
        <w:pStyle w:val="BodyText"/>
      </w:pPr>
      <w:r>
        <w:t>I am satisfied</w:t>
      </w:r>
      <w:r w:rsidR="00673BB3">
        <w:t xml:space="preserve"> that Mr Ellison’s approach on stock rea</w:t>
      </w:r>
      <w:r w:rsidR="00823CFE">
        <w:t xml:space="preserve">lisations </w:t>
      </w:r>
      <w:r w:rsidR="00673BB3">
        <w:t xml:space="preserve">is </w:t>
      </w:r>
      <w:r w:rsidR="00467237">
        <w:t>reasonable</w:t>
      </w:r>
      <w:r w:rsidR="006146A0">
        <w:t>, and further that the “low” case</w:t>
      </w:r>
      <w:r w:rsidR="007F27D2">
        <w:t xml:space="preserve"> (being 11.4p/£</w:t>
      </w:r>
      <w:r w:rsidR="002652F3">
        <w:t>, or £14.7m)</w:t>
      </w:r>
      <w:r w:rsidR="006146A0">
        <w:t>, which was not specifically challenged</w:t>
      </w:r>
      <w:r w:rsidR="003767D1">
        <w:t xml:space="preserve"> and </w:t>
      </w:r>
      <w:r w:rsidR="001104EB">
        <w:t>the adjustments made in which were</w:t>
      </w:r>
      <w:r w:rsidR="003767D1">
        <w:t xml:space="preserve"> based </w:t>
      </w:r>
      <w:r w:rsidR="002F1161">
        <w:t>o</w:t>
      </w:r>
      <w:r w:rsidR="007C40B8">
        <w:t xml:space="preserve">n a report produced </w:t>
      </w:r>
      <w:r w:rsidR="002F1161">
        <w:t xml:space="preserve">by a third party </w:t>
      </w:r>
      <w:r w:rsidR="007C40B8">
        <w:t>for OpCapita in January 2012</w:t>
      </w:r>
      <w:r w:rsidR="006146A0">
        <w:t>, is to be pref</w:t>
      </w:r>
      <w:r w:rsidR="008975DE">
        <w:t>erred</w:t>
      </w:r>
      <w:r w:rsidR="008D4D5C">
        <w:t>.</w:t>
      </w:r>
      <w:r w:rsidR="00040E54">
        <w:t xml:space="preserve"> I </w:t>
      </w:r>
      <w:r w:rsidR="00E148AD">
        <w:t xml:space="preserve">further </w:t>
      </w:r>
      <w:r w:rsidR="00040E54">
        <w:t>accept Mr Ellison’s evidence that retention of title holders would not typically receive amounts</w:t>
      </w:r>
      <w:r w:rsidR="00201DCA">
        <w:t xml:space="preserve"> corresponding to their entitlement as unsecured credi</w:t>
      </w:r>
      <w:r w:rsidR="00AF6CF2">
        <w:t>tors, but rather that</w:t>
      </w:r>
      <w:r w:rsidR="00FE2A82">
        <w:t xml:space="preserve"> in practice</w:t>
      </w:r>
      <w:r w:rsidR="00AF6CF2">
        <w:t xml:space="preserve"> they would </w:t>
      </w:r>
      <w:r w:rsidR="00FE2A82">
        <w:t>achieve</w:t>
      </w:r>
      <w:r w:rsidR="00AF6CF2">
        <w:t xml:space="preserve"> settlement</w:t>
      </w:r>
      <w:r w:rsidR="00FE2A82">
        <w:t xml:space="preserve">s </w:t>
      </w:r>
      <w:r w:rsidR="00AF6CF2">
        <w:t>much closer to 100%</w:t>
      </w:r>
      <w:r w:rsidR="00FE2A82">
        <w:t xml:space="preserve"> recovery</w:t>
      </w:r>
      <w:r w:rsidR="00C9120D">
        <w:t>. A material adjustment is</w:t>
      </w:r>
      <w:r w:rsidR="00552C19">
        <w:t xml:space="preserve"> therefore</w:t>
      </w:r>
      <w:r w:rsidR="00C9120D">
        <w:t xml:space="preserve"> necessary </w:t>
      </w:r>
      <w:r w:rsidR="007D4A7E">
        <w:t>to ensure that the recoverable value of stock is not inflated by ignoring that</w:t>
      </w:r>
      <w:r w:rsidR="00720616">
        <w:t xml:space="preserve"> a part of it </w:t>
      </w:r>
      <w:r w:rsidR="00985146">
        <w:t>would have been</w:t>
      </w:r>
      <w:r w:rsidR="00720616">
        <w:t xml:space="preserve"> subject to retention of title</w:t>
      </w:r>
      <w:r w:rsidR="009F3E64">
        <w:t xml:space="preserve"> claims</w:t>
      </w:r>
      <w:r w:rsidR="00720616">
        <w:t>.</w:t>
      </w:r>
      <w:r w:rsidR="00552C19">
        <w:t xml:space="preserve"> </w:t>
      </w:r>
      <w:r w:rsidR="00431854">
        <w:t xml:space="preserve">In the absence of better information </w:t>
      </w:r>
      <w:r w:rsidR="00235892">
        <w:t xml:space="preserve">it is not unreasonable to </w:t>
      </w:r>
      <w:r w:rsidR="00DD614C">
        <w:t xml:space="preserve">apply the same </w:t>
      </w:r>
      <w:r w:rsidR="00DC1551">
        <w:t>ratio of retention of title claims to stock as existed in the actual insolvency</w:t>
      </w:r>
      <w:r w:rsidR="005A40EF">
        <w:t>.</w:t>
      </w:r>
    </w:p>
    <w:p w14:paraId="38FEBB90" w14:textId="012F74A6" w:rsidR="0026223E" w:rsidRDefault="00552C19" w:rsidP="008347E8">
      <w:pPr>
        <w:pStyle w:val="BodyText"/>
      </w:pPr>
      <w:r>
        <w:t>Similarly, the allowance for agents’ fees</w:t>
      </w:r>
      <w:r w:rsidR="00C16F20">
        <w:t xml:space="preserve"> reflect</w:t>
      </w:r>
      <w:r w:rsidR="001C37BC">
        <w:t>s</w:t>
      </w:r>
      <w:r w:rsidR="00C16F20">
        <w:t xml:space="preserve"> the costs of engaging a third</w:t>
      </w:r>
      <w:r w:rsidR="00B901DF">
        <w:t xml:space="preserve"> party agent to manage stock realisations. Ther</w:t>
      </w:r>
      <w:r w:rsidR="00913A3B">
        <w:t>e</w:t>
      </w:r>
      <w:r w:rsidR="00B901DF">
        <w:t xml:space="preserve"> is no reason to assume that such costs would not need to be incurred. </w:t>
      </w:r>
      <w:r w:rsidR="006A359D">
        <w:t>As for the costs incurred between May and October 2013, Mr Ellison pointed out that the receip</w:t>
      </w:r>
      <w:r w:rsidR="00E72079">
        <w:t>ts and payments shown were accounted for on a cash basis, such that the costs</w:t>
      </w:r>
      <w:r w:rsidR="00DF292D">
        <w:t xml:space="preserve"> would be very unlikely to relate simply to the very limited sales made in that period.</w:t>
      </w:r>
      <w:r w:rsidR="00BA3044">
        <w:t xml:space="preserve"> I accept this evidence.</w:t>
      </w:r>
    </w:p>
    <w:p w14:paraId="7D4BF722" w14:textId="35A5B1E4" w:rsidR="002B0D81" w:rsidRDefault="002B0D81" w:rsidP="008347E8">
      <w:pPr>
        <w:pStyle w:val="BodyText"/>
      </w:pPr>
      <w:bookmarkStart w:id="45" w:name="_Ref118458085"/>
      <w:r>
        <w:t xml:space="preserve">Turning to </w:t>
      </w:r>
      <w:r w:rsidR="001C37BC">
        <w:t xml:space="preserve">the </w:t>
      </w:r>
      <w:r w:rsidR="005048C8">
        <w:t xml:space="preserve">costs of liquidation, </w:t>
      </w:r>
      <w:r w:rsidR="00943D25">
        <w:t>Mr</w:t>
      </w:r>
      <w:r w:rsidR="005048C8">
        <w:t xml:space="preserve"> Ellison </w:t>
      </w:r>
      <w:r w:rsidR="00943D25">
        <w:t>allowed for £24m</w:t>
      </w:r>
      <w:r w:rsidR="00913A3B">
        <w:t xml:space="preserve"> of costs, based on actual costs of the admin</w:t>
      </w:r>
      <w:r w:rsidR="00F94899">
        <w:t>istration/liquidation with adjustments</w:t>
      </w:r>
      <w:r w:rsidR="00BC2631">
        <w:t xml:space="preserve">. </w:t>
      </w:r>
      <w:r w:rsidR="00CF7052">
        <w:t xml:space="preserve">In the joint statement </w:t>
      </w:r>
      <w:r w:rsidR="00BC2631">
        <w:t xml:space="preserve">Mr Lewis </w:t>
      </w:r>
      <w:r w:rsidR="006E062D">
        <w:t xml:space="preserve">stated that there was insufficient information to provide an accurate estimate, </w:t>
      </w:r>
      <w:r w:rsidR="009E0EAC">
        <w:t>but applied a 50% discount to Mr Ellison’s figure for “illustrative purposes”. I agree with Mr Ellison</w:t>
      </w:r>
      <w:r w:rsidR="0001246B">
        <w:t>. The court must do the best it can with the evidence. Mr Ellison’s approach is reasonable and I adopt it.</w:t>
      </w:r>
      <w:bookmarkEnd w:id="45"/>
    </w:p>
    <w:p w14:paraId="3173E767" w14:textId="6B0D120B" w:rsidR="002A2F42" w:rsidRDefault="002A2F42" w:rsidP="002A2F42">
      <w:pPr>
        <w:pStyle w:val="Heading1"/>
        <w:spacing w:before="480"/>
      </w:pPr>
      <w:r>
        <w:t>Desire to prefer</w:t>
      </w:r>
    </w:p>
    <w:p w14:paraId="660B804B" w14:textId="4A018E23" w:rsidR="0073481A" w:rsidRDefault="0073481A" w:rsidP="0073481A">
      <w:pPr>
        <w:pStyle w:val="BodyText"/>
      </w:pPr>
      <w:bookmarkStart w:id="46" w:name="_Ref118464194"/>
      <w:r>
        <w:t xml:space="preserve">The Liquidator’s primary case relies on an alleged desire on the part of </w:t>
      </w:r>
      <w:bookmarkStart w:id="47" w:name="_Hlk118101371"/>
      <w:r>
        <w:t>KHL, KEP, KIL and Mr Enoch</w:t>
      </w:r>
      <w:bookmarkEnd w:id="47"/>
      <w:r>
        <w:t>. It is convenient to consider that first. For these purposes, I see no relevant distinction between any of</w:t>
      </w:r>
      <w:r w:rsidRPr="000246DD">
        <w:t xml:space="preserve"> KHL, KEP, KIL </w:t>
      </w:r>
      <w:r w:rsidR="000C7D44">
        <w:t>and</w:t>
      </w:r>
      <w:r w:rsidRPr="000246DD">
        <w:t xml:space="preserve"> Mr Enoch</w:t>
      </w:r>
      <w:r>
        <w:t xml:space="preserve">. </w:t>
      </w:r>
      <w:bookmarkEnd w:id="46"/>
    </w:p>
    <w:p w14:paraId="6245B7D4" w14:textId="53FF3AD8" w:rsidR="0073481A" w:rsidRPr="00E46CBA" w:rsidRDefault="00877547" w:rsidP="0073481A">
      <w:pPr>
        <w:pStyle w:val="BodyText"/>
      </w:pPr>
      <w:bookmarkStart w:id="48" w:name="_Ref118380777"/>
      <w:r>
        <w:t>As already noted, there was a “core” deal team comprising Mr Enoch, Mr Platt and Mr Stoodley, and Mr Enoch took the key role in negotiating the detailed terms of the transaction on the Kesa side. Mr Platt was obviously closely involved in the financial aspects, including contacts with suppliers and credit insurers. I</w:t>
      </w:r>
      <w:r w:rsidR="0073481A">
        <w:t xml:space="preserve"> have seen nothing in the witness evidence or in the limited documentary evidence that survives to indicate any relevant difference in views between these three individuals, or between them and the </w:t>
      </w:r>
      <w:r w:rsidR="000A37DC">
        <w:t>B</w:t>
      </w:r>
      <w:r w:rsidR="0073481A">
        <w:t xml:space="preserve">oards of any of </w:t>
      </w:r>
      <w:r w:rsidR="0073481A" w:rsidRPr="001226A4">
        <w:t>KHL, KEP</w:t>
      </w:r>
      <w:r w:rsidR="0073481A">
        <w:t xml:space="preserve"> and</w:t>
      </w:r>
      <w:r w:rsidR="0073481A" w:rsidRPr="001226A4">
        <w:t xml:space="preserve"> KIL</w:t>
      </w:r>
      <w:r w:rsidR="0073481A">
        <w:t>. For convenience I will refer to Kesa’s thought process, desires and/or objectives below, meaning those of Mr Platt, Mr Enoch and any other individuals involved in the key decision making process</w:t>
      </w:r>
      <w:r w:rsidR="00876EFA">
        <w:t xml:space="preserve"> on the Kesa side</w:t>
      </w:r>
      <w:r w:rsidR="0073481A">
        <w:t>. However, first I will say something about the relevance of the presumption in</w:t>
      </w:r>
      <w:r w:rsidR="0073481A" w:rsidRPr="0073481A">
        <w:t xml:space="preserve"> s.239(6) IA 1986</w:t>
      </w:r>
      <w:r w:rsidR="0073481A">
        <w:t>.</w:t>
      </w:r>
      <w:bookmarkEnd w:id="48"/>
    </w:p>
    <w:p w14:paraId="3E613C1F" w14:textId="77777777" w:rsidR="00C277F5" w:rsidRDefault="00C277F5" w:rsidP="00C277F5">
      <w:pPr>
        <w:pStyle w:val="Heading2"/>
      </w:pPr>
      <w:r>
        <w:t>The relevance of the presumption</w:t>
      </w:r>
    </w:p>
    <w:p w14:paraId="334C59B6" w14:textId="5E14FDC7" w:rsidR="00C277F5" w:rsidRDefault="00C277F5" w:rsidP="00C277F5">
      <w:pPr>
        <w:pStyle w:val="BodyText"/>
      </w:pPr>
      <w:r>
        <w:t>As explained at [</w:t>
      </w:r>
      <w:r>
        <w:fldChar w:fldCharType="begin"/>
      </w:r>
      <w:r>
        <w:instrText xml:space="preserve"> REF _Ref118269499 \r \h </w:instrText>
      </w:r>
      <w:r>
        <w:fldChar w:fldCharType="separate"/>
      </w:r>
      <w:r w:rsidR="00E762C8">
        <w:t>62</w:t>
      </w:r>
      <w:r>
        <w:fldChar w:fldCharType="end"/>
      </w:r>
      <w:r>
        <w:t>] and [</w:t>
      </w:r>
      <w:r>
        <w:fldChar w:fldCharType="begin"/>
      </w:r>
      <w:r>
        <w:instrText xml:space="preserve"> REF _Ref118269647 \r \h </w:instrText>
      </w:r>
      <w:r>
        <w:fldChar w:fldCharType="separate"/>
      </w:r>
      <w:r w:rsidR="00E762C8">
        <w:t>63</w:t>
      </w:r>
      <w:r>
        <w:fldChar w:fldCharType="end"/>
      </w:r>
      <w:r>
        <w:t xml:space="preserve">] above, what is likely to have been a material body of emails of Kesa employees were deleted in 2016, such that relatively few emails between the core deal team survive. I agree with the Deputy Judge that the presumption </w:t>
      </w:r>
      <w:bookmarkStart w:id="49" w:name="_Hlk118270457"/>
      <w:r>
        <w:t xml:space="preserve">in s.239(6) IA 1986 </w:t>
      </w:r>
      <w:bookmarkEnd w:id="49"/>
      <w:r>
        <w:t xml:space="preserve">has the effect that I should make no assumptions that any such material would have assisted Darty’s case or adversely affected the Liquidator’s as far as concerns Kesa employees. </w:t>
      </w:r>
    </w:p>
    <w:p w14:paraId="131A7CE7" w14:textId="27F85293" w:rsidR="00C277F5" w:rsidRDefault="00C277F5" w:rsidP="00C277F5">
      <w:pPr>
        <w:pStyle w:val="BodyText"/>
      </w:pPr>
      <w:r>
        <w:t>However, whilst this is relevant to any views formed</w:t>
      </w:r>
      <w:r w:rsidR="00781D6F">
        <w:t xml:space="preserve"> by Kesa executives</w:t>
      </w:r>
      <w:r>
        <w:t xml:space="preserve"> prior to or at the time that the SPA was signed, the position is different in relation to the New Board’s</w:t>
      </w:r>
      <w:r w:rsidR="00306C58">
        <w:t xml:space="preserve"> thinking</w:t>
      </w:r>
      <w:r>
        <w:t xml:space="preserve"> around the time the Disposal was completed. To the extent the case turns on that, evidence about the thought processes of the New Board – which is what Darty says exists – must</w:t>
      </w:r>
      <w:r w:rsidR="00306C58">
        <w:t xml:space="preserve"> in principle</w:t>
      </w:r>
      <w:r>
        <w:t xml:space="preserve"> be capable of </w:t>
      </w:r>
      <w:r w:rsidR="0050102D">
        <w:t xml:space="preserve">forming the basis of a conclusion that </w:t>
      </w:r>
      <w:r w:rsidR="00210D88">
        <w:t>there was no desire to prefer</w:t>
      </w:r>
      <w:r>
        <w:t xml:space="preserve">. </w:t>
      </w:r>
    </w:p>
    <w:p w14:paraId="7A365EF7" w14:textId="270A6880" w:rsidR="00C277F5" w:rsidRDefault="00210D88" w:rsidP="00C277F5">
      <w:pPr>
        <w:pStyle w:val="BodyText"/>
      </w:pPr>
      <w:r>
        <w:t>The basic point is of course</w:t>
      </w:r>
      <w:r w:rsidR="00C277F5">
        <w:t xml:space="preserve"> that the presumption is </w:t>
      </w:r>
      <w:r>
        <w:t>a</w:t>
      </w:r>
      <w:r w:rsidR="00C277F5">
        <w:t xml:space="preserve"> rebuttable</w:t>
      </w:r>
      <w:r>
        <w:t xml:space="preserve"> one</w:t>
      </w:r>
      <w:r w:rsidR="00C277F5">
        <w:t>. It is open to Darty to demonstrate that any relevant decision was not tainted by a desire to prefer.</w:t>
      </w:r>
    </w:p>
    <w:p w14:paraId="1D57DB2D" w14:textId="699E425A" w:rsidR="00EA5782" w:rsidRDefault="00E621DD" w:rsidP="00CA05B4">
      <w:pPr>
        <w:pStyle w:val="BodyText"/>
      </w:pPr>
      <w:r>
        <w:t>Nevertheless, I agree to some extent with Mr Gledhill’s submissions about the function of the presumption. As he said,</w:t>
      </w:r>
      <w:r w:rsidR="00877BC6">
        <w:t xml:space="preserve"> motives are often unexpressed and may be transient, and it can be very difficult to pin down and</w:t>
      </w:r>
      <w:r w:rsidR="004A1D5B">
        <w:t xml:space="preserve"> determine their effect years after the events in question</w:t>
      </w:r>
      <w:r w:rsidR="00657EFA">
        <w:t>.</w:t>
      </w:r>
      <w:r w:rsidR="00302F53">
        <w:t xml:space="preserve"> </w:t>
      </w:r>
      <w:r w:rsidR="009F3812">
        <w:t xml:space="preserve">I would add that it </w:t>
      </w:r>
      <w:r w:rsidR="00302F53">
        <w:t xml:space="preserve">is important to bear in mind that the statutory test only requires </w:t>
      </w:r>
      <w:r w:rsidR="00627A21">
        <w:t>a desire to prefer to be one of the factors which operated on the minds of those who made the decision</w:t>
      </w:r>
      <w:r w:rsidR="00F847F1">
        <w:t xml:space="preserve">. It is this </w:t>
      </w:r>
      <w:r w:rsidR="00FD0789">
        <w:t>elem</w:t>
      </w:r>
      <w:r w:rsidR="00A32CFA">
        <w:t>ent</w:t>
      </w:r>
      <w:r w:rsidR="00F847F1">
        <w:t xml:space="preserve"> that has undoubtedly led judges to</w:t>
      </w:r>
      <w:r w:rsidR="008513CF">
        <w:t xml:space="preserve"> make comments along the lines of</w:t>
      </w:r>
      <w:r w:rsidR="00665B24">
        <w:t xml:space="preserve"> that made in </w:t>
      </w:r>
      <w:r w:rsidR="001D526E" w:rsidRPr="00DB06F5">
        <w:rPr>
          <w:i/>
          <w:iCs/>
        </w:rPr>
        <w:t xml:space="preserve">Re Oxford Pharmaceuticals Ltd </w:t>
      </w:r>
      <w:r w:rsidR="001D526E">
        <w:t>(see [</w:t>
      </w:r>
      <w:r w:rsidR="001D526E">
        <w:fldChar w:fldCharType="begin"/>
      </w:r>
      <w:r w:rsidR="001D526E">
        <w:instrText xml:space="preserve"> REF _Ref118270956 \r \h </w:instrText>
      </w:r>
      <w:r w:rsidR="001D526E">
        <w:fldChar w:fldCharType="separate"/>
      </w:r>
      <w:r w:rsidR="00E762C8">
        <w:t>106</w:t>
      </w:r>
      <w:r w:rsidR="001D526E">
        <w:fldChar w:fldCharType="end"/>
      </w:r>
      <w:r w:rsidR="001D526E">
        <w:t>] above)</w:t>
      </w:r>
      <w:r w:rsidR="00C5350E">
        <w:t xml:space="preserve"> about acting solely by reference to proper commercial considerations</w:t>
      </w:r>
      <w:r w:rsidR="005014B5">
        <w:t xml:space="preserve">. Indeed that </w:t>
      </w:r>
      <w:r w:rsidR="003856B7">
        <w:t xml:space="preserve">very </w:t>
      </w:r>
      <w:r w:rsidR="005014B5">
        <w:t xml:space="preserve">point was </w:t>
      </w:r>
      <w:r w:rsidR="001B37F0">
        <w:t xml:space="preserve">made by Millett J in </w:t>
      </w:r>
      <w:r w:rsidR="001B37F0" w:rsidRPr="005014B5">
        <w:rPr>
          <w:i/>
          <w:iCs/>
        </w:rPr>
        <w:t>Re MC Bacon</w:t>
      </w:r>
      <w:r w:rsidR="005615B0">
        <w:t xml:space="preserve"> at p.87H</w:t>
      </w:r>
      <w:r w:rsidR="00BD0227">
        <w:t>. In practice,</w:t>
      </w:r>
      <w:r w:rsidR="00A15A61">
        <w:t xml:space="preserve"> the presumption has the effect of</w:t>
      </w:r>
      <w:r w:rsidR="007C02DC">
        <w:t xml:space="preserve"> imposing a burden on the</w:t>
      </w:r>
      <w:r w:rsidR="00A15A61">
        <w:t xml:space="preserve"> creditor to prove that</w:t>
      </w:r>
      <w:r w:rsidR="007133F4">
        <w:t xml:space="preserve"> the</w:t>
      </w:r>
      <w:r w:rsidR="00E96CBA">
        <w:t xml:space="preserve"> factors that operated on the minds of the decision-makers </w:t>
      </w:r>
      <w:r w:rsidR="007133F4">
        <w:t>did not include</w:t>
      </w:r>
      <w:r w:rsidR="007C02DC">
        <w:t xml:space="preserve"> a desire to prefer</w:t>
      </w:r>
      <w:r w:rsidR="00E96CBA">
        <w:t>.</w:t>
      </w:r>
      <w:r w:rsidR="00FB476D">
        <w:t xml:space="preserve"> I also agree with Mr Gledhill that the comments of Leggatt LJ in </w:t>
      </w:r>
      <w:r w:rsidR="00FB476D" w:rsidRPr="00DB06F5">
        <w:rPr>
          <w:i/>
          <w:iCs/>
        </w:rPr>
        <w:t>Ablyazov</w:t>
      </w:r>
      <w:r w:rsidR="00FB476D" w:rsidRPr="00DB06F5">
        <w:rPr>
          <w:iCs/>
        </w:rPr>
        <w:t xml:space="preserve"> </w:t>
      </w:r>
      <w:r w:rsidR="00A32CFA">
        <w:rPr>
          <w:iCs/>
        </w:rPr>
        <w:t>in relation to inferences</w:t>
      </w:r>
      <w:r w:rsidR="00714FC4">
        <w:rPr>
          <w:iCs/>
        </w:rPr>
        <w:t xml:space="preserve"> (see [</w:t>
      </w:r>
      <w:r w:rsidR="00714FC4">
        <w:rPr>
          <w:iCs/>
        </w:rPr>
        <w:fldChar w:fldCharType="begin"/>
      </w:r>
      <w:r w:rsidR="00714FC4">
        <w:rPr>
          <w:iCs/>
        </w:rPr>
        <w:instrText xml:space="preserve"> REF _Ref118707810 \r \h </w:instrText>
      </w:r>
      <w:r w:rsidR="00714FC4">
        <w:rPr>
          <w:iCs/>
        </w:rPr>
      </w:r>
      <w:r w:rsidR="00714FC4">
        <w:rPr>
          <w:iCs/>
        </w:rPr>
        <w:fldChar w:fldCharType="separate"/>
      </w:r>
      <w:r w:rsidR="00E762C8">
        <w:rPr>
          <w:iCs/>
        </w:rPr>
        <w:t>103</w:t>
      </w:r>
      <w:r w:rsidR="00714FC4">
        <w:rPr>
          <w:iCs/>
        </w:rPr>
        <w:fldChar w:fldCharType="end"/>
      </w:r>
      <w:r w:rsidR="00714FC4">
        <w:rPr>
          <w:iCs/>
        </w:rPr>
        <w:t xml:space="preserve">] above) </w:t>
      </w:r>
      <w:r w:rsidR="00FB476D" w:rsidRPr="00DB06F5">
        <w:rPr>
          <w:iCs/>
        </w:rPr>
        <w:t>are of some assistance.</w:t>
      </w:r>
    </w:p>
    <w:p w14:paraId="581CF41E" w14:textId="3641E995" w:rsidR="007904E5" w:rsidRDefault="001B2F8C" w:rsidP="00C20087">
      <w:pPr>
        <w:pStyle w:val="Heading2"/>
      </w:pPr>
      <w:r>
        <w:t xml:space="preserve">Kesa’s </w:t>
      </w:r>
      <w:r w:rsidR="00FD0EC3">
        <w:t>thought process</w:t>
      </w:r>
      <w:r w:rsidR="00C20087">
        <w:t xml:space="preserve"> </w:t>
      </w:r>
      <w:r w:rsidR="00FD0EC3">
        <w:t>and objectives</w:t>
      </w:r>
    </w:p>
    <w:p w14:paraId="72694894" w14:textId="60F36C9A" w:rsidR="00C20087" w:rsidRDefault="00CA3ABB" w:rsidP="00C20087">
      <w:pPr>
        <w:pStyle w:val="BodyText"/>
      </w:pPr>
      <w:r>
        <w:t>Kesa’s overriding objective</w:t>
      </w:r>
      <w:r w:rsidR="00725586">
        <w:t xml:space="preserve"> was to achieve a clean break from Comet, with its downside risk</w:t>
      </w:r>
      <w:r w:rsidR="000D4123">
        <w:t xml:space="preserve"> capped. However,</w:t>
      </w:r>
      <w:r w:rsidR="00A6444F">
        <w:t xml:space="preserve"> in order to</w:t>
      </w:r>
      <w:r w:rsidR="004C5FCF">
        <w:t xml:space="preserve"> achieve that without damage to Kesa’s wider reputation and business, it was </w:t>
      </w:r>
      <w:r w:rsidR="004D59A2">
        <w:t xml:space="preserve">also regarded as critical that Comet was sold as a going concern, </w:t>
      </w:r>
      <w:r w:rsidR="007A76CE">
        <w:t xml:space="preserve">with </w:t>
      </w:r>
      <w:r w:rsidR="00332D7E">
        <w:t xml:space="preserve">at least </w:t>
      </w:r>
      <w:r w:rsidR="007A76CE">
        <w:t xml:space="preserve">no </w:t>
      </w:r>
      <w:r w:rsidR="007A76CE" w:rsidRPr="00332D7E">
        <w:t xml:space="preserve">immediate </w:t>
      </w:r>
      <w:r w:rsidR="00133D3F" w:rsidRPr="00332D7E">
        <w:t>prospect</w:t>
      </w:r>
      <w:r w:rsidR="00133D3F">
        <w:t xml:space="preserve"> of an insolvency process.</w:t>
      </w:r>
      <w:r w:rsidR="00627353">
        <w:t xml:space="preserve"> The </w:t>
      </w:r>
      <w:r w:rsidR="00757936">
        <w:t>acquirer’s financing structure was regarded as critical to this</w:t>
      </w:r>
      <w:r w:rsidR="005C4924">
        <w:t xml:space="preserve">. </w:t>
      </w:r>
      <w:r w:rsidR="00EB604B">
        <w:t>As the</w:t>
      </w:r>
      <w:r w:rsidR="008E620F">
        <w:t xml:space="preserve"> briefing </w:t>
      </w:r>
      <w:r w:rsidR="00BE7023">
        <w:t>paper for the 14 September 2011 Board meeting referred to at above</w:t>
      </w:r>
      <w:r w:rsidR="008E620F">
        <w:t xml:space="preserve"> </w:t>
      </w:r>
      <w:r w:rsidR="00BE7023">
        <w:t>[</w:t>
      </w:r>
      <w:r w:rsidR="002D11B1">
        <w:fldChar w:fldCharType="begin"/>
      </w:r>
      <w:r w:rsidR="002D11B1">
        <w:instrText xml:space="preserve"> REF _Ref118103286 \r \h </w:instrText>
      </w:r>
      <w:r w:rsidR="002D11B1">
        <w:fldChar w:fldCharType="separate"/>
      </w:r>
      <w:r w:rsidR="00E762C8">
        <w:t>22</w:t>
      </w:r>
      <w:r w:rsidR="002D11B1">
        <w:fldChar w:fldCharType="end"/>
      </w:r>
      <w:r w:rsidR="00BE7023">
        <w:t>]</w:t>
      </w:r>
      <w:r w:rsidR="006B6352">
        <w:t xml:space="preserve"> states</w:t>
      </w:r>
      <w:r w:rsidR="00EB604B">
        <w:t xml:space="preserve">, </w:t>
      </w:r>
      <w:r w:rsidR="008E620F">
        <w:t>the “key question”</w:t>
      </w:r>
      <w:r w:rsidR="006B6352">
        <w:t xml:space="preserve"> for the OpCapita bid was the “adequacy of their financing proposal for the business</w:t>
      </w:r>
      <w:r w:rsidR="00407517">
        <w:t>”</w:t>
      </w:r>
      <w:r w:rsidR="00EB604B">
        <w:t>.</w:t>
      </w:r>
    </w:p>
    <w:p w14:paraId="18E0B3F1" w14:textId="7A92F466" w:rsidR="00407517" w:rsidRDefault="003A6720" w:rsidP="00C20087">
      <w:pPr>
        <w:pStyle w:val="BodyText"/>
      </w:pPr>
      <w:r>
        <w:t xml:space="preserve">As the briefing paper explains, </w:t>
      </w:r>
      <w:r w:rsidR="00304B91">
        <w:t>t</w:t>
      </w:r>
      <w:r w:rsidR="00407517">
        <w:t>hat financing proposal</w:t>
      </w:r>
      <w:r>
        <w:t xml:space="preserve"> was £120m </w:t>
      </w:r>
      <w:r w:rsidR="00304B91">
        <w:t>in the form of working capital. The way in which this was</w:t>
      </w:r>
      <w:r w:rsidR="00E225C7">
        <w:t xml:space="preserve"> anticipated </w:t>
      </w:r>
      <w:r w:rsidR="00304B91">
        <w:t>to</w:t>
      </w:r>
      <w:r w:rsidR="007A24D6">
        <w:t xml:space="preserve"> work was explained to credit insurers</w:t>
      </w:r>
      <w:r w:rsidR="00083677">
        <w:t xml:space="preserve"> at the presentation referred to at [</w:t>
      </w:r>
      <w:r w:rsidR="00083677">
        <w:fldChar w:fldCharType="begin"/>
      </w:r>
      <w:r w:rsidR="00083677">
        <w:instrText xml:space="preserve"> REF _Ref118103555 \r \h </w:instrText>
      </w:r>
      <w:r w:rsidR="00083677">
        <w:fldChar w:fldCharType="separate"/>
      </w:r>
      <w:r w:rsidR="00E762C8">
        <w:t>31</w:t>
      </w:r>
      <w:r w:rsidR="00083677">
        <w:fldChar w:fldCharType="end"/>
      </w:r>
      <w:r w:rsidR="00083677">
        <w:t>]</w:t>
      </w:r>
      <w:r w:rsidR="00F02BC6">
        <w:t xml:space="preserve"> and [</w:t>
      </w:r>
      <w:r w:rsidR="00F02BC6">
        <w:fldChar w:fldCharType="begin"/>
      </w:r>
      <w:r w:rsidR="00F02BC6">
        <w:instrText xml:space="preserve"> REF _Ref118103631 \r \h </w:instrText>
      </w:r>
      <w:r w:rsidR="00F02BC6">
        <w:fldChar w:fldCharType="separate"/>
      </w:r>
      <w:r w:rsidR="00E762C8">
        <w:t>32</w:t>
      </w:r>
      <w:r w:rsidR="00F02BC6">
        <w:fldChar w:fldCharType="end"/>
      </w:r>
      <w:r w:rsidR="00F02BC6">
        <w:t>]</w:t>
      </w:r>
      <w:r w:rsidR="00083677">
        <w:t xml:space="preserve"> above</w:t>
      </w:r>
      <w:r w:rsidR="00F02BC6">
        <w:t>.</w:t>
      </w:r>
      <w:r w:rsidR="00E73FCC">
        <w:t xml:space="preserve"> The fundamental components were £50m and £30m respectively from Kesa and OpC</w:t>
      </w:r>
      <w:r w:rsidR="003B2108">
        <w:t>apita, plus a £40m ABL facility. The significance of the overall package to Kesa is</w:t>
      </w:r>
      <w:r w:rsidR="003D4D95">
        <w:t xml:space="preserve"> underlined by the extremely unusual provision for £30m liquidated damages if the ABL </w:t>
      </w:r>
      <w:r w:rsidR="00C77BD2">
        <w:t xml:space="preserve">facility </w:t>
      </w:r>
      <w:r w:rsidR="003D4D95">
        <w:t xml:space="preserve">was not in place </w:t>
      </w:r>
      <w:r w:rsidR="00FB5487">
        <w:t>at</w:t>
      </w:r>
      <w:r w:rsidR="003D4D95">
        <w:t xml:space="preserve"> completion</w:t>
      </w:r>
      <w:r w:rsidR="00FB5487">
        <w:t xml:space="preserve"> (see [</w:t>
      </w:r>
      <w:r w:rsidR="00FB5487">
        <w:fldChar w:fldCharType="begin"/>
      </w:r>
      <w:r w:rsidR="00FB5487">
        <w:instrText xml:space="preserve"> REF _Ref118103829 \r \h </w:instrText>
      </w:r>
      <w:r w:rsidR="00FB5487">
        <w:fldChar w:fldCharType="separate"/>
      </w:r>
      <w:r w:rsidR="00E762C8">
        <w:t>43</w:t>
      </w:r>
      <w:r w:rsidR="00FB5487">
        <w:fldChar w:fldCharType="end"/>
      </w:r>
      <w:r w:rsidR="00FB5487">
        <w:t>] above)</w:t>
      </w:r>
      <w:r w:rsidR="00E75EFC">
        <w:t>.</w:t>
      </w:r>
    </w:p>
    <w:p w14:paraId="0DB851A7" w14:textId="40A2B63B" w:rsidR="00E75EFC" w:rsidRDefault="00F876EB" w:rsidP="00C20087">
      <w:pPr>
        <w:pStyle w:val="BodyText"/>
      </w:pPr>
      <w:r>
        <w:t>Leaving Comet’s</w:t>
      </w:r>
      <w:r w:rsidR="00C26964">
        <w:t xml:space="preserve"> funding</w:t>
      </w:r>
      <w:r>
        <w:t xml:space="preserve"> position</w:t>
      </w:r>
      <w:r w:rsidR="006B4FB9">
        <w:t xml:space="preserve"> </w:t>
      </w:r>
      <w:r>
        <w:t>to one side, the SPA and completion arrangements could have been structured in a number of different ways to achieve the same overall economic result as between Kesa</w:t>
      </w:r>
      <w:r w:rsidR="00C26964">
        <w:t xml:space="preserve"> and OpCapita. The most obvious thing to do in a “dowry”</w:t>
      </w:r>
      <w:r w:rsidR="00DB29DA">
        <w:t xml:space="preserve"> sale </w:t>
      </w:r>
      <w:r w:rsidR="004F4CA0">
        <w:t xml:space="preserve">where debt is clearly “under water” </w:t>
      </w:r>
      <w:r w:rsidR="00DB29DA">
        <w:t xml:space="preserve">would be to capitalise or waive all debt owed to the selling </w:t>
      </w:r>
      <w:r w:rsidR="006B4FB9">
        <w:t xml:space="preserve">group, </w:t>
      </w:r>
      <w:r w:rsidR="00327DF7">
        <w:t>and transfer the shares for a no</w:t>
      </w:r>
      <w:r w:rsidR="00C86D45">
        <w:t xml:space="preserve">minal sum with the </w:t>
      </w:r>
      <w:r w:rsidR="004F4CA0">
        <w:t>agreed</w:t>
      </w:r>
      <w:r w:rsidR="00C86D45">
        <w:t xml:space="preserve"> dowry of £36.18m</w:t>
      </w:r>
      <w:r w:rsidR="00B642CE">
        <w:t xml:space="preserve"> being</w:t>
      </w:r>
      <w:r w:rsidR="001130E5">
        <w:t xml:space="preserve"> paid to</w:t>
      </w:r>
      <w:r w:rsidR="00B642CE">
        <w:t xml:space="preserve"> </w:t>
      </w:r>
      <w:r w:rsidR="007974A5">
        <w:t>the buying group</w:t>
      </w:r>
      <w:r w:rsidR="00B457A3">
        <w:t xml:space="preserve"> (option 1)</w:t>
      </w:r>
      <w:r w:rsidR="007974A5">
        <w:t>.</w:t>
      </w:r>
      <w:r w:rsidR="008A17C7">
        <w:t xml:space="preserve"> An alternative would </w:t>
      </w:r>
      <w:r w:rsidR="00813964">
        <w:t>be</w:t>
      </w:r>
      <w:r w:rsidR="000248C2">
        <w:t xml:space="preserve"> </w:t>
      </w:r>
      <w:r w:rsidR="00235D6B">
        <w:t>to</w:t>
      </w:r>
      <w:r w:rsidR="00813964">
        <w:t xml:space="preserve"> assign the debt for a nominal sum, rather than waive or capitalise it</w:t>
      </w:r>
      <w:r w:rsidR="00235D6B">
        <w:t xml:space="preserve">, but otherwise </w:t>
      </w:r>
      <w:r w:rsidR="006540CF">
        <w:t>take the same steps</w:t>
      </w:r>
      <w:r w:rsidR="00B457A3">
        <w:t xml:space="preserve"> (option 2)</w:t>
      </w:r>
      <w:r w:rsidR="00813964">
        <w:t>.</w:t>
      </w:r>
      <w:r w:rsidR="009049D2">
        <w:t xml:space="preserve"> I note that Valco’s first </w:t>
      </w:r>
      <w:r w:rsidR="006B6CD6">
        <w:t xml:space="preserve">round offer </w:t>
      </w:r>
      <w:r w:rsidR="009049D2">
        <w:t>and</w:t>
      </w:r>
      <w:r w:rsidR="006B6CD6">
        <w:t xml:space="preserve"> at least one of the alternatives offered in the second round</w:t>
      </w:r>
      <w:r w:rsidR="009049D2">
        <w:t xml:space="preserve"> </w:t>
      </w:r>
      <w:r w:rsidR="00063F69">
        <w:t>were premised on an assignment of debt</w:t>
      </w:r>
      <w:r w:rsidR="00A802D3">
        <w:t xml:space="preserve">, and OpCapita’s first </w:t>
      </w:r>
      <w:r w:rsidR="00006238">
        <w:t>expression of interest</w:t>
      </w:r>
      <w:r w:rsidR="00A802D3">
        <w:t xml:space="preserve"> referred to the “acquisition” of interc</w:t>
      </w:r>
      <w:r w:rsidR="00C714CE">
        <w:t>ompany receivables owed by Comet</w:t>
      </w:r>
      <w:r w:rsidR="00063F69">
        <w:t>.</w:t>
      </w:r>
    </w:p>
    <w:p w14:paraId="0AA78FC4" w14:textId="5B49F4EE" w:rsidR="00BD4C79" w:rsidRPr="00BD4C79" w:rsidRDefault="00B37441" w:rsidP="00041915">
      <w:pPr>
        <w:pStyle w:val="BodyText"/>
      </w:pPr>
      <w:r>
        <w:t>However, this was not what was done. If it had been then the presentation to</w:t>
      </w:r>
      <w:r w:rsidR="00E77FA6">
        <w:t xml:space="preserve"> credit insurers </w:t>
      </w:r>
      <w:r w:rsidR="004820F5">
        <w:t>would have looked different. In particular</w:t>
      </w:r>
      <w:r w:rsidR="009A217F">
        <w:t>, the structure</w:t>
      </w:r>
      <w:r w:rsidR="00DF353C">
        <w:t xml:space="preserve"> chart</w:t>
      </w:r>
      <w:r w:rsidR="009A217F">
        <w:t xml:space="preserve"> depicting </w:t>
      </w:r>
      <w:r w:rsidR="00786DF4">
        <w:t xml:space="preserve">£80m being </w:t>
      </w:r>
      <w:r w:rsidR="00786DF4" w:rsidRPr="00DF353C">
        <w:rPr>
          <w:u w:val="single"/>
        </w:rPr>
        <w:t xml:space="preserve">injected into Comet by the </w:t>
      </w:r>
      <w:r w:rsidR="00DF353C" w:rsidRPr="00DF353C">
        <w:rPr>
          <w:u w:val="single"/>
        </w:rPr>
        <w:t>purchasing vehicle</w:t>
      </w:r>
      <w:r w:rsidR="00786DF4">
        <w:t xml:space="preserve"> </w:t>
      </w:r>
      <w:r w:rsidR="00E252C3">
        <w:t>as a revolving facility would have been manifestly incorrect</w:t>
      </w:r>
      <w:r w:rsidR="00CF1E35">
        <w:t xml:space="preserve">, obviously so under option 1 but </w:t>
      </w:r>
      <w:r w:rsidR="0014350B">
        <w:t xml:space="preserve">in </w:t>
      </w:r>
      <w:r w:rsidR="00FE2131">
        <w:t>effect</w:t>
      </w:r>
      <w:r w:rsidR="0014350B">
        <w:t xml:space="preserve"> </w:t>
      </w:r>
      <w:r w:rsidR="00CF1E35">
        <w:t>also under option 2</w:t>
      </w:r>
      <w:r w:rsidR="002D6F1E">
        <w:t xml:space="preserve">. </w:t>
      </w:r>
      <w:r w:rsidR="00F70033">
        <w:t>That structure chart</w:t>
      </w:r>
      <w:r w:rsidR="00BE3939">
        <w:t xml:space="preserve"> necessarily involved repayment of the KIL RCF. </w:t>
      </w:r>
      <w:r w:rsidR="00BD4C79" w:rsidRPr="00BD4C79">
        <w:t xml:space="preserve">To adopt the language of Leggatt LJ in </w:t>
      </w:r>
      <w:r w:rsidR="00BD4C79" w:rsidRPr="00BD4C79">
        <w:rPr>
          <w:i/>
          <w:iCs/>
        </w:rPr>
        <w:t>Ablyazov</w:t>
      </w:r>
      <w:r w:rsidR="00BD4C79" w:rsidRPr="00BD4C79">
        <w:t xml:space="preserve"> at [16],</w:t>
      </w:r>
      <w:r w:rsidR="00041915">
        <w:t xml:space="preserve"> that repayment was not something that Kesa would have wished to avoid or </w:t>
      </w:r>
      <w:r w:rsidR="00041915" w:rsidRPr="00BD4C79">
        <w:t>had no wish to bring about</w:t>
      </w:r>
      <w:r w:rsidR="00D4144C">
        <w:t>.</w:t>
      </w:r>
      <w:r w:rsidR="00764D3D">
        <w:t xml:space="preserve"> Rather, given the economics, I must infer that it is something that Kesa desired.</w:t>
      </w:r>
      <w:r w:rsidR="00B10905">
        <w:t xml:space="preserve"> Otherwise, using the figures in the structure chart, it would have been left with a net payment</w:t>
      </w:r>
      <w:r w:rsidR="007A4AE1">
        <w:t xml:space="preserve"> by it</w:t>
      </w:r>
      <w:r w:rsidR="00B10905">
        <w:t xml:space="preserve"> of £80m rather than</w:t>
      </w:r>
      <w:r w:rsidR="00405D71">
        <w:t xml:space="preserve"> the much lower dowry that it intended to pay.</w:t>
      </w:r>
    </w:p>
    <w:p w14:paraId="1F51E7E3" w14:textId="2ED4C8DF" w:rsidR="00D97E3A" w:rsidRDefault="00FB6C5F" w:rsidP="00C20087">
      <w:pPr>
        <w:pStyle w:val="BodyText"/>
      </w:pPr>
      <w:r>
        <w:t xml:space="preserve">It follows that I do not accept Darty’s </w:t>
      </w:r>
      <w:r w:rsidR="00B06200">
        <w:t xml:space="preserve">case that it was </w:t>
      </w:r>
      <w:r w:rsidR="0002126E">
        <w:t>OpCapita and the Investors who were solely responsible for the structure</w:t>
      </w:r>
      <w:r w:rsidR="00BC7004">
        <w:t>, with Kesa just going along with what they proposed.</w:t>
      </w:r>
      <w:r w:rsidR="005E2521">
        <w:t xml:space="preserve"> The capital structure of Comet </w:t>
      </w:r>
      <w:r w:rsidR="009C3DF6">
        <w:t>immediately</w:t>
      </w:r>
      <w:r w:rsidR="005E2521">
        <w:t xml:space="preserve"> following the Disposal</w:t>
      </w:r>
      <w:r w:rsidR="009C3DF6">
        <w:t xml:space="preserve"> was of critical significance to Kesa.</w:t>
      </w:r>
      <w:r w:rsidR="00874AC4">
        <w:t xml:space="preserve"> The structure</w:t>
      </w:r>
      <w:r w:rsidR="00F1652F">
        <w:t xml:space="preserve"> was agreed by both parties and </w:t>
      </w:r>
      <w:r w:rsidR="003E7542">
        <w:t xml:space="preserve">was </w:t>
      </w:r>
      <w:r w:rsidR="00F1652F">
        <w:t xml:space="preserve">reflected </w:t>
      </w:r>
      <w:r w:rsidR="002B66EC">
        <w:t xml:space="preserve">both in the joint presentation to credit insurers and </w:t>
      </w:r>
      <w:r w:rsidR="00F1652F">
        <w:t>in the agreed documents</w:t>
      </w:r>
      <w:r w:rsidR="00570908">
        <w:t>.</w:t>
      </w:r>
      <w:r w:rsidR="000C10B3">
        <w:t xml:space="preserve"> The repayment of the KIL RCF</w:t>
      </w:r>
      <w:r w:rsidR="00051744">
        <w:t xml:space="preserve"> was part of this</w:t>
      </w:r>
      <w:r w:rsidR="00CB511A">
        <w:t>, and was something that</w:t>
      </w:r>
      <w:r w:rsidR="004F2DFF">
        <w:t xml:space="preserve"> I conclude that</w:t>
      </w:r>
      <w:r w:rsidR="00A86311">
        <w:t xml:space="preserve"> Kesa </w:t>
      </w:r>
      <w:r w:rsidR="00852A33">
        <w:t xml:space="preserve">positively </w:t>
      </w:r>
      <w:r w:rsidR="00A86311">
        <w:t>desired to achieve.</w:t>
      </w:r>
      <w:r w:rsidR="008875D3">
        <w:t xml:space="preserve"> </w:t>
      </w:r>
      <w:r w:rsidR="000B6B1A">
        <w:t>The structure was not a matter of indifference to it</w:t>
      </w:r>
      <w:r w:rsidR="00852A33">
        <w:t xml:space="preserve">, or just a necessary </w:t>
      </w:r>
      <w:r w:rsidR="003252B0">
        <w:t>consequence of agreeing to an OpCapita proposal</w:t>
      </w:r>
      <w:r w:rsidR="000B6B1A">
        <w:t>.</w:t>
      </w:r>
    </w:p>
    <w:p w14:paraId="2F04A3D8" w14:textId="6F14CA95" w:rsidR="00405E65" w:rsidRDefault="008A5F59" w:rsidP="00C20087">
      <w:pPr>
        <w:pStyle w:val="BodyText"/>
      </w:pPr>
      <w:r>
        <w:t>I accept that work on the</w:t>
      </w:r>
      <w:r w:rsidR="00664E05">
        <w:t xml:space="preserve"> detailed</w:t>
      </w:r>
      <w:r>
        <w:t xml:space="preserve"> mechanics of the</w:t>
      </w:r>
      <w:r w:rsidR="00664E05">
        <w:t xml:space="preserve"> structure was </w:t>
      </w:r>
      <w:r>
        <w:t xml:space="preserve">led by </w:t>
      </w:r>
      <w:r w:rsidR="00664E05">
        <w:t xml:space="preserve"> </w:t>
      </w:r>
      <w:r w:rsidR="00416CDE">
        <w:t>OpCapita</w:t>
      </w:r>
      <w:r>
        <w:t>.</w:t>
      </w:r>
      <w:r w:rsidR="00FB1B4A">
        <w:t xml:space="preserve"> This work obviously progress</w:t>
      </w:r>
      <w:r w:rsidR="00E46061">
        <w:t>ed</w:t>
      </w:r>
      <w:r w:rsidR="00FB1B4A">
        <w:t xml:space="preserve"> in earnest </w:t>
      </w:r>
      <w:r w:rsidR="00332979">
        <w:t xml:space="preserve">following the meeting </w:t>
      </w:r>
      <w:r w:rsidR="00DF0240">
        <w:t xml:space="preserve">on 18 October 2011 </w:t>
      </w:r>
      <w:r w:rsidR="00332979">
        <w:t>referred to at [</w:t>
      </w:r>
      <w:r w:rsidR="00E46061">
        <w:fldChar w:fldCharType="begin"/>
      </w:r>
      <w:r w:rsidR="00E46061">
        <w:instrText xml:space="preserve"> REF _Ref118105986 \r \h </w:instrText>
      </w:r>
      <w:r w:rsidR="00E46061">
        <w:fldChar w:fldCharType="separate"/>
      </w:r>
      <w:r w:rsidR="00E762C8">
        <w:t>26</w:t>
      </w:r>
      <w:r w:rsidR="00E46061">
        <w:fldChar w:fldCharType="end"/>
      </w:r>
      <w:r w:rsidR="00332979">
        <w:t xml:space="preserve">] </w:t>
      </w:r>
      <w:r w:rsidR="00E46061">
        <w:t xml:space="preserve">above at which Mr </w:t>
      </w:r>
      <w:r w:rsidR="000C459A">
        <w:t>Walters</w:t>
      </w:r>
      <w:r w:rsidR="00E46061">
        <w:t xml:space="preserve"> explained that the </w:t>
      </w:r>
      <w:r w:rsidR="000C459A">
        <w:t>debt figure</w:t>
      </w:r>
      <w:r w:rsidR="00861521">
        <w:t xml:space="preserve"> that</w:t>
      </w:r>
      <w:r w:rsidR="000C459A">
        <w:t xml:space="preserve"> OpCapita had previously been working with was a net number</w:t>
      </w:r>
      <w:r w:rsidR="006A312D">
        <w:t xml:space="preserve"> produced by consolidating the results of Comet and Triptych</w:t>
      </w:r>
      <w:r w:rsidR="000C459A">
        <w:t>,</w:t>
      </w:r>
      <w:r w:rsidR="005D7EC8">
        <w:t xml:space="preserve"> because in addition to Comet being indebted to KIL, KIL was indebted to Triptych.</w:t>
      </w:r>
      <w:r w:rsidR="00107B7B">
        <w:t xml:space="preserve"> A </w:t>
      </w:r>
      <w:r w:rsidR="002A7CFD">
        <w:t xml:space="preserve">draft </w:t>
      </w:r>
      <w:r w:rsidR="00107B7B">
        <w:t xml:space="preserve">structure chart was sent </w:t>
      </w:r>
      <w:r w:rsidR="002A7CFD">
        <w:t>by</w:t>
      </w:r>
      <w:r w:rsidR="005B06BC">
        <w:t xml:space="preserve"> Macfarlanes</w:t>
      </w:r>
      <w:r w:rsidR="002A7CFD">
        <w:t xml:space="preserve"> to Slaughter and May </w:t>
      </w:r>
      <w:r w:rsidR="00B62A19">
        <w:t xml:space="preserve">for </w:t>
      </w:r>
      <w:r w:rsidR="002A7CFD">
        <w:t>discussion</w:t>
      </w:r>
      <w:r w:rsidR="005B06BC">
        <w:t xml:space="preserve"> </w:t>
      </w:r>
      <w:r w:rsidR="00107B7B">
        <w:t>the following day</w:t>
      </w:r>
      <w:r w:rsidR="000949BC">
        <w:t>, showing</w:t>
      </w:r>
      <w:r w:rsidR="00105192">
        <w:t xml:space="preserve"> among other things</w:t>
      </w:r>
      <w:r w:rsidR="000949BC">
        <w:t xml:space="preserve"> </w:t>
      </w:r>
      <w:r w:rsidR="00105192">
        <w:t>£69m of debt owed to Triptych</w:t>
      </w:r>
      <w:r w:rsidR="00017DCE">
        <w:t xml:space="preserve"> being repaid and </w:t>
      </w:r>
      <w:r w:rsidR="00F8299A">
        <w:t>on-lent into the structure (£69m presumably being the latest available figure for t</w:t>
      </w:r>
      <w:r w:rsidR="00E80399">
        <w:t>he amount outstanding)</w:t>
      </w:r>
      <w:r w:rsidR="00B22FA6">
        <w:t>. This was followed by a more detailed structure paper</w:t>
      </w:r>
      <w:r w:rsidR="00B0463B">
        <w:t xml:space="preserve"> which Macfarlanes sent to Slaughter and May on 28 </w:t>
      </w:r>
      <w:r w:rsidR="00DF0240">
        <w:t>October.</w:t>
      </w:r>
    </w:p>
    <w:p w14:paraId="2E5E82E0" w14:textId="4EFA7C65" w:rsidR="0036400F" w:rsidRDefault="00405E65" w:rsidP="00C20087">
      <w:pPr>
        <w:pStyle w:val="BodyText"/>
      </w:pPr>
      <w:bookmarkStart w:id="50" w:name="_Ref118208488"/>
      <w:r>
        <w:t xml:space="preserve">Darty relied on </w:t>
      </w:r>
      <w:r w:rsidR="00CE5654">
        <w:t>Mr Walters</w:t>
      </w:r>
      <w:r>
        <w:t xml:space="preserve">’ description of </w:t>
      </w:r>
      <w:r w:rsidR="00541533">
        <w:t xml:space="preserve">the reaction </w:t>
      </w:r>
      <w:r w:rsidR="004C50B5">
        <w:t xml:space="preserve">by Joshua Spoerri of OpCapita </w:t>
      </w:r>
      <w:r w:rsidR="00541533">
        <w:t xml:space="preserve">to </w:t>
      </w:r>
      <w:r w:rsidR="00955CE4">
        <w:t>his presentatio</w:t>
      </w:r>
      <w:r w:rsidR="007A7683">
        <w:t>n of unconsolidated debt figures</w:t>
      </w:r>
      <w:r w:rsidR="00541533">
        <w:t xml:space="preserve"> as being like a light coming on</w:t>
      </w:r>
      <w:r w:rsidR="0039234A">
        <w:t xml:space="preserve">, </w:t>
      </w:r>
      <w:r>
        <w:t xml:space="preserve">with Mr </w:t>
      </w:r>
      <w:r w:rsidRPr="00405E65">
        <w:t xml:space="preserve">Spoerri </w:t>
      </w:r>
      <w:r w:rsidR="0039234A">
        <w:t>telling Mr Jackson</w:t>
      </w:r>
      <w:r>
        <w:t xml:space="preserve"> </w:t>
      </w:r>
      <w:r w:rsidR="0039234A">
        <w:t>that</w:t>
      </w:r>
      <w:r>
        <w:t xml:space="preserve"> he now knew how they were going to structure the deal</w:t>
      </w:r>
      <w:r w:rsidR="00B62A19">
        <w:t xml:space="preserve">. </w:t>
      </w:r>
      <w:r w:rsidR="001A19BB">
        <w:t>In my view the significance of this was over-emphasised.</w:t>
      </w:r>
      <w:r w:rsidR="004001DE">
        <w:t xml:space="preserve"> The particular significance of the fact that </w:t>
      </w:r>
      <w:r w:rsidR="00945D15">
        <w:t>Comet’s unconsolidated</w:t>
      </w:r>
      <w:r w:rsidR="004001DE">
        <w:t xml:space="preserve"> debt was a </w:t>
      </w:r>
      <w:r w:rsidR="00945D15">
        <w:t>much higher number</w:t>
      </w:r>
      <w:r w:rsidR="004001DE">
        <w:t xml:space="preserve"> </w:t>
      </w:r>
      <w:r w:rsidR="00945D15">
        <w:t>than OpCapita had previously thought</w:t>
      </w:r>
      <w:r w:rsidR="004001DE">
        <w:t xml:space="preserve"> was</w:t>
      </w:r>
      <w:r w:rsidR="00161E9F">
        <w:t xml:space="preserve"> </w:t>
      </w:r>
      <w:r w:rsidR="003C4789">
        <w:t>that (a) it</w:t>
      </w:r>
      <w:r w:rsidR="00161E9F">
        <w:t xml:space="preserve"> allowed</w:t>
      </w:r>
      <w:r w:rsidR="003C4789">
        <w:t xml:space="preserve"> OpCapita to take security over a much higher level of debt</w:t>
      </w:r>
      <w:r w:rsidR="00734DB8">
        <w:t xml:space="preserve"> than could otherwise be achieved</w:t>
      </w:r>
      <w:r w:rsidR="004061F1">
        <w:t xml:space="preserve"> (</w:t>
      </w:r>
      <w:r w:rsidR="00541692">
        <w:t xml:space="preserve">specifically, </w:t>
      </w:r>
      <w:r w:rsidR="009B067F">
        <w:t>extending to</w:t>
      </w:r>
      <w:r w:rsidR="008B06D3">
        <w:t xml:space="preserve"> an amount equal to</w:t>
      </w:r>
      <w:r w:rsidR="004061F1">
        <w:t xml:space="preserve"> the Triptych Amount</w:t>
      </w:r>
      <w:r w:rsidR="001E4428">
        <w:t>)</w:t>
      </w:r>
      <w:r w:rsidR="007D3788">
        <w:t>;</w:t>
      </w:r>
      <w:r w:rsidR="00212C50">
        <w:t xml:space="preserve"> </w:t>
      </w:r>
      <w:r w:rsidR="00944E62">
        <w:t>and (b) it also allowed Comet’s capital position to be presented to suppliers in the manner that it was, with a revolving fac</w:t>
      </w:r>
      <w:r w:rsidR="00132C61">
        <w:t>ility of at least £80m</w:t>
      </w:r>
      <w:r w:rsidR="00643238">
        <w:t xml:space="preserve"> as </w:t>
      </w:r>
      <w:r w:rsidR="00EB3166">
        <w:t>insisted on</w:t>
      </w:r>
      <w:r w:rsidR="00643238">
        <w:t xml:space="preserve"> by </w:t>
      </w:r>
      <w:r w:rsidR="00BE054C">
        <w:t>Kesa</w:t>
      </w:r>
      <w:r w:rsidR="00AF4A8E">
        <w:t xml:space="preserve"> (rather than the lower amount</w:t>
      </w:r>
      <w:r w:rsidR="00512405">
        <w:t xml:space="preserve"> implicit in the net </w:t>
      </w:r>
      <w:r w:rsidR="00B81FAE">
        <w:t xml:space="preserve">debt </w:t>
      </w:r>
      <w:r w:rsidR="00512405">
        <w:t>figure</w:t>
      </w:r>
      <w:r w:rsidR="00FC7BBE">
        <w:t xml:space="preserve"> that</w:t>
      </w:r>
      <w:r w:rsidR="00512405">
        <w:t xml:space="preserve"> OpCapita had been working with</w:t>
      </w:r>
      <w:r w:rsidR="00B81FAE">
        <w:t>)</w:t>
      </w:r>
      <w:r w:rsidR="00F43F97">
        <w:t>, in each case without Comet actually receiving further cash resources.</w:t>
      </w:r>
      <w:r w:rsidR="00281550">
        <w:t xml:space="preserve"> So it allowed both parties’ objectives to be achieved, and indeed in OpCapita’s case with an additional bonus of extra security</w:t>
      </w:r>
      <w:r w:rsidR="00562D23">
        <w:t xml:space="preserve"> with no concomitant exposure</w:t>
      </w:r>
      <w:r w:rsidR="00281550">
        <w:t>. I am not surprised that Mr Spoerri became animated.</w:t>
      </w:r>
      <w:bookmarkEnd w:id="50"/>
    </w:p>
    <w:p w14:paraId="1273AA24" w14:textId="77777777" w:rsidR="00B4727C" w:rsidRDefault="00943B2B" w:rsidP="00C20087">
      <w:pPr>
        <w:pStyle w:val="BodyText"/>
      </w:pPr>
      <w:r>
        <w:t xml:space="preserve">I have no doubt that </w:t>
      </w:r>
      <w:r w:rsidR="00255CAC">
        <w:t>Mr Enoch</w:t>
      </w:r>
      <w:r>
        <w:t xml:space="preserve"> was clear throughout the discussions that</w:t>
      </w:r>
      <w:r w:rsidR="00E63FDD">
        <w:t>, apart from the modest level of capitalisation</w:t>
      </w:r>
      <w:r w:rsidR="001E1E80">
        <w:t xml:space="preserve"> agreed,</w:t>
      </w:r>
      <w:r>
        <w:t xml:space="preserve"> </w:t>
      </w:r>
      <w:r w:rsidR="00E63FDD">
        <w:t xml:space="preserve">inter-company debts would all be settled at </w:t>
      </w:r>
      <w:r w:rsidR="001E1E80">
        <w:t xml:space="preserve">completion. The </w:t>
      </w:r>
      <w:r w:rsidR="00823A1F">
        <w:t>impression he gave in his witness evidence was that he really gave no thought to this, simply assuming that they would be repaid in the wa</w:t>
      </w:r>
      <w:r w:rsidR="00E10FB2">
        <w:t xml:space="preserve">y he understood was </w:t>
      </w:r>
      <w:r w:rsidR="004E5427">
        <w:t xml:space="preserve">absolutely </w:t>
      </w:r>
      <w:r w:rsidR="00E10FB2">
        <w:t>routine on any disposal of a subsidiary</w:t>
      </w:r>
      <w:r w:rsidR="00B4727C">
        <w:t>,</w:t>
      </w:r>
      <w:r w:rsidR="00445768">
        <w:t xml:space="preserve"> and leaving all the financial details to PwC Transaction Services, who were assisting</w:t>
      </w:r>
      <w:r w:rsidR="00B4727C">
        <w:t xml:space="preserve"> Kesa with the financial aspects of the sale</w:t>
      </w:r>
      <w:r w:rsidR="00E10FB2">
        <w:t>.</w:t>
      </w:r>
      <w:r w:rsidR="00C7513C">
        <w:t xml:space="preserve"> </w:t>
      </w:r>
    </w:p>
    <w:p w14:paraId="6C52044E" w14:textId="21107B3B" w:rsidR="006E3403" w:rsidRDefault="00C7513C" w:rsidP="00C20087">
      <w:pPr>
        <w:pStyle w:val="BodyText"/>
      </w:pPr>
      <w:r>
        <w:t>However, Mr Enoch</w:t>
      </w:r>
      <w:r w:rsidR="00B4727C">
        <w:t xml:space="preserve"> is</w:t>
      </w:r>
      <w:r w:rsidR="008C7061">
        <w:t xml:space="preserve"> a lawyer with obvious experience of corporate finance transactions, including buying and selling subsidiaries. He</w:t>
      </w:r>
      <w:r w:rsidR="00B40A20">
        <w:t xml:space="preserve"> must have been well </w:t>
      </w:r>
      <w:r>
        <w:t>aware that this was far from a routine sale</w:t>
      </w:r>
      <w:r w:rsidR="00260599">
        <w:t xml:space="preserve"> where </w:t>
      </w:r>
      <w:r w:rsidR="00B40A20">
        <w:t xml:space="preserve">intragroup debt </w:t>
      </w:r>
      <w:r w:rsidR="00260599">
        <w:t>repayments to the selling group</w:t>
      </w:r>
      <w:r w:rsidR="009F3001">
        <w:t xml:space="preserve"> form part of the value received. He clearly understood the example I put to him of a company valued at £100 on a debt-free cash-free basis</w:t>
      </w:r>
      <w:r w:rsidR="00AD3954">
        <w:t>, which has £99</w:t>
      </w:r>
      <w:r w:rsidR="00B00D84">
        <w:t xml:space="preserve"> </w:t>
      </w:r>
      <w:r w:rsidR="00A03F2D">
        <w:t>of intragroup debt owed to the selling group</w:t>
      </w:r>
      <w:r w:rsidR="00C15152">
        <w:t>, where</w:t>
      </w:r>
      <w:r w:rsidR="0066606F">
        <w:t xml:space="preserve"> the seller could choose </w:t>
      </w:r>
      <w:r w:rsidR="00C15152">
        <w:t xml:space="preserve">to sell the shares for </w:t>
      </w:r>
      <w:r w:rsidR="0066606F">
        <w:t>£1 and have the debt repaid</w:t>
      </w:r>
      <w:r w:rsidR="00E43C0C">
        <w:t>,</w:t>
      </w:r>
      <w:r w:rsidR="0066606F">
        <w:t xml:space="preserve"> or</w:t>
      </w:r>
      <w:r w:rsidR="00E43C0C">
        <w:t xml:space="preserve"> waive or capitalise the debt</w:t>
      </w:r>
      <w:r w:rsidR="000F4148">
        <w:t xml:space="preserve"> and</w:t>
      </w:r>
      <w:r w:rsidR="00E43C0C">
        <w:t xml:space="preserve"> sell the shares for £100</w:t>
      </w:r>
      <w:r w:rsidR="000F56B8">
        <w:t>.</w:t>
      </w:r>
      <w:r w:rsidR="002A1F0B">
        <w:t xml:space="preserve"> In either case the seller receives £100 of value, whereas in this case the commercial deal involved </w:t>
      </w:r>
      <w:r w:rsidR="00F86B51">
        <w:t>a net</w:t>
      </w:r>
      <w:r w:rsidR="002A1F0B">
        <w:t xml:space="preserve"> transfer of value to the buying group,</w:t>
      </w:r>
      <w:r w:rsidR="00445768">
        <w:t xml:space="preserve"> making a repayment of the debt </w:t>
      </w:r>
      <w:r w:rsidR="00230FF7">
        <w:t>– something that</w:t>
      </w:r>
      <w:r w:rsidR="00E66216">
        <w:t xml:space="preserve"> in reality</w:t>
      </w:r>
      <w:r w:rsidR="00230FF7">
        <w:t xml:space="preserve"> transfers</w:t>
      </w:r>
      <w:r w:rsidR="00731526">
        <w:t xml:space="preserve"> as much </w:t>
      </w:r>
      <w:r w:rsidR="00230FF7">
        <w:t xml:space="preserve"> real value to the seller</w:t>
      </w:r>
      <w:r w:rsidR="00731526">
        <w:t xml:space="preserve"> as consideration for the sale of shares – </w:t>
      </w:r>
      <w:r w:rsidR="00445768">
        <w:t>surprising</w:t>
      </w:r>
      <w:r w:rsidR="00585D49">
        <w:t>.</w:t>
      </w:r>
      <w:r w:rsidR="00337D39">
        <w:t xml:space="preserve"> </w:t>
      </w:r>
    </w:p>
    <w:p w14:paraId="47047C0B" w14:textId="0F1BD006" w:rsidR="002E087D" w:rsidRDefault="002E087D" w:rsidP="00C20087">
      <w:pPr>
        <w:pStyle w:val="BodyText"/>
      </w:pPr>
      <w:r>
        <w:t>I do not accept that Mr Enoch l</w:t>
      </w:r>
      <w:r w:rsidR="00B64A63">
        <w:t xml:space="preserve">eft </w:t>
      </w:r>
      <w:r w:rsidR="00604041">
        <w:t xml:space="preserve">everything to PwC. I agree that </w:t>
      </w:r>
      <w:r w:rsidR="000D192E">
        <w:t xml:space="preserve">the evidence indicates that </w:t>
      </w:r>
      <w:r w:rsidR="00D94028">
        <w:t>PwC</w:t>
      </w:r>
      <w:r w:rsidR="00604041">
        <w:t xml:space="preserve"> took the lead in </w:t>
      </w:r>
      <w:r w:rsidR="000D192E">
        <w:t xml:space="preserve">relation to points of detail, such as </w:t>
      </w:r>
      <w:r w:rsidR="00371414">
        <w:t>commenting on</w:t>
      </w:r>
      <w:r w:rsidR="00B474B4">
        <w:t xml:space="preserve"> the</w:t>
      </w:r>
      <w:r w:rsidR="00AE167C">
        <w:t xml:space="preserve"> precise</w:t>
      </w:r>
      <w:r w:rsidR="00B474B4">
        <w:t xml:space="preserve"> drafting mechanics, but Mr Enoch </w:t>
      </w:r>
      <w:r w:rsidR="005D19C2">
        <w:t>was clearly involved in and agreed the fundamentals</w:t>
      </w:r>
      <w:r w:rsidR="00F17A6A">
        <w:t>, and in particular that</w:t>
      </w:r>
      <w:r w:rsidR="00690823">
        <w:t xml:space="preserve"> the</w:t>
      </w:r>
      <w:r w:rsidR="00F17A6A">
        <w:t xml:space="preserve"> various intragroup debts would be repaid</w:t>
      </w:r>
      <w:r w:rsidR="005D19C2">
        <w:t xml:space="preserve">. For example, an email </w:t>
      </w:r>
      <w:r w:rsidR="00097D69">
        <w:t>dated</w:t>
      </w:r>
      <w:r w:rsidR="007A1810">
        <w:t xml:space="preserve"> 20 October </w:t>
      </w:r>
      <w:r w:rsidR="004804CF">
        <w:t xml:space="preserve">2011 </w:t>
      </w:r>
      <w:r w:rsidR="00342138">
        <w:t xml:space="preserve">from Mr Enoch </w:t>
      </w:r>
      <w:r w:rsidR="00097D69">
        <w:t xml:space="preserve">to Mr Walters and Barbara Bailey (Kesa’s group treasurer) </w:t>
      </w:r>
      <w:r w:rsidR="007A1810">
        <w:t xml:space="preserve">about </w:t>
      </w:r>
      <w:r w:rsidR="00127E91">
        <w:t>whether the loan agreement between KIL and</w:t>
      </w:r>
      <w:r w:rsidR="007A1810">
        <w:t xml:space="preserve"> Triptych</w:t>
      </w:r>
      <w:r w:rsidR="00690823">
        <w:t xml:space="preserve"> </w:t>
      </w:r>
      <w:r w:rsidR="00127E91">
        <w:t>should go in the data room</w:t>
      </w:r>
      <w:r w:rsidR="00D94028">
        <w:t xml:space="preserve"> </w:t>
      </w:r>
      <w:r w:rsidR="007A1810">
        <w:t xml:space="preserve">makes clear </w:t>
      </w:r>
      <w:r w:rsidR="00B74066">
        <w:t xml:space="preserve">that all OpCapita </w:t>
      </w:r>
      <w:r w:rsidR="001305E7">
        <w:t>should worry about is that “the loan will be cancelled and repaid”</w:t>
      </w:r>
      <w:r w:rsidR="00931728">
        <w:t>, and goes on to suggest that “someone</w:t>
      </w:r>
      <w:r w:rsidR="00C7032C">
        <w:t xml:space="preserve"> sets out how we see the cash flowing on completion and how we will unwind the various intercompanies”</w:t>
      </w:r>
      <w:r w:rsidR="00C67642">
        <w:t>,</w:t>
      </w:r>
      <w:r w:rsidR="00C7032C">
        <w:t xml:space="preserve"> so stopping “a lot of</w:t>
      </w:r>
      <w:r w:rsidR="004B28D6">
        <w:t xml:space="preserve"> unnecessary time being spent by all parties as all they need to be certain of is that they are getting the cash etc they think they are entitled to</w:t>
      </w:r>
      <w:r w:rsidR="0012506E">
        <w:t>, and we have the certainty we are retaining the cash etc we think we are entitled to</w:t>
      </w:r>
      <w:r w:rsidR="004B28D6">
        <w:t>…”</w:t>
      </w:r>
      <w:r w:rsidR="001305E7">
        <w:t>.</w:t>
      </w:r>
      <w:r w:rsidR="00135DEB">
        <w:t xml:space="preserve"> </w:t>
      </w:r>
    </w:p>
    <w:p w14:paraId="2C93CD54" w14:textId="095CD732" w:rsidR="002B12BE" w:rsidRDefault="00CB6CE5" w:rsidP="00C20087">
      <w:pPr>
        <w:pStyle w:val="BodyText"/>
      </w:pPr>
      <w:r>
        <w:t xml:space="preserve">The Liquidator placed significant reliance on </w:t>
      </w:r>
      <w:r w:rsidR="001E10CC">
        <w:t>evidence of debt repayment mechanics</w:t>
      </w:r>
      <w:r w:rsidR="008E394F">
        <w:t xml:space="preserve"> having been </w:t>
      </w:r>
      <w:r w:rsidR="001E10CC">
        <w:t xml:space="preserve">discussed at a much earlier stage on the Kesa side, between Mr Enoch, </w:t>
      </w:r>
      <w:r w:rsidR="00A85FEE">
        <w:t>Slaughter and May and PwC.</w:t>
      </w:r>
      <w:r w:rsidR="00310FBE">
        <w:t xml:space="preserve"> This was evidenced by</w:t>
      </w:r>
      <w:r w:rsidR="00E52A43">
        <w:t xml:space="preserve"> an</w:t>
      </w:r>
      <w:r w:rsidR="00310FBE">
        <w:t xml:space="preserve"> email sent by an associate at Slaughter and May</w:t>
      </w:r>
      <w:r w:rsidR="00E52A43">
        <w:t>, Amy Hutchings, to Mr Enoch and two representatives of PwC on 17 August 2011</w:t>
      </w:r>
      <w:r w:rsidR="00F61ABA">
        <w:t xml:space="preserve">. The email referred to a call the previous day and attached a draft amendment </w:t>
      </w:r>
      <w:r w:rsidR="00CC21A4">
        <w:t xml:space="preserve">to </w:t>
      </w:r>
      <w:r w:rsidR="00F61ABA">
        <w:t xml:space="preserve">the SPA </w:t>
      </w:r>
      <w:r w:rsidR="003A6F92">
        <w:t>(</w:t>
      </w:r>
      <w:r w:rsidR="00F61ABA">
        <w:t>in the</w:t>
      </w:r>
      <w:r w:rsidR="003A6F92">
        <w:t xml:space="preserve"> form of </w:t>
      </w:r>
      <w:r w:rsidR="00EA4F47">
        <w:t>three</w:t>
      </w:r>
      <w:r w:rsidR="003A6F92">
        <w:t xml:space="preserve"> riders) to reflect the discussion</w:t>
      </w:r>
      <w:r w:rsidR="00F83C57">
        <w:t xml:space="preserve"> “that provisions should be added to the </w:t>
      </w:r>
      <w:r w:rsidR="00B71B32">
        <w:t>S</w:t>
      </w:r>
      <w:r w:rsidR="00F83C57">
        <w:t>PA to ensure that Inter-Company Balances are repaid at Completion</w:t>
      </w:r>
      <w:r w:rsidR="00EA4F47">
        <w:t>”</w:t>
      </w:r>
      <w:r w:rsidR="00B71B32">
        <w:t>.</w:t>
      </w:r>
    </w:p>
    <w:p w14:paraId="546BD73C" w14:textId="2B76D0AC" w:rsidR="00D92ABB" w:rsidRDefault="00D92ABB" w:rsidP="00C20087">
      <w:pPr>
        <w:pStyle w:val="BodyText"/>
      </w:pPr>
      <w:r>
        <w:t>This occurred at a point in the process when Kesa had invited second-round bids, but had not yet received th</w:t>
      </w:r>
      <w:r w:rsidR="00D51033">
        <w:t xml:space="preserve">em. </w:t>
      </w:r>
      <w:r w:rsidR="007A3B76">
        <w:t xml:space="preserve">A draft SPA had been sent </w:t>
      </w:r>
      <w:r w:rsidR="000B4614">
        <w:t>on 27 July 2011</w:t>
      </w:r>
      <w:r w:rsidR="00DE63C4">
        <w:t xml:space="preserve"> </w:t>
      </w:r>
      <w:r w:rsidR="007A3B76">
        <w:t>with the letters inviting second round bids, but it is unclear from the evidence whether</w:t>
      </w:r>
      <w:r w:rsidR="006F4708">
        <w:t xml:space="preserve"> a revised draft was circulated before</w:t>
      </w:r>
      <w:r w:rsidR="00D10AC4">
        <w:t xml:space="preserve"> revised bids were received</w:t>
      </w:r>
      <w:r w:rsidR="000B4614">
        <w:t xml:space="preserve"> on 2 September 2011</w:t>
      </w:r>
      <w:r w:rsidR="00DC1206">
        <w:t xml:space="preserve">. </w:t>
      </w:r>
      <w:r w:rsidR="001B2E59">
        <w:t xml:space="preserve">Before second-round bids were received it would not have been apparent that </w:t>
      </w:r>
      <w:r w:rsidR="00AB2818">
        <w:t xml:space="preserve">this was going to be a “dowry” sale rather than one where Comet derived at least some element of positive consideration. </w:t>
      </w:r>
      <w:r w:rsidR="00010EF8">
        <w:t>Draft</w:t>
      </w:r>
      <w:r w:rsidR="003875FB">
        <w:t>s produced before that became clear might have been very different</w:t>
      </w:r>
      <w:r w:rsidR="0061552F">
        <w:t xml:space="preserve">, and indeed this is reflected in </w:t>
      </w:r>
      <w:r w:rsidR="00AC14AC">
        <w:t xml:space="preserve">OpCapita not providing the requested mark-up of the SPA when it submitted its second-round bid, stating </w:t>
      </w:r>
      <w:r w:rsidR="003607A9">
        <w:t>instead that it was seeking a “…short and simple share purchase agreement with limited representations and warranties…”</w:t>
      </w:r>
      <w:r w:rsidR="00F84CB9">
        <w:t>.</w:t>
      </w:r>
    </w:p>
    <w:p w14:paraId="3CA9661D" w14:textId="5F575CEE" w:rsidR="0012573E" w:rsidRDefault="0012573E" w:rsidP="00C20087">
      <w:pPr>
        <w:pStyle w:val="BodyText"/>
      </w:pPr>
      <w:r>
        <w:t xml:space="preserve">Whilst the email sent by Ms Hutchings does reflect an expectation on the Kesa side that debt would be repaid, </w:t>
      </w:r>
      <w:r w:rsidR="004945DD">
        <w:t>in reality I think it occurred at too early a stage in the process to bear the weight</w:t>
      </w:r>
      <w:r w:rsidR="0065178C">
        <w:t xml:space="preserve"> attributed to it by the Liquidator. What is more significant </w:t>
      </w:r>
      <w:r w:rsidR="00947129">
        <w:t>are</w:t>
      </w:r>
      <w:r w:rsidR="0065178C">
        <w:t xml:space="preserve"> the conclusions I draw from</w:t>
      </w:r>
      <w:r w:rsidR="00BD7D87">
        <w:t xml:space="preserve"> the discussions that obviously occurred between OpCapita and Kesa following OpCapita’s second-round bid, as reflected in the briefing paper for the Kesa </w:t>
      </w:r>
      <w:r w:rsidR="00E0589A">
        <w:t>B</w:t>
      </w:r>
      <w:r w:rsidR="00BD7D87">
        <w:t>oard on 14 September</w:t>
      </w:r>
      <w:r w:rsidR="0091373B">
        <w:t xml:space="preserve"> </w:t>
      </w:r>
      <w:r w:rsidR="00F02680">
        <w:t xml:space="preserve">and the </w:t>
      </w:r>
      <w:r w:rsidR="00F06A1A">
        <w:t xml:space="preserve">Board minutes, </w:t>
      </w:r>
      <w:r w:rsidR="00D869A0">
        <w:t xml:space="preserve">the heads of terms </w:t>
      </w:r>
      <w:r w:rsidR="0091373B">
        <w:t>and the later presentation to credit insurers</w:t>
      </w:r>
      <w:r w:rsidR="00D4623A">
        <w:t>.</w:t>
      </w:r>
    </w:p>
    <w:p w14:paraId="61F480C2" w14:textId="0DA54E68" w:rsidR="00C63F6E" w:rsidRDefault="00C63F6E" w:rsidP="00C63F6E">
      <w:pPr>
        <w:pStyle w:val="Heading2"/>
      </w:pPr>
      <w:r>
        <w:t xml:space="preserve">Whether Kesa had the desire to improve </w:t>
      </w:r>
      <w:r w:rsidR="006F2B87">
        <w:t>KIL’s</w:t>
      </w:r>
      <w:r>
        <w:t xml:space="preserve"> position</w:t>
      </w:r>
    </w:p>
    <w:p w14:paraId="0230261F" w14:textId="5A32673A" w:rsidR="006760CA" w:rsidRDefault="00C63F6E" w:rsidP="00C63F6E">
      <w:pPr>
        <w:pStyle w:val="BodyText"/>
      </w:pPr>
      <w:r>
        <w:t>As already discussed</w:t>
      </w:r>
      <w:r w:rsidR="00B27E09">
        <w:t xml:space="preserve">, a desire to make a payment is not enough. </w:t>
      </w:r>
      <w:r w:rsidR="00530184">
        <w:t>What is required</w:t>
      </w:r>
      <w:r w:rsidR="00B27E09">
        <w:t xml:space="preserve"> </w:t>
      </w:r>
      <w:r w:rsidR="00530184">
        <w:t>is a desire</w:t>
      </w:r>
      <w:r>
        <w:t xml:space="preserve"> </w:t>
      </w:r>
      <w:r w:rsidR="006F2B87">
        <w:t>to improve</w:t>
      </w:r>
      <w:r w:rsidR="009A58B4">
        <w:t xml:space="preserve"> KIL’s position in the event of an insolvent liquidation</w:t>
      </w:r>
      <w:r w:rsidR="008E49A6">
        <w:t xml:space="preserve"> of Comet</w:t>
      </w:r>
      <w:r w:rsidR="009A58B4">
        <w:t>.</w:t>
      </w:r>
    </w:p>
    <w:p w14:paraId="633257B9" w14:textId="5BA3841B" w:rsidR="002D25B3" w:rsidRDefault="00EC3288" w:rsidP="00C63F6E">
      <w:pPr>
        <w:pStyle w:val="BodyText"/>
      </w:pPr>
      <w:r>
        <w:t xml:space="preserve">I do </w:t>
      </w:r>
      <w:r w:rsidR="00820E48">
        <w:t xml:space="preserve">not accept that Mr Enoch and others at Kesa did not contemplate </w:t>
      </w:r>
      <w:r w:rsidR="00145A02">
        <w:t>the possibility of an insolvent liquidation</w:t>
      </w:r>
      <w:r w:rsidR="00CF1E03">
        <w:t xml:space="preserve">. Whether or not they formed the view that </w:t>
      </w:r>
      <w:r w:rsidR="000360A2">
        <w:t>Comet</w:t>
      </w:r>
      <w:r w:rsidR="00CF1E03">
        <w:t xml:space="preserve"> was solvent</w:t>
      </w:r>
      <w:r w:rsidR="0004348E">
        <w:t xml:space="preserve"> at the point of Disposal, they undoubtedly knew</w:t>
      </w:r>
      <w:r w:rsidR="008868F5">
        <w:t xml:space="preserve"> that</w:t>
      </w:r>
      <w:r w:rsidR="0004348E">
        <w:t xml:space="preserve"> there was a risk of an insolvency process. </w:t>
      </w:r>
      <w:r w:rsidR="005F0DF7">
        <w:t>This is amply demonstrated by the attempt to obtain an under</w:t>
      </w:r>
      <w:r w:rsidR="00132BD2">
        <w:t xml:space="preserve">taking that OpCapita would run Comet as a going concern, an </w:t>
      </w:r>
      <w:r w:rsidR="00BA5FE1">
        <w:t>undertaking</w:t>
      </w:r>
      <w:r w:rsidR="00132BD2">
        <w:t xml:space="preserve"> that was in the heads of terms but </w:t>
      </w:r>
      <w:r w:rsidR="006A5077">
        <w:t>which Mr Enoch</w:t>
      </w:r>
      <w:r w:rsidR="00132BD2">
        <w:t xml:space="preserve"> </w:t>
      </w:r>
      <w:r w:rsidR="00BF3ADE">
        <w:t xml:space="preserve">explained </w:t>
      </w:r>
      <w:r w:rsidR="00132BD2">
        <w:t>beca</w:t>
      </w:r>
      <w:r w:rsidR="00BA5FE1">
        <w:t>me a “dealbreaker” for OpCapita</w:t>
      </w:r>
      <w:r w:rsidR="00923352">
        <w:t xml:space="preserve"> </w:t>
      </w:r>
      <w:r w:rsidR="00A82092">
        <w:t xml:space="preserve">as signing approached, </w:t>
      </w:r>
      <w:r w:rsidR="00923352">
        <w:t>until it was watered down</w:t>
      </w:r>
      <w:r w:rsidR="00BA5FE1">
        <w:t xml:space="preserve"> </w:t>
      </w:r>
      <w:r w:rsidR="00A82092">
        <w:t xml:space="preserve">to a </w:t>
      </w:r>
      <w:r w:rsidR="00BF3ADE">
        <w:t xml:space="preserve">much weaker </w:t>
      </w:r>
      <w:r w:rsidR="00A82092">
        <w:t>statement of intent.</w:t>
      </w:r>
      <w:r w:rsidR="00FA0C34">
        <w:t xml:space="preserve"> </w:t>
      </w:r>
      <w:r w:rsidR="00D37C68">
        <w:t xml:space="preserve">Kesa’s recognition of the risk is also </w:t>
      </w:r>
      <w:r w:rsidR="00DE3008">
        <w:t>eviden</w:t>
      </w:r>
      <w:r w:rsidR="007523ED">
        <w:t>ced by</w:t>
      </w:r>
      <w:r w:rsidR="00D37C68">
        <w:t xml:space="preserve"> the reference in the 14 September briefing paper to </w:t>
      </w:r>
      <w:r w:rsidR="00C06C07">
        <w:t>a financial buyer</w:t>
      </w:r>
      <w:r w:rsidR="00E97470">
        <w:t xml:space="preserve"> (such as OpCapita)</w:t>
      </w:r>
      <w:r w:rsidR="00C06C07">
        <w:t xml:space="preserve"> </w:t>
      </w:r>
      <w:r w:rsidR="00CC5EC9">
        <w:t xml:space="preserve">potentially being </w:t>
      </w:r>
      <w:r w:rsidR="00C06C07">
        <w:t>“</w:t>
      </w:r>
      <w:r w:rsidR="00CC5EC9">
        <w:t>more ready or able to put the business into administration”</w:t>
      </w:r>
      <w:r w:rsidR="00A951F8">
        <w:t xml:space="preserve">: </w:t>
      </w:r>
      <w:r w:rsidR="00CC5EC9">
        <w:t>see [</w:t>
      </w:r>
      <w:r w:rsidR="00CC5EC9">
        <w:fldChar w:fldCharType="begin"/>
      </w:r>
      <w:r w:rsidR="00CC5EC9">
        <w:instrText xml:space="preserve"> REF _Ref118103286 \r \h </w:instrText>
      </w:r>
      <w:r w:rsidR="00CC5EC9">
        <w:fldChar w:fldCharType="separate"/>
      </w:r>
      <w:r w:rsidR="00E762C8">
        <w:t>22</w:t>
      </w:r>
      <w:r w:rsidR="00CC5EC9">
        <w:fldChar w:fldCharType="end"/>
      </w:r>
      <w:r w:rsidR="00CC5EC9">
        <w:t>] above.</w:t>
      </w:r>
    </w:p>
    <w:p w14:paraId="5197E27B" w14:textId="71C74DB8" w:rsidR="003C5622" w:rsidRDefault="00DB7D8F" w:rsidP="003C5622">
      <w:pPr>
        <w:pStyle w:val="BodyText"/>
      </w:pPr>
      <w:r>
        <w:t>Comet’s own FY2011 accounts had only received a “clean” audit with the benefit of a letter</w:t>
      </w:r>
      <w:r w:rsidR="00C86B7D">
        <w:t xml:space="preserve"> of support</w:t>
      </w:r>
      <w:r w:rsidR="009066BD">
        <w:t>, and Comet had also provided direct assurances to some credit insurers (see [</w:t>
      </w:r>
      <w:r w:rsidR="000360A2">
        <w:fldChar w:fldCharType="begin"/>
      </w:r>
      <w:r w:rsidR="000360A2">
        <w:instrText xml:space="preserve"> REF _Ref118116620 \r \h </w:instrText>
      </w:r>
      <w:r w:rsidR="000360A2">
        <w:fldChar w:fldCharType="separate"/>
      </w:r>
      <w:r w:rsidR="00E762C8">
        <w:t>16</w:t>
      </w:r>
      <w:r w:rsidR="000360A2">
        <w:fldChar w:fldCharType="end"/>
      </w:r>
      <w:r w:rsidR="009066BD">
        <w:t>] above)</w:t>
      </w:r>
      <w:r w:rsidR="00B63D7A">
        <w:t>.</w:t>
      </w:r>
      <w:r w:rsidR="008D2C95">
        <w:t xml:space="preserve"> </w:t>
      </w:r>
      <w:r w:rsidR="00D71448">
        <w:t xml:space="preserve">Furthermore, </w:t>
      </w:r>
      <w:r w:rsidR="00D12F27">
        <w:t>EY’s covenant review</w:t>
      </w:r>
      <w:r w:rsidR="00904137">
        <w:t xml:space="preserve"> in relation to the DB Scheme</w:t>
      </w:r>
      <w:r w:rsidR="00D56F33">
        <w:t>, of which Mr Enoch was well aware</w:t>
      </w:r>
      <w:r w:rsidR="003C0582">
        <w:t>,</w:t>
      </w:r>
      <w:r w:rsidR="00904137">
        <w:t xml:space="preserve"> </w:t>
      </w:r>
      <w:r w:rsidR="000A6934">
        <w:t xml:space="preserve">also </w:t>
      </w:r>
      <w:r w:rsidR="005B0437">
        <w:t>pointed to limited recoveries by unsecured creditors</w:t>
      </w:r>
      <w:r w:rsidR="00BF2CBE">
        <w:t xml:space="preserve"> in an insolvency process</w:t>
      </w:r>
      <w:r w:rsidR="000A6934">
        <w:t>.</w:t>
      </w:r>
      <w:r w:rsidR="00C95359">
        <w:t xml:space="preserve"> One bidder</w:t>
      </w:r>
      <w:r w:rsidR="00EB675C">
        <w:t xml:space="preserve"> had explicitly proposed an </w:t>
      </w:r>
      <w:r w:rsidR="002B0BA1">
        <w:t>administration, and at an earlier stage advice from Lazard had also considered th</w:t>
      </w:r>
      <w:r w:rsidR="002E36F0">
        <w:t>at</w:t>
      </w:r>
      <w:r w:rsidR="002B0BA1">
        <w:t xml:space="preserve"> possibility</w:t>
      </w:r>
      <w:r w:rsidR="00EB675C">
        <w:t>.</w:t>
      </w:r>
      <w:r w:rsidR="00CF370F">
        <w:t xml:space="preserve"> </w:t>
      </w:r>
      <w:r w:rsidR="002E36F0">
        <w:t>Kesa’s consideration of</w:t>
      </w:r>
      <w:r w:rsidR="009170D7">
        <w:t xml:space="preserve"> </w:t>
      </w:r>
      <w:r w:rsidR="00CF370F">
        <w:t>OpCapita’s proposal that Kesa act as buying agent</w:t>
      </w:r>
      <w:r w:rsidR="00A66084">
        <w:t xml:space="preserve"> (see </w:t>
      </w:r>
      <w:r w:rsidR="006C2B3E">
        <w:t>[</w:t>
      </w:r>
      <w:r w:rsidR="00E60D73">
        <w:fldChar w:fldCharType="begin"/>
      </w:r>
      <w:r w:rsidR="00E60D73">
        <w:instrText xml:space="preserve"> REF _Ref118219425 \r \h </w:instrText>
      </w:r>
      <w:r w:rsidR="00E60D73">
        <w:fldChar w:fldCharType="separate"/>
      </w:r>
      <w:r w:rsidR="00E762C8">
        <w:t>19</w:t>
      </w:r>
      <w:r w:rsidR="00E60D73">
        <w:fldChar w:fldCharType="end"/>
      </w:r>
      <w:r w:rsidR="00A66084">
        <w:t>] above) also recognised the potential for insolven</w:t>
      </w:r>
      <w:r w:rsidR="00E60D73">
        <w:t>cy.</w:t>
      </w:r>
      <w:r w:rsidR="00054AA5">
        <w:t xml:space="preserve"> </w:t>
      </w:r>
    </w:p>
    <w:p w14:paraId="1A29E49D" w14:textId="28406970" w:rsidR="004D421F" w:rsidRDefault="003C5622" w:rsidP="000B68B5">
      <w:pPr>
        <w:pStyle w:val="BodyText"/>
      </w:pPr>
      <w:r>
        <w:t>The fact that Kesa had no wish for Comet to go into an insolvency process, and indeed was seeking to put in place a capital structure that it perceived would reduce the risk of that (at least in the short term), as well as seeking to obtain an assurance from OpCapita as to its plans, does not mean that the possibility of an insolvent liquidation was not in its contemplation.</w:t>
      </w:r>
    </w:p>
    <w:p w14:paraId="4506836C" w14:textId="57394BF0" w:rsidR="008F6801" w:rsidRDefault="00A15042" w:rsidP="008F6801">
      <w:pPr>
        <w:pStyle w:val="BodyText"/>
      </w:pPr>
      <w:r>
        <w:t xml:space="preserve">A further point raised by </w:t>
      </w:r>
      <w:r w:rsidR="00B7737B" w:rsidRPr="00B7737B">
        <w:t xml:space="preserve">Mr Gledhill </w:t>
      </w:r>
      <w:r>
        <w:t xml:space="preserve">was </w:t>
      </w:r>
      <w:r w:rsidR="00B7737B" w:rsidRPr="00B7737B">
        <w:t>that</w:t>
      </w:r>
      <w:r w:rsidR="00054AA5" w:rsidRPr="00B7737B">
        <w:t>, despite Kesa’s</w:t>
      </w:r>
      <w:r w:rsidR="008F29A2" w:rsidRPr="00B7737B">
        <w:t xml:space="preserve"> hope that OpCapita could perform a successful</w:t>
      </w:r>
      <w:r w:rsidR="00830714" w:rsidRPr="00B7737B">
        <w:t xml:space="preserve"> turnaround that kept Comet in business</w:t>
      </w:r>
      <w:r w:rsidR="002501C7" w:rsidRPr="00B7737B">
        <w:t xml:space="preserve"> as it had done with BUT</w:t>
      </w:r>
      <w:r w:rsidR="00830714" w:rsidRPr="00B7737B">
        <w:t xml:space="preserve">, </w:t>
      </w:r>
      <w:r w:rsidR="003C45D0" w:rsidRPr="00B7737B">
        <w:t>Elliott’s involvement</w:t>
      </w:r>
      <w:r w:rsidR="00336E7D" w:rsidRPr="00B7737B">
        <w:t xml:space="preserve"> as an aggressive investor </w:t>
      </w:r>
      <w:r w:rsidR="00064922" w:rsidRPr="00B7737B">
        <w:t>would</w:t>
      </w:r>
      <w:r w:rsidR="00336E7D" w:rsidRPr="00B7737B">
        <w:t xml:space="preserve"> have </w:t>
      </w:r>
      <w:r w:rsidR="000E3792">
        <w:t>raised</w:t>
      </w:r>
      <w:r w:rsidR="00336E7D" w:rsidRPr="00B7737B">
        <w:t xml:space="preserve"> </w:t>
      </w:r>
      <w:r w:rsidR="00B7737B" w:rsidRPr="00B7737B">
        <w:t xml:space="preserve">additional </w:t>
      </w:r>
      <w:r w:rsidR="000E3792">
        <w:t>concerns</w:t>
      </w:r>
      <w:r w:rsidR="002501C7" w:rsidRPr="00B7737B">
        <w:t>.</w:t>
      </w:r>
      <w:r w:rsidR="002501C7" w:rsidRPr="00622349">
        <w:rPr>
          <w:i/>
          <w:iCs/>
        </w:rPr>
        <w:t xml:space="preserve"> </w:t>
      </w:r>
      <w:r w:rsidR="002501C7" w:rsidRPr="00BD117D">
        <w:t xml:space="preserve">I </w:t>
      </w:r>
      <w:r w:rsidR="00E463DC" w:rsidRPr="00BD117D">
        <w:t>am</w:t>
      </w:r>
      <w:r w:rsidR="002501C7" w:rsidRPr="00BD117D">
        <w:t xml:space="preserve"> not </w:t>
      </w:r>
      <w:r w:rsidR="00B7737B" w:rsidRPr="00BD117D">
        <w:t>wholly persuaded by</w:t>
      </w:r>
      <w:r w:rsidR="002501C7" w:rsidRPr="00BD117D">
        <w:t xml:space="preserve"> Mr Enoch’s evidence that he only</w:t>
      </w:r>
      <w:r w:rsidR="00330442" w:rsidRPr="00BD117D">
        <w:t xml:space="preserve"> recalled</w:t>
      </w:r>
      <w:r w:rsidR="002501C7" w:rsidRPr="00BD117D">
        <w:t xml:space="preserve"> bec</w:t>
      </w:r>
      <w:r w:rsidR="00330442" w:rsidRPr="00BD117D">
        <w:t>oming</w:t>
      </w:r>
      <w:r w:rsidR="00523C04" w:rsidRPr="00BD117D">
        <w:t xml:space="preserve"> aware of Elliott’s involvement </w:t>
      </w:r>
      <w:r w:rsidR="000E3792">
        <w:t>following the Disposal</w:t>
      </w:r>
      <w:r w:rsidR="00523C04" w:rsidRPr="00BD117D">
        <w:t>.</w:t>
      </w:r>
      <w:r w:rsidR="00830714" w:rsidRPr="00BD117D">
        <w:t xml:space="preserve"> </w:t>
      </w:r>
      <w:r w:rsidR="00E75370" w:rsidRPr="00BD117D">
        <w:t xml:space="preserve">The </w:t>
      </w:r>
      <w:r w:rsidR="00592A61" w:rsidRPr="00BD117D">
        <w:t xml:space="preserve">documentary evidence indicates that </w:t>
      </w:r>
      <w:r w:rsidR="001332D1" w:rsidRPr="00BD117D">
        <w:t>Kesa</w:t>
      </w:r>
      <w:r w:rsidR="007712CD" w:rsidRPr="00BD117D">
        <w:t>’s ad</w:t>
      </w:r>
      <w:r w:rsidR="00053F50" w:rsidRPr="00BD117D">
        <w:t xml:space="preserve">visers Slaughter and May </w:t>
      </w:r>
      <w:r w:rsidR="00592A61" w:rsidRPr="00BD117D">
        <w:t>are likely to have become</w:t>
      </w:r>
      <w:r w:rsidR="00053F50" w:rsidRPr="00BD117D">
        <w:t xml:space="preserve"> aware</w:t>
      </w:r>
      <w:r w:rsidR="00523C04" w:rsidRPr="00BD117D">
        <w:t xml:space="preserve"> before the SPA was signed</w:t>
      </w:r>
      <w:r w:rsidR="004839C9">
        <w:t xml:space="preserve"> (because </w:t>
      </w:r>
      <w:r w:rsidR="00664244">
        <w:t>Elliott was named in an email</w:t>
      </w:r>
      <w:r w:rsidR="00C6116F">
        <w:t xml:space="preserve"> chain forwarded to</w:t>
      </w:r>
      <w:r w:rsidR="006016D8">
        <w:t xml:space="preserve"> members of the </w:t>
      </w:r>
      <w:r w:rsidR="006016D8" w:rsidRPr="00BD117D">
        <w:t>Slaughter and May</w:t>
      </w:r>
      <w:r w:rsidR="006016D8">
        <w:t xml:space="preserve"> team)</w:t>
      </w:r>
      <w:r w:rsidR="00F377BB" w:rsidRPr="00BD117D">
        <w:t xml:space="preserve">, </w:t>
      </w:r>
      <w:r w:rsidR="00053F50" w:rsidRPr="00BD117D">
        <w:t xml:space="preserve">and </w:t>
      </w:r>
      <w:r w:rsidR="00E463DC" w:rsidRPr="00BD117D">
        <w:t xml:space="preserve">if they did it seems </w:t>
      </w:r>
      <w:r w:rsidR="00836A3F">
        <w:t>highly</w:t>
      </w:r>
      <w:r w:rsidR="00E463DC" w:rsidRPr="00BD117D">
        <w:t xml:space="preserve"> </w:t>
      </w:r>
      <w:r w:rsidR="00BD117D" w:rsidRPr="00BD117D">
        <w:t>likely that</w:t>
      </w:r>
      <w:r w:rsidR="00053F50" w:rsidRPr="00BD117D">
        <w:t xml:space="preserve"> </w:t>
      </w:r>
      <w:r w:rsidR="00523C04" w:rsidRPr="00BD117D">
        <w:t>they would</w:t>
      </w:r>
      <w:r w:rsidR="00BD117D" w:rsidRPr="00BD117D">
        <w:t xml:space="preserve"> </w:t>
      </w:r>
      <w:r w:rsidR="00523C04" w:rsidRPr="00BD117D">
        <w:t>have informed</w:t>
      </w:r>
      <w:r w:rsidR="00CB4E24" w:rsidRPr="00BD117D">
        <w:t xml:space="preserve"> their main contact at</w:t>
      </w:r>
      <w:r w:rsidR="00053F50" w:rsidRPr="00BD117D">
        <w:t xml:space="preserve"> Kesa</w:t>
      </w:r>
      <w:r w:rsidR="00CB4E24" w:rsidRPr="00BD117D">
        <w:t xml:space="preserve">, </w:t>
      </w:r>
      <w:r w:rsidR="003C45D0" w:rsidRPr="00BD117D">
        <w:t>Mr Enoch</w:t>
      </w:r>
      <w:r w:rsidR="00CB4E24" w:rsidRPr="00BD117D">
        <w:t>.</w:t>
      </w:r>
      <w:r w:rsidR="004D421F" w:rsidRPr="00BD117D">
        <w:t xml:space="preserve"> </w:t>
      </w:r>
      <w:r w:rsidR="00BD117D">
        <w:t>But even if Mr</w:t>
      </w:r>
      <w:r w:rsidR="00363069">
        <w:t xml:space="preserve"> Enoch’s recollection is correct, the lack of interest that displays in understanding </w:t>
      </w:r>
      <w:r w:rsidR="002D02F3">
        <w:t>who the Investors were</w:t>
      </w:r>
      <w:r w:rsidR="009354BA">
        <w:t xml:space="preserve">, in the context of a </w:t>
      </w:r>
      <w:r w:rsidR="00ED0EA9">
        <w:t>major</w:t>
      </w:r>
      <w:r w:rsidR="009354BA">
        <w:t xml:space="preserve"> transaction where Kesa was also taking a </w:t>
      </w:r>
      <w:r w:rsidR="00EE548B">
        <w:t>s</w:t>
      </w:r>
      <w:r w:rsidR="009354BA">
        <w:t>take in the a</w:t>
      </w:r>
      <w:r w:rsidR="00ED0EA9">
        <w:t xml:space="preserve">cquirer, stands out. </w:t>
      </w:r>
      <w:r w:rsidR="00BC2DD5">
        <w:t>I was left with</w:t>
      </w:r>
      <w:r w:rsidR="004D4C57">
        <w:t xml:space="preserve"> somewhat of</w:t>
      </w:r>
      <w:r w:rsidR="00BC2DD5">
        <w:t xml:space="preserve"> </w:t>
      </w:r>
      <w:r w:rsidR="004D4C57">
        <w:t>an</w:t>
      </w:r>
      <w:r w:rsidR="00BC2DD5">
        <w:t xml:space="preserve"> impression of choosing </w:t>
      </w:r>
      <w:r w:rsidR="00D952CD">
        <w:t>not to ask</w:t>
      </w:r>
      <w:r w:rsidR="006C1BEE">
        <w:t>, rather than taking steps to get a real understanding of</w:t>
      </w:r>
      <w:r w:rsidR="00171B58">
        <w:t xml:space="preserve"> whom Kesa was dealing with</w:t>
      </w:r>
      <w:r w:rsidR="00BC2DD5">
        <w:t>.</w:t>
      </w:r>
    </w:p>
    <w:p w14:paraId="7829CC93" w14:textId="5402CA29" w:rsidR="00932421" w:rsidRDefault="00631291" w:rsidP="00C63F6E">
      <w:pPr>
        <w:pStyle w:val="BodyText"/>
      </w:pPr>
      <w:r>
        <w:t>I accept that</w:t>
      </w:r>
      <w:r w:rsidR="00840826">
        <w:t xml:space="preserve"> no one at Kesa </w:t>
      </w:r>
      <w:r w:rsidR="00B135FF">
        <w:t xml:space="preserve">seriously </w:t>
      </w:r>
      <w:r w:rsidR="00840826">
        <w:t>contemplated an insolvent liquidation</w:t>
      </w:r>
      <w:r>
        <w:t xml:space="preserve"> of Comet</w:t>
      </w:r>
      <w:r w:rsidR="00840826">
        <w:t xml:space="preserve"> while </w:t>
      </w:r>
      <w:r w:rsidR="00E75087">
        <w:t>it</w:t>
      </w:r>
      <w:r w:rsidR="00840826">
        <w:t xml:space="preserve"> remained part of </w:t>
      </w:r>
      <w:r w:rsidR="007639CC">
        <w:t>the Kesa</w:t>
      </w:r>
      <w:r w:rsidR="00840826">
        <w:t xml:space="preserve"> group</w:t>
      </w:r>
      <w:r w:rsidR="00200583">
        <w:t xml:space="preserve">. </w:t>
      </w:r>
      <w:r w:rsidR="00932421">
        <w:t xml:space="preserve">Mr Smith </w:t>
      </w:r>
      <w:r w:rsidR="005226DF">
        <w:t xml:space="preserve">submitted that that meant that the Liquidator’s case could not work, because </w:t>
      </w:r>
      <w:r w:rsidR="000B36C6">
        <w:t xml:space="preserve">it </w:t>
      </w:r>
      <w:r w:rsidR="00E26213">
        <w:t>w</w:t>
      </w:r>
      <w:r w:rsidR="000B36C6">
        <w:t>ould never have been contemplated that there could</w:t>
      </w:r>
      <w:r w:rsidR="00E26213">
        <w:t xml:space="preserve"> have </w:t>
      </w:r>
      <w:r w:rsidR="000B36C6">
        <w:t>be</w:t>
      </w:r>
      <w:r w:rsidR="00E26213">
        <w:t>en</w:t>
      </w:r>
      <w:r w:rsidR="000B36C6">
        <w:t xml:space="preserve"> an insolvent li</w:t>
      </w:r>
      <w:r w:rsidR="007639CC">
        <w:t xml:space="preserve">quidation at a point when KIL </w:t>
      </w:r>
      <w:r w:rsidR="006F5E05">
        <w:t>remained</w:t>
      </w:r>
      <w:r w:rsidR="007639CC">
        <w:t xml:space="preserve"> a credito</w:t>
      </w:r>
      <w:r w:rsidR="00FF7A46">
        <w:t>r. The KIL RCF</w:t>
      </w:r>
      <w:r w:rsidR="00DA3AF1">
        <w:t xml:space="preserve"> would always have been unwound on any disposal.</w:t>
      </w:r>
    </w:p>
    <w:p w14:paraId="4E2CEACE" w14:textId="307C8005" w:rsidR="006B3CF7" w:rsidRDefault="005B387A" w:rsidP="00C63F6E">
      <w:pPr>
        <w:pStyle w:val="BodyText"/>
      </w:pPr>
      <w:r>
        <w:t xml:space="preserve">I do not consider that </w:t>
      </w:r>
      <w:r w:rsidR="004D4F47">
        <w:t xml:space="preserve">this is fatal. </w:t>
      </w:r>
      <w:r w:rsidR="00BF150A">
        <w:t xml:space="preserve">If the submission was correct then that would </w:t>
      </w:r>
      <w:r w:rsidR="00E96326">
        <w:t xml:space="preserve">materially </w:t>
      </w:r>
      <w:r w:rsidR="00BF150A">
        <w:t xml:space="preserve">undermine </w:t>
      </w:r>
      <w:r w:rsidR="00E96326">
        <w:t xml:space="preserve">the effectiveness of s.239. It </w:t>
      </w:r>
      <w:r w:rsidR="006F4DC0">
        <w:t xml:space="preserve">would </w:t>
      </w:r>
      <w:r w:rsidR="00E96326">
        <w:t xml:space="preserve">really amount to saying that </w:t>
      </w:r>
      <w:r w:rsidR="00C47DCB">
        <w:t xml:space="preserve">it cannot apply in any situation where </w:t>
      </w:r>
      <w:r w:rsidR="00613BCC">
        <w:t xml:space="preserve">a debtor is prepared to do whatever it takes to </w:t>
      </w:r>
      <w:r w:rsidR="003E5613">
        <w:t>immunise</w:t>
      </w:r>
      <w:r w:rsidR="00613BCC">
        <w:t xml:space="preserve"> a particular creditor</w:t>
      </w:r>
      <w:r w:rsidR="003E5613">
        <w:t xml:space="preserve"> from an insolvency process, by paying them off before there is a real risk of any such </w:t>
      </w:r>
      <w:r w:rsidR="006F4DC0">
        <w:t>process commenc</w:t>
      </w:r>
      <w:r w:rsidR="003E5613">
        <w:t>ing</w:t>
      </w:r>
      <w:r w:rsidR="006F4DC0">
        <w:t>.</w:t>
      </w:r>
      <w:r w:rsidR="00FE7F46">
        <w:t xml:space="preserve"> It makes no difference to this that</w:t>
      </w:r>
      <w:r w:rsidR="00E3767D">
        <w:t xml:space="preserve"> paying the debt off </w:t>
      </w:r>
      <w:r w:rsidR="0068753C">
        <w:t>may be</w:t>
      </w:r>
      <w:r w:rsidR="00E3767D">
        <w:t xml:space="preserve"> part of a broader </w:t>
      </w:r>
      <w:r w:rsidR="0015582C">
        <w:t>transaction</w:t>
      </w:r>
      <w:r w:rsidR="00E3767D">
        <w:t xml:space="preserve"> in which shares are also transferred.</w:t>
      </w:r>
    </w:p>
    <w:p w14:paraId="12A4945D" w14:textId="76B96DB6" w:rsidR="00840826" w:rsidRDefault="00021725" w:rsidP="00C63F6E">
      <w:pPr>
        <w:pStyle w:val="BodyText"/>
      </w:pPr>
      <w:r>
        <w:t xml:space="preserve">In the absence of the Disposal no repayment </w:t>
      </w:r>
      <w:r w:rsidR="0068753C">
        <w:t xml:space="preserve">of the KIL RCF </w:t>
      </w:r>
      <w:r>
        <w:t>would have occurred, and KIL would have remained – with other creditors – as an unsecured creditor.</w:t>
      </w:r>
      <w:r w:rsidR="00590617">
        <w:t xml:space="preserve"> Instead</w:t>
      </w:r>
      <w:r w:rsidR="0015582C">
        <w:t>,</w:t>
      </w:r>
      <w:r w:rsidR="00590617">
        <w:t xml:space="preserve"> the Disposal allowed Kesa </w:t>
      </w:r>
      <w:r w:rsidR="00AF7560">
        <w:t>to extract itself with its exposure firmly capped</w:t>
      </w:r>
      <w:r w:rsidR="002C3E3F">
        <w:t xml:space="preserve">, well below the cost </w:t>
      </w:r>
      <w:r w:rsidR="001319E4">
        <w:t xml:space="preserve">that </w:t>
      </w:r>
      <w:r w:rsidR="002C3E3F">
        <w:t xml:space="preserve">it </w:t>
      </w:r>
      <w:r w:rsidR="00C873FD">
        <w:t xml:space="preserve">anticipated that it </w:t>
      </w:r>
      <w:r w:rsidR="001C1A9F">
        <w:t xml:space="preserve">would otherwise have incurred in seeking to turn Comet </w:t>
      </w:r>
      <w:r w:rsidR="00BB0EC9">
        <w:t>a</w:t>
      </w:r>
      <w:r w:rsidR="001C1A9F">
        <w:t>round or close it down</w:t>
      </w:r>
      <w:r w:rsidR="00AF7560">
        <w:t xml:space="preserve">, and on financial terms </w:t>
      </w:r>
      <w:r w:rsidR="00F86B51">
        <w:t>that included the repayment of most of the KIL RCF.</w:t>
      </w:r>
      <w:r w:rsidR="0081474E">
        <w:t xml:space="preserve"> At the least, an</w:t>
      </w:r>
      <w:r w:rsidR="00E15125">
        <w:t>y</w:t>
      </w:r>
      <w:r w:rsidR="0081474E">
        <w:t xml:space="preserve"> alternative </w:t>
      </w:r>
      <w:r w:rsidR="00934FFB">
        <w:t xml:space="preserve">course of action </w:t>
      </w:r>
      <w:r w:rsidR="0081474E">
        <w:t>involved the potential for material additional loss</w:t>
      </w:r>
      <w:r w:rsidR="005A3D60">
        <w:t>, and certainly not the repayment of most of the KIL RCF</w:t>
      </w:r>
      <w:r w:rsidR="00E15125">
        <w:t>.</w:t>
      </w:r>
    </w:p>
    <w:p w14:paraId="5FB8D645" w14:textId="262BFA63" w:rsidR="00015F3E" w:rsidRDefault="00015F3E" w:rsidP="005633CD">
      <w:pPr>
        <w:pStyle w:val="BodyText"/>
      </w:pPr>
      <w:r w:rsidRPr="001319E4">
        <w:t>It is no answer</w:t>
      </w:r>
      <w:r w:rsidR="00660E79" w:rsidRPr="001319E4">
        <w:t xml:space="preserve"> to this</w:t>
      </w:r>
      <w:r w:rsidR="008A60DD" w:rsidRPr="001319E4">
        <w:t xml:space="preserve"> to say that</w:t>
      </w:r>
      <w:r w:rsidRPr="001319E4">
        <w:t xml:space="preserve"> Kesa would not have agreed to a transaction in which intercompany debts were not unwound. It is clear that the intercompany </w:t>
      </w:r>
      <w:r w:rsidR="00F05F36">
        <w:t>debts</w:t>
      </w:r>
      <w:r w:rsidRPr="001319E4">
        <w:t xml:space="preserve"> needed to be dealt with </w:t>
      </w:r>
      <w:r w:rsidR="00AB2274">
        <w:t>o</w:t>
      </w:r>
      <w:r w:rsidRPr="001319E4">
        <w:t xml:space="preserve">n any “clean break” exit (although not in some of the alternative transactions that interested parties had proposed) but, absent both parties’ requirements for Comet’s future funding structure, </w:t>
      </w:r>
      <w:r w:rsidR="002D5BE4" w:rsidRPr="001319E4">
        <w:t xml:space="preserve">the KIL RCF would not have been repaid. </w:t>
      </w:r>
      <w:r w:rsidR="00DD2DA4" w:rsidRPr="001319E4">
        <w:t>Any of</w:t>
      </w:r>
      <w:r w:rsidR="00F136C2">
        <w:t xml:space="preserve"> the</w:t>
      </w:r>
      <w:r w:rsidR="003C617D">
        <w:t xml:space="preserve"> much more obvious</w:t>
      </w:r>
      <w:r w:rsidR="00F136C2">
        <w:t xml:space="preserve"> alternatives of</w:t>
      </w:r>
      <w:r w:rsidR="00DD2DA4" w:rsidRPr="001319E4">
        <w:t xml:space="preserve"> assignment, waiver or capitalisation would not have had the effect of conferring a preference</w:t>
      </w:r>
      <w:r w:rsidR="00F136C2">
        <w:t xml:space="preserve">, but would </w:t>
      </w:r>
      <w:r w:rsidR="006007DA">
        <w:t>still</w:t>
      </w:r>
      <w:r w:rsidR="00996EC1">
        <w:t xml:space="preserve"> have allowed a “clean break”</w:t>
      </w:r>
      <w:r w:rsidR="001319E4" w:rsidRPr="001319E4">
        <w:t>.</w:t>
      </w:r>
      <w:r w:rsidRPr="001319E4">
        <w:t xml:space="preserve"> </w:t>
      </w:r>
    </w:p>
    <w:p w14:paraId="5A1477E6" w14:textId="440829D5" w:rsidR="00C30705" w:rsidRDefault="00913F4A" w:rsidP="005633CD">
      <w:pPr>
        <w:pStyle w:val="BodyText"/>
      </w:pPr>
      <w:r>
        <w:t>Darty relied</w:t>
      </w:r>
      <w:r w:rsidR="006650A1">
        <w:t xml:space="preserve"> on Mr Enoch’s witness evidence as demonstrating that he (and others at Kesa) </w:t>
      </w:r>
      <w:r w:rsidR="00466C67">
        <w:t xml:space="preserve">had </w:t>
      </w:r>
      <w:r w:rsidR="00F2550A">
        <w:t>no subjective desire to put KIL in a better position, and in particular the following passa</w:t>
      </w:r>
      <w:r w:rsidR="00867262">
        <w:t>ge in Mr Enoch’s first witness statement:</w:t>
      </w:r>
    </w:p>
    <w:p w14:paraId="0839A2BB" w14:textId="271FA168" w:rsidR="00867262" w:rsidRDefault="00781B72" w:rsidP="00867262">
      <w:pPr>
        <w:pStyle w:val="Citations"/>
      </w:pPr>
      <w:r w:rsidRPr="00781B72">
        <w:t xml:space="preserve">“I think that any of us who were involved in the </w:t>
      </w:r>
      <w:r>
        <w:t>[Disposal]</w:t>
      </w:r>
      <w:r w:rsidRPr="00781B72">
        <w:t xml:space="preserve"> would have found the idea that KIL or Kesa was gaining a financial advantage at the expense of other creditors to be laughable. The overall terms of the </w:t>
      </w:r>
      <w:r>
        <w:t>[Disposal]</w:t>
      </w:r>
      <w:r w:rsidRPr="00781B72">
        <w:t xml:space="preserve">  meant that KIL was giving up a huge amount, as it was contributing £50 million plus an additional amount of approximately £28.5 million to the OpCapita structure (the overall net cost to KIL of the </w:t>
      </w:r>
      <w:r w:rsidR="00304CEC">
        <w:t>[Disposal]</w:t>
      </w:r>
      <w:r w:rsidRPr="00781B72">
        <w:t xml:space="preserve"> was approximately £36.2 million). Kesa was also taking on the whole of the pension scheme liability</w:t>
      </w:r>
      <w:r w:rsidR="00BC5496">
        <w:t>.</w:t>
      </w:r>
      <w:r w:rsidRPr="00781B72">
        <w:t>”</w:t>
      </w:r>
    </w:p>
    <w:p w14:paraId="1D6F451E" w14:textId="676EC2A8" w:rsidR="00304CEC" w:rsidRPr="00A91864" w:rsidRDefault="00891B33" w:rsidP="00304CEC">
      <w:pPr>
        <w:pStyle w:val="BodyText"/>
      </w:pPr>
      <w:r>
        <w:t>I have already made some comments about my assessment of Mr Enoch’s evidence: see in particular [</w:t>
      </w:r>
      <w:r>
        <w:fldChar w:fldCharType="begin"/>
      </w:r>
      <w:r>
        <w:instrText xml:space="preserve"> REF _Ref118965795 \r \h </w:instrText>
      </w:r>
      <w:r>
        <w:fldChar w:fldCharType="separate"/>
      </w:r>
      <w:r w:rsidR="00E762C8">
        <w:t>65</w:t>
      </w:r>
      <w:r>
        <w:fldChar w:fldCharType="end"/>
      </w:r>
      <w:r>
        <w:t xml:space="preserve">] above. </w:t>
      </w:r>
      <w:r w:rsidR="00B54DB8">
        <w:t>In my view</w:t>
      </w:r>
      <w:r w:rsidR="004F6C83" w:rsidRPr="00A91864">
        <w:t>, Mr Enoch, Mr Platt and others would have been well aware that</w:t>
      </w:r>
      <w:r w:rsidR="00483DD7">
        <w:t xml:space="preserve"> the passage just referred to </w:t>
      </w:r>
      <w:r w:rsidR="004F6C83" w:rsidRPr="00A91864">
        <w:t>does not reflect the complete picture.</w:t>
      </w:r>
      <w:r w:rsidR="00B872AE" w:rsidRPr="00A91864">
        <w:t xml:space="preserve"> In any alternative scenario that was contemplated, including an insolvency, KIL would not have been repaid as it was.</w:t>
      </w:r>
      <w:r w:rsidR="004C18CC" w:rsidRPr="00A91864">
        <w:t xml:space="preserve"> As Millett J explained in </w:t>
      </w:r>
      <w:r w:rsidR="004C18CC" w:rsidRPr="00A91864">
        <w:rPr>
          <w:i/>
          <w:iCs/>
        </w:rPr>
        <w:t>Re MC Bacon</w:t>
      </w:r>
      <w:r w:rsidR="004C18CC" w:rsidRPr="00A91864">
        <w:t xml:space="preserve">, </w:t>
      </w:r>
      <w:r w:rsidR="00EF0DEC" w:rsidRPr="00A91864">
        <w:t>the existence of a desire to prefer can be inferred from the circumstances of the</w:t>
      </w:r>
      <w:r w:rsidR="00FD5790" w:rsidRPr="00A91864">
        <w:t xml:space="preserve"> case.</w:t>
      </w:r>
      <w:r w:rsidR="002F24FC" w:rsidRPr="00A91864">
        <w:t xml:space="preserve"> </w:t>
      </w:r>
      <w:r w:rsidR="004D0635" w:rsidRPr="00A91864">
        <w:t xml:space="preserve"> The Disposal was</w:t>
      </w:r>
      <w:r w:rsidR="002A42AA" w:rsidRPr="00A91864">
        <w:t xml:space="preserve"> deliberately </w:t>
      </w:r>
      <w:r w:rsidR="004D0635" w:rsidRPr="00A91864">
        <w:t xml:space="preserve"> structured </w:t>
      </w:r>
      <w:r w:rsidR="002A42AA" w:rsidRPr="00A91864">
        <w:t>to have the effect that the KIL RCF was repaid, and I have found</w:t>
      </w:r>
      <w:r w:rsidR="007B540B" w:rsidRPr="00A91864">
        <w:t xml:space="preserve"> that Kesa</w:t>
      </w:r>
      <w:r w:rsidR="00AB1592" w:rsidRPr="00A91864">
        <w:t xml:space="preserve"> positively desired to achieve that result</w:t>
      </w:r>
      <w:r w:rsidR="00325729" w:rsidRPr="00A91864">
        <w:t>.</w:t>
      </w:r>
    </w:p>
    <w:p w14:paraId="04E30FE4" w14:textId="0D42A338" w:rsidR="005A556F" w:rsidRDefault="00CD7116" w:rsidP="00853756">
      <w:pPr>
        <w:pStyle w:val="Heading2"/>
      </w:pPr>
      <w:r>
        <w:rPr>
          <w:i/>
          <w:iCs/>
        </w:rPr>
        <w:t xml:space="preserve">Re </w:t>
      </w:r>
      <w:r w:rsidR="00406AA8" w:rsidRPr="00406AA8">
        <w:rPr>
          <w:i/>
          <w:iCs/>
        </w:rPr>
        <w:t>Drabble</w:t>
      </w:r>
      <w:r w:rsidR="00406AA8">
        <w:t xml:space="preserve"> and </w:t>
      </w:r>
      <w:r w:rsidR="00853756">
        <w:t>Mr Enoch’s role as a director of Comet</w:t>
      </w:r>
    </w:p>
    <w:p w14:paraId="691A1221" w14:textId="5BAD1C26" w:rsidR="00853756" w:rsidRDefault="005E0E71" w:rsidP="00853756">
      <w:pPr>
        <w:pStyle w:val="BodyText"/>
      </w:pPr>
      <w:r>
        <w:t xml:space="preserve">Mr Smith sought to dismiss Mr Gledhill’s reliance on </w:t>
      </w:r>
      <w:r w:rsidR="00CD7116">
        <w:rPr>
          <w:i/>
          <w:iCs/>
        </w:rPr>
        <w:t xml:space="preserve">Re </w:t>
      </w:r>
      <w:r w:rsidRPr="005E0E71">
        <w:rPr>
          <w:i/>
          <w:iCs/>
        </w:rPr>
        <w:t>Drabble</w:t>
      </w:r>
      <w:r>
        <w:t xml:space="preserve"> (see [</w:t>
      </w:r>
      <w:r>
        <w:fldChar w:fldCharType="begin"/>
      </w:r>
      <w:r>
        <w:instrText xml:space="preserve"> REF _Ref118118413 \r \h </w:instrText>
      </w:r>
      <w:r>
        <w:fldChar w:fldCharType="separate"/>
      </w:r>
      <w:r w:rsidR="00E762C8">
        <w:t>113</w:t>
      </w:r>
      <w:r>
        <w:fldChar w:fldCharType="end"/>
      </w:r>
      <w:r>
        <w:t>] above)</w:t>
      </w:r>
      <w:r w:rsidR="009639C8">
        <w:t xml:space="preserve"> by reference to Millett J’s warning </w:t>
      </w:r>
      <w:r w:rsidR="00CD7116">
        <w:t xml:space="preserve">in </w:t>
      </w:r>
      <w:r w:rsidR="00CD7116" w:rsidRPr="00CD7116">
        <w:rPr>
          <w:i/>
          <w:iCs/>
        </w:rPr>
        <w:t>Re MC Bacon</w:t>
      </w:r>
      <w:r w:rsidR="00384274">
        <w:t xml:space="preserve"> that cases decided under the old law do not assist. I agree with Mr </w:t>
      </w:r>
      <w:r w:rsidR="00515AFC">
        <w:t xml:space="preserve">Gledhill that </w:t>
      </w:r>
      <w:r w:rsidR="00515AFC" w:rsidRPr="00515AFC">
        <w:rPr>
          <w:i/>
          <w:iCs/>
        </w:rPr>
        <w:t>Re Drabble</w:t>
      </w:r>
      <w:r w:rsidR="00515AFC">
        <w:t xml:space="preserve"> remains relevant for its discussion of the role of agents in </w:t>
      </w:r>
      <w:r w:rsidR="00205C08">
        <w:t xml:space="preserve">assessing whether the relevant mental element (then </w:t>
      </w:r>
      <w:r w:rsidR="004970DB">
        <w:t xml:space="preserve">a dominant </w:t>
      </w:r>
      <w:r w:rsidR="00205C08">
        <w:t>intention, now</w:t>
      </w:r>
      <w:r w:rsidR="004970DB">
        <w:t xml:space="preserve"> a</w:t>
      </w:r>
      <w:r w:rsidR="00205C08">
        <w:t xml:space="preserve"> desire) is established</w:t>
      </w:r>
      <w:r w:rsidR="00244027">
        <w:t>.</w:t>
      </w:r>
      <w:r w:rsidR="00FD4711">
        <w:t xml:space="preserve"> </w:t>
      </w:r>
      <w:r w:rsidR="00041EB7">
        <w:t xml:space="preserve">What that case is authority for is </w:t>
      </w:r>
      <w:r w:rsidR="009A36D6">
        <w:t xml:space="preserve">that </w:t>
      </w:r>
      <w:r w:rsidR="00F27EDB">
        <w:t xml:space="preserve">an intention (desire) on the part of an </w:t>
      </w:r>
      <w:r w:rsidR="00837253">
        <w:t>employee</w:t>
      </w:r>
      <w:r w:rsidR="00F27EDB">
        <w:t xml:space="preserve"> or agent</w:t>
      </w:r>
      <w:r w:rsidR="00837253">
        <w:t xml:space="preserve"> can be imputed to their principal. </w:t>
      </w:r>
      <w:r w:rsidR="00B71D31">
        <w:t>That must be right</w:t>
      </w:r>
      <w:r w:rsidR="005E6532">
        <w:t xml:space="preserve">. Otherwise it would be difficult for the legislation to operate </w:t>
      </w:r>
      <w:r w:rsidR="00966AFB">
        <w:t>effectivel</w:t>
      </w:r>
      <w:r w:rsidR="00C858A8">
        <w:t>y</w:t>
      </w:r>
      <w:r w:rsidR="005E6532">
        <w:t xml:space="preserve"> not only in any larger organisation</w:t>
      </w:r>
      <w:r w:rsidR="00C858A8">
        <w:t>,</w:t>
      </w:r>
      <w:r w:rsidR="005E6532">
        <w:t xml:space="preserve"> where decisions</w:t>
      </w:r>
      <w:r w:rsidR="00C63A70">
        <w:t xml:space="preserve"> as to whom to pay and when would typically be delegated</w:t>
      </w:r>
      <w:r w:rsidR="00AD56A5">
        <w:t xml:space="preserve"> (and indeed with different aspects of the process potentially being de</w:t>
      </w:r>
      <w:r w:rsidR="000B04AD">
        <w:t>al</w:t>
      </w:r>
      <w:r w:rsidR="00AD56A5">
        <w:t>t with by different people)</w:t>
      </w:r>
      <w:r w:rsidR="00C63A70">
        <w:t xml:space="preserve">, but also on the facts of </w:t>
      </w:r>
      <w:r w:rsidR="00C63A70" w:rsidRPr="004D186B">
        <w:rPr>
          <w:i/>
          <w:iCs/>
        </w:rPr>
        <w:t>Re Drabble</w:t>
      </w:r>
      <w:r w:rsidR="00C63A70">
        <w:t xml:space="preserve"> itself where the r</w:t>
      </w:r>
      <w:r w:rsidR="004D186B">
        <w:t>e</w:t>
      </w:r>
      <w:r w:rsidR="00C63A70">
        <w:t>levant partner</w:t>
      </w:r>
      <w:r w:rsidR="004D186B">
        <w:t xml:space="preserve"> simply signed cheques presented to him. As Lawrence L</w:t>
      </w:r>
      <w:r w:rsidR="008607A4">
        <w:t>J said at p.237, the door would otherwise be opened to fraudulent preferences</w:t>
      </w:r>
      <w:r w:rsidR="00F57A1C">
        <w:t xml:space="preserve"> by traders shutting their eyes to what their employees </w:t>
      </w:r>
      <w:r w:rsidR="004A3D51">
        <w:t>a</w:t>
      </w:r>
      <w:r w:rsidR="00F57A1C">
        <w:t>re doing on their behalf.</w:t>
      </w:r>
    </w:p>
    <w:p w14:paraId="3DFF0ADA" w14:textId="60514D22" w:rsidR="00DF0B0C" w:rsidRDefault="00C16791" w:rsidP="004F16BA">
      <w:pPr>
        <w:pStyle w:val="BodyText"/>
      </w:pPr>
      <w:r>
        <w:t xml:space="preserve">What I find much more difficult is Mr Gledhill’s submission </w:t>
      </w:r>
      <w:r w:rsidR="00FC2355">
        <w:t>that it was enough for Mr Enoch to happen to be a director</w:t>
      </w:r>
      <w:r w:rsidR="00B73560">
        <w:t>,</w:t>
      </w:r>
      <w:r w:rsidR="00FC2355">
        <w:t xml:space="preserve"> and therefore agent</w:t>
      </w:r>
      <w:r w:rsidR="004B7298">
        <w:t>,</w:t>
      </w:r>
      <w:r w:rsidR="00FC2355">
        <w:t xml:space="preserve"> of Comet</w:t>
      </w:r>
      <w:r w:rsidR="00B73560">
        <w:t xml:space="preserve"> (see [</w:t>
      </w:r>
      <w:r w:rsidR="00B73560">
        <w:fldChar w:fldCharType="begin"/>
      </w:r>
      <w:r w:rsidR="00B73560">
        <w:instrText xml:space="preserve"> REF _Ref118119595 \r \h </w:instrText>
      </w:r>
      <w:r w:rsidR="00B73560">
        <w:fldChar w:fldCharType="separate"/>
      </w:r>
      <w:r w:rsidR="00E762C8">
        <w:t>112</w:t>
      </w:r>
      <w:r w:rsidR="00B73560">
        <w:fldChar w:fldCharType="end"/>
      </w:r>
      <w:r w:rsidR="00B73560">
        <w:t>] above)</w:t>
      </w:r>
      <w:r w:rsidR="00FC2355">
        <w:t>.</w:t>
      </w:r>
      <w:r w:rsidR="004B7298">
        <w:t xml:space="preserve"> </w:t>
      </w:r>
      <w:r w:rsidR="004B7298" w:rsidRPr="007E71CD">
        <w:rPr>
          <w:i/>
          <w:iCs/>
        </w:rPr>
        <w:t>Re Drabble</w:t>
      </w:r>
      <w:r w:rsidR="004B7298">
        <w:t xml:space="preserve"> was a case where </w:t>
      </w:r>
      <w:r w:rsidR="001D3A57">
        <w:t>the agent, Tiley</w:t>
      </w:r>
      <w:r w:rsidR="00ED2425">
        <w:t xml:space="preserve">, was acting </w:t>
      </w:r>
      <w:r w:rsidR="00ED2425" w:rsidRPr="000F260B">
        <w:rPr>
          <w:u w:val="single"/>
        </w:rPr>
        <w:t>in the course of his role</w:t>
      </w:r>
      <w:r w:rsidR="00ED2425">
        <w:t xml:space="preserve"> as the person in charge of the financial side of the business</w:t>
      </w:r>
      <w:r w:rsidR="0004180D">
        <w:t xml:space="preserve">. As Lord Hanworth MR said at p.232, the payments were </w:t>
      </w:r>
      <w:r w:rsidR="00C903A9">
        <w:t>“</w:t>
      </w:r>
      <w:r w:rsidR="00C903A9" w:rsidRPr="00C903A9">
        <w:t>within the scope of his employment</w:t>
      </w:r>
      <w:r w:rsidR="00C903A9">
        <w:t>”</w:t>
      </w:r>
      <w:r w:rsidR="001E5D6B">
        <w:t xml:space="preserve">. </w:t>
      </w:r>
      <w:r w:rsidR="00E551D3">
        <w:t xml:space="preserve">The Master of the Rolls went on at p.234 to refer to </w:t>
      </w:r>
      <w:r w:rsidR="004238A6">
        <w:t>the following</w:t>
      </w:r>
      <w:r w:rsidR="00E551D3">
        <w:t xml:space="preserve"> statement</w:t>
      </w:r>
      <w:r w:rsidR="00DF0B0C">
        <w:t>s</w:t>
      </w:r>
      <w:r w:rsidR="00E551D3">
        <w:t xml:space="preserve"> by Lord Halsbury </w:t>
      </w:r>
      <w:r w:rsidR="004238A6">
        <w:t xml:space="preserve">in </w:t>
      </w:r>
      <w:r w:rsidR="007E71CD" w:rsidRPr="004238A6">
        <w:rPr>
          <w:i/>
          <w:iCs/>
        </w:rPr>
        <w:t>Blackburn, Low &amp; Co. v Vigors</w:t>
      </w:r>
      <w:r w:rsidR="007E71CD">
        <w:t xml:space="preserve"> </w:t>
      </w:r>
      <w:r w:rsidR="004238A6" w:rsidRPr="004238A6">
        <w:t>12 App. Cas. 531, 537, 538</w:t>
      </w:r>
      <w:r w:rsidR="00DF0B0C">
        <w:t>:</w:t>
      </w:r>
    </w:p>
    <w:p w14:paraId="3F40906F" w14:textId="45DFEEE9" w:rsidR="00DF0B0C" w:rsidRDefault="00DF0B0C" w:rsidP="00DF0B0C">
      <w:pPr>
        <w:pStyle w:val="Citations"/>
      </w:pPr>
      <w:r>
        <w:t>“</w:t>
      </w:r>
      <w:r w:rsidR="007E71CD">
        <w:t>So</w:t>
      </w:r>
      <w:r>
        <w:t>m</w:t>
      </w:r>
      <w:r w:rsidR="007E71CD">
        <w:t>e agents so far represent the principal that in all respects their acts and intentions and their knowledge may truly be said to be the acts, intentions, and knowledge of the principal,</w:t>
      </w:r>
      <w:r>
        <w:t>”</w:t>
      </w:r>
      <w:r w:rsidR="007E71CD">
        <w:t xml:space="preserve"> </w:t>
      </w:r>
      <w:r w:rsidR="00CA1DFB">
        <w:t>and</w:t>
      </w:r>
    </w:p>
    <w:p w14:paraId="4C5416C0" w14:textId="77777777" w:rsidR="00CA1DFB" w:rsidRDefault="00CA1DFB" w:rsidP="00DF0B0C">
      <w:pPr>
        <w:pStyle w:val="Citations"/>
      </w:pPr>
    </w:p>
    <w:p w14:paraId="6D98B56F" w14:textId="2CCE873D" w:rsidR="003B7813" w:rsidRDefault="00DF0B0C" w:rsidP="003B7813">
      <w:pPr>
        <w:pStyle w:val="Citations"/>
      </w:pPr>
      <w:r>
        <w:t>“</w:t>
      </w:r>
      <w:r w:rsidR="007E71CD">
        <w:t>where the employment of the agent is such that in respect of the particular matter in question he really does represent the principal, the formula that the knowledge of the agent is his knowledge is I think correct.</w:t>
      </w:r>
      <w:r>
        <w:t>”</w:t>
      </w:r>
    </w:p>
    <w:p w14:paraId="7F312BFE" w14:textId="22067A90" w:rsidR="00DA41D0" w:rsidRDefault="001568C4" w:rsidP="003B7813">
      <w:pPr>
        <w:pStyle w:val="BodyText"/>
      </w:pPr>
      <w:r>
        <w:t>At p.234</w:t>
      </w:r>
      <w:r w:rsidR="00AC7713">
        <w:t>-5</w:t>
      </w:r>
      <w:r>
        <w:t xml:space="preserve"> the</w:t>
      </w:r>
      <w:r w:rsidRPr="001568C4">
        <w:t xml:space="preserve"> Master of the Rolls </w:t>
      </w:r>
      <w:r>
        <w:t>then applied “that principle” to the present case</w:t>
      </w:r>
      <w:r w:rsidR="0026514E">
        <w:t xml:space="preserve">. </w:t>
      </w:r>
      <w:r w:rsidR="001E4584">
        <w:t>He</w:t>
      </w:r>
      <w:r w:rsidR="00D95951">
        <w:t xml:space="preserve"> decided that Mr Drabble </w:t>
      </w:r>
      <w:r w:rsidR="00DB0BAF">
        <w:t>had</w:t>
      </w:r>
      <w:r w:rsidR="00DA41D0">
        <w:t>:</w:t>
      </w:r>
    </w:p>
    <w:p w14:paraId="078A50E0" w14:textId="4C9B8796" w:rsidR="003F4E9A" w:rsidRDefault="00DB0BAF" w:rsidP="00DA41D0">
      <w:pPr>
        <w:pStyle w:val="Citations"/>
      </w:pPr>
      <w:r>
        <w:t>“</w:t>
      </w:r>
      <w:r w:rsidR="00EE175D">
        <w:t>…</w:t>
      </w:r>
      <w:r w:rsidR="001E4584">
        <w:t xml:space="preserve"> </w:t>
      </w:r>
      <w:r>
        <w:t xml:space="preserve">so far delegated his authority as to </w:t>
      </w:r>
      <w:r w:rsidR="00DA41D0">
        <w:t>make the act and intention and the knowledge of Tiley his own, because Tiley, on those details of the finance, represented his principal, and thus made his, Tiley</w:t>
      </w:r>
      <w:r w:rsidR="003068BB">
        <w:t>’</w:t>
      </w:r>
      <w:r w:rsidR="00DA41D0">
        <w:t>s, intentions, the intentions of his principal.</w:t>
      </w:r>
    </w:p>
    <w:p w14:paraId="04540BA4" w14:textId="59448854" w:rsidR="00C97706" w:rsidRDefault="003F4E9A" w:rsidP="003F4E9A">
      <w:pPr>
        <w:pStyle w:val="Citations"/>
      </w:pPr>
      <w:r>
        <w:t>On the facts of this case it appears to me quite clear that the actions of Tiley and the intentions of Tiley can be and ought to be imputed to the principal, for Tiley was delegated by the principal to represent him, F. Drabble, in carrying out a</w:t>
      </w:r>
      <w:r w:rsidR="001E4584">
        <w:t>ll</w:t>
      </w:r>
      <w:r>
        <w:t xml:space="preserve"> this very necessary part of the business.</w:t>
      </w:r>
      <w:r w:rsidR="003068BB">
        <w:t>”</w:t>
      </w:r>
    </w:p>
    <w:p w14:paraId="352ED236" w14:textId="57C81B4A" w:rsidR="00354B66" w:rsidRDefault="00136822" w:rsidP="00354B66">
      <w:pPr>
        <w:pStyle w:val="BodyText"/>
      </w:pPr>
      <w:r>
        <w:t>Both Lawrence LJ and Romer LJ agreed</w:t>
      </w:r>
      <w:r w:rsidR="00461AA4">
        <w:t>. Romer LJ referred twice</w:t>
      </w:r>
      <w:r w:rsidR="00FF09B6">
        <w:t xml:space="preserve"> in his judgment </w:t>
      </w:r>
      <w:r w:rsidR="0015729A">
        <w:t xml:space="preserve">(at p.238) </w:t>
      </w:r>
      <w:r w:rsidR="00FF09B6">
        <w:t xml:space="preserve">to </w:t>
      </w:r>
      <w:r w:rsidR="004E6988">
        <w:t>the criterion of an</w:t>
      </w:r>
      <w:r w:rsidR="00FF09B6">
        <w:t xml:space="preserve"> agent acting within the </w:t>
      </w:r>
      <w:r w:rsidR="0015729A">
        <w:t>scope</w:t>
      </w:r>
      <w:r w:rsidR="00FF09B6">
        <w:t xml:space="preserve"> of his authority</w:t>
      </w:r>
      <w:r w:rsidR="00BF5642">
        <w:t xml:space="preserve">, and to the fact that Tiley </w:t>
      </w:r>
      <w:r w:rsidR="00806EBD">
        <w:t>was</w:t>
      </w:r>
      <w:r w:rsidR="00B15505">
        <w:t xml:space="preserve"> an agent </w:t>
      </w:r>
      <w:r w:rsidR="00806EBD">
        <w:t xml:space="preserve">who was </w:t>
      </w:r>
      <w:r w:rsidR="00B15505">
        <w:t>entrusted to make decisions about</w:t>
      </w:r>
      <w:r w:rsidR="00934AF0">
        <w:t xml:space="preserve"> the selection of creditors for payment</w:t>
      </w:r>
      <w:r w:rsidR="006D1EF4">
        <w:t>.</w:t>
      </w:r>
    </w:p>
    <w:p w14:paraId="1A9DAC38" w14:textId="4D6EE5EF" w:rsidR="006D1EF4" w:rsidRDefault="006D1EF4" w:rsidP="00354B66">
      <w:pPr>
        <w:pStyle w:val="BodyText"/>
      </w:pPr>
      <w:r>
        <w:t xml:space="preserve">In my view </w:t>
      </w:r>
      <w:r w:rsidRPr="003271E4">
        <w:rPr>
          <w:i/>
          <w:iCs/>
        </w:rPr>
        <w:t>Re Drabble</w:t>
      </w:r>
      <w:r>
        <w:t xml:space="preserve"> is authority for the proposition that </w:t>
      </w:r>
      <w:r w:rsidR="007F0D80">
        <w:t>a</w:t>
      </w:r>
      <w:r>
        <w:t xml:space="preserve"> </w:t>
      </w:r>
      <w:r w:rsidR="00A0160C">
        <w:t>desire</w:t>
      </w:r>
      <w:r w:rsidR="007F0D80">
        <w:t xml:space="preserve"> to prefer</w:t>
      </w:r>
      <w:r>
        <w:t xml:space="preserve"> </w:t>
      </w:r>
      <w:r w:rsidR="000D6969">
        <w:t>held by</w:t>
      </w:r>
      <w:r>
        <w:t xml:space="preserve"> an </w:t>
      </w:r>
      <w:r w:rsidR="00A0160C">
        <w:t xml:space="preserve">employee or agent </w:t>
      </w:r>
      <w:r w:rsidR="001F24E0">
        <w:t xml:space="preserve">of the debtor </w:t>
      </w:r>
      <w:r w:rsidR="00A0160C" w:rsidRPr="00826819">
        <w:rPr>
          <w:u w:val="single"/>
        </w:rPr>
        <w:t>acting in their capacity as such</w:t>
      </w:r>
      <w:r w:rsidR="00300501">
        <w:t xml:space="preserve"> may be attributed to</w:t>
      </w:r>
      <w:r w:rsidR="003271E4">
        <w:t xml:space="preserve"> their principal</w:t>
      </w:r>
      <w:r w:rsidR="00826819">
        <w:t xml:space="preserve"> where that desire influences the relevant decision</w:t>
      </w:r>
      <w:r w:rsidR="003271E4">
        <w:t>. It does not support a proposition that desires</w:t>
      </w:r>
      <w:r w:rsidR="0092397A">
        <w:t xml:space="preserve"> of an individual</w:t>
      </w:r>
      <w:r w:rsidR="003271E4">
        <w:t xml:space="preserve"> </w:t>
      </w:r>
      <w:r w:rsidR="0092397A">
        <w:t>can be attributed</w:t>
      </w:r>
      <w:r w:rsidR="002B70AE">
        <w:t xml:space="preserve"> to a company</w:t>
      </w:r>
      <w:r w:rsidR="00300501">
        <w:t xml:space="preserve"> </w:t>
      </w:r>
      <w:r w:rsidR="0092397A">
        <w:t>simply because they happen to be an agent or employee</w:t>
      </w:r>
      <w:r w:rsidR="00A136A9">
        <w:t>, if they are not acting in that capacity.</w:t>
      </w:r>
      <w:r w:rsidR="00724A2E">
        <w:t xml:space="preserve"> </w:t>
      </w:r>
    </w:p>
    <w:p w14:paraId="5B591F02" w14:textId="77777777" w:rsidR="00733A44" w:rsidRDefault="00906422" w:rsidP="00AE7E43">
      <w:pPr>
        <w:pStyle w:val="BodyText"/>
      </w:pPr>
      <w:r>
        <w:t>That such a proposition does not represent the law can be tested in the following way. It is well established an</w:t>
      </w:r>
      <w:r w:rsidR="0038093D">
        <w:t>d</w:t>
      </w:r>
      <w:r>
        <w:t xml:space="preserve"> uncontroversial that pay</w:t>
      </w:r>
      <w:r w:rsidR="00C77FE4">
        <w:t>ing a creditor in response to pressure from the creditor</w:t>
      </w:r>
      <w:r w:rsidR="00885C26">
        <w:t xml:space="preserve"> </w:t>
      </w:r>
      <w:r w:rsidR="00271876">
        <w:t>should not result in a preference: the Cork Report recommended</w:t>
      </w:r>
      <w:r w:rsidR="00116E30">
        <w:t xml:space="preserve"> at paragraph 1256</w:t>
      </w:r>
      <w:r w:rsidR="00271876">
        <w:t xml:space="preserve"> that</w:t>
      </w:r>
      <w:r w:rsidR="00116E30">
        <w:t xml:space="preserve"> genuine pressure </w:t>
      </w:r>
      <w:r w:rsidR="00955416">
        <w:t>from a creditor should continue to afford a defence.</w:t>
      </w:r>
      <w:r w:rsidR="003D3873">
        <w:t xml:space="preserve"> If it was sufficient that a creditor exerting pressure happened to be an</w:t>
      </w:r>
      <w:r w:rsidR="003322B2">
        <w:t xml:space="preserve"> employee or agent, rather than someone involved in the debtor’s decision-making process, then this principle would be undermined</w:t>
      </w:r>
      <w:r w:rsidR="00AE7B03">
        <w:t>.</w:t>
      </w:r>
    </w:p>
    <w:p w14:paraId="0C237939" w14:textId="2CA08392" w:rsidR="000E5C56" w:rsidRDefault="003322B2" w:rsidP="00AE7E43">
      <w:pPr>
        <w:pStyle w:val="BodyText"/>
      </w:pPr>
      <w:r>
        <w:t xml:space="preserve"> </w:t>
      </w:r>
      <w:r w:rsidR="00905BD2">
        <w:t xml:space="preserve">In other words, </w:t>
      </w:r>
      <w:r w:rsidR="00C60BD2">
        <w:t>a</w:t>
      </w:r>
      <w:r w:rsidR="00905BD2">
        <w:t xml:space="preserve"> desire</w:t>
      </w:r>
      <w:r w:rsidR="00C60BD2">
        <w:t xml:space="preserve"> to prefer</w:t>
      </w:r>
      <w:r w:rsidR="00905BD2">
        <w:t xml:space="preserve"> must </w:t>
      </w:r>
      <w:r w:rsidR="00467F49">
        <w:t>have been</w:t>
      </w:r>
      <w:r w:rsidR="00905BD2">
        <w:t xml:space="preserve"> held </w:t>
      </w:r>
      <w:r w:rsidR="00C01542">
        <w:t xml:space="preserve">by a person or persons involved in the </w:t>
      </w:r>
      <w:r w:rsidR="00C01542" w:rsidRPr="00C01542">
        <w:rPr>
          <w:u w:val="single"/>
        </w:rPr>
        <w:t>debtor’s</w:t>
      </w:r>
      <w:r w:rsidR="00C01542">
        <w:t xml:space="preserve"> decision making process</w:t>
      </w:r>
      <w:r w:rsidR="003B138A">
        <w:t xml:space="preserve">, such </w:t>
      </w:r>
      <w:r w:rsidR="00E67BCE">
        <w:t>that it</w:t>
      </w:r>
      <w:r w:rsidR="003B138A">
        <w:t xml:space="preserve"> was capable of being </w:t>
      </w:r>
      <w:r w:rsidR="00FA13BD">
        <w:t>a factor which</w:t>
      </w:r>
      <w:r w:rsidR="00E67BCE">
        <w:t xml:space="preserve"> (adopting Millett J’s words) </w:t>
      </w:r>
      <w:r w:rsidR="00467F49">
        <w:t>“</w:t>
      </w:r>
      <w:r w:rsidR="00FA13BD">
        <w:t>operated on the mind</w:t>
      </w:r>
      <w:r w:rsidR="00467F49">
        <w:t>”</w:t>
      </w:r>
      <w:r w:rsidR="00FA13BD">
        <w:t xml:space="preserve"> of the decision</w:t>
      </w:r>
      <w:r w:rsidR="00054951">
        <w:t xml:space="preserve"> maker or</w:t>
      </w:r>
      <w:r w:rsidR="00FA13BD">
        <w:t xml:space="preserve"> makers</w:t>
      </w:r>
      <w:r w:rsidR="00E67BCE">
        <w:t>.</w:t>
      </w:r>
    </w:p>
    <w:p w14:paraId="0AAF0943" w14:textId="53207BDE" w:rsidR="00F91707" w:rsidRDefault="00BA2073" w:rsidP="00BA2073">
      <w:pPr>
        <w:pStyle w:val="Heading2"/>
      </w:pPr>
      <w:r>
        <w:t>Whether Comet took a decision on or around 9 November 2011</w:t>
      </w:r>
    </w:p>
    <w:p w14:paraId="16055AB1" w14:textId="56BF5539" w:rsidR="00F91707" w:rsidRDefault="00EE2761" w:rsidP="00354B66">
      <w:pPr>
        <w:pStyle w:val="BodyText"/>
      </w:pPr>
      <w:r>
        <w:t xml:space="preserve">It follows from this that </w:t>
      </w:r>
      <w:r w:rsidR="00C46EBF">
        <w:t>it is ins</w:t>
      </w:r>
      <w:r w:rsidR="00C7263B">
        <w:t xml:space="preserve">ufficient </w:t>
      </w:r>
      <w:r w:rsidR="0017253B">
        <w:t>that Mr Enoch</w:t>
      </w:r>
      <w:r w:rsidR="0076631D">
        <w:t xml:space="preserve"> </w:t>
      </w:r>
      <w:r w:rsidR="00EA5978">
        <w:t xml:space="preserve">happened to be a director of Comet and </w:t>
      </w:r>
      <w:r w:rsidR="0076631D">
        <w:t>possessed the requisite desire</w:t>
      </w:r>
      <w:r w:rsidR="00EA5978">
        <w:t xml:space="preserve">. However, </w:t>
      </w:r>
      <w:r w:rsidR="006C336D">
        <w:t>that is not the end of the matter. The Liquidator’s primary argument, summarised at [</w:t>
      </w:r>
      <w:r w:rsidR="006C336D">
        <w:fldChar w:fldCharType="begin"/>
      </w:r>
      <w:r w:rsidR="006C336D">
        <w:instrText xml:space="preserve"> REF _Ref118122635 \r \h </w:instrText>
      </w:r>
      <w:r w:rsidR="006C336D">
        <w:fldChar w:fldCharType="separate"/>
      </w:r>
      <w:r w:rsidR="00E762C8">
        <w:t>111</w:t>
      </w:r>
      <w:r w:rsidR="006C336D">
        <w:fldChar w:fldCharType="end"/>
      </w:r>
      <w:r w:rsidR="006C336D">
        <w:t>a)] above</w:t>
      </w:r>
      <w:r w:rsidR="00721E48">
        <w:t>, was that</w:t>
      </w:r>
      <w:r w:rsidR="007862CD">
        <w:t xml:space="preserve"> Comet’s decision </w:t>
      </w:r>
      <w:r w:rsidR="00E870F4">
        <w:t xml:space="preserve">was in reality taken </w:t>
      </w:r>
      <w:r w:rsidR="00032672">
        <w:t>“</w:t>
      </w:r>
      <w:r w:rsidR="00E870F4">
        <w:t xml:space="preserve">on or around </w:t>
      </w:r>
      <w:r w:rsidR="00032672" w:rsidRPr="00032672">
        <w:t>9 November 2011 by KHL, KEP and (on behalf of Comet) Mr Enoch</w:t>
      </w:r>
      <w:r w:rsidR="00073827">
        <w:t>”</w:t>
      </w:r>
      <w:r w:rsidR="002466BF">
        <w:t>, and the New Board simpl</w:t>
      </w:r>
      <w:r w:rsidR="002A2D55">
        <w:t>y gave effect to that decision</w:t>
      </w:r>
      <w:r w:rsidR="00073827">
        <w:t>.</w:t>
      </w:r>
    </w:p>
    <w:p w14:paraId="42241A41" w14:textId="0CBEAE1C" w:rsidR="003F52F7" w:rsidRDefault="00247F8A" w:rsidP="00354B66">
      <w:pPr>
        <w:pStyle w:val="BodyText"/>
      </w:pPr>
      <w:bookmarkStart w:id="51" w:name="_Ref119060923"/>
      <w:r>
        <w:t>As a formal matter, no decision was</w:t>
      </w:r>
      <w:r w:rsidR="00851ED2">
        <w:t xml:space="preserve"> required to be</w:t>
      </w:r>
      <w:r>
        <w:t xml:space="preserve"> taken</w:t>
      </w:r>
      <w:r w:rsidR="0012718B">
        <w:t xml:space="preserve"> by Comet before or at the time</w:t>
      </w:r>
      <w:r w:rsidR="008D5DE3">
        <w:t xml:space="preserve"> that</w:t>
      </w:r>
      <w:r w:rsidR="0012718B">
        <w:t xml:space="preserve"> the SPA was entered into on 9 November 2011</w:t>
      </w:r>
      <w:r w:rsidR="00851ED2">
        <w:t>, because</w:t>
      </w:r>
      <w:r w:rsidR="008D5DE3">
        <w:t xml:space="preserve"> Comet</w:t>
      </w:r>
      <w:r w:rsidR="00E86201">
        <w:t xml:space="preserve"> was not a party to that document. However, the SPA was explicit</w:t>
      </w:r>
      <w:r w:rsidR="00F77C9E">
        <w:t xml:space="preserve"> about what Comet would be required to do on</w:t>
      </w:r>
      <w:r w:rsidR="008A1E5D">
        <w:t xml:space="preserve"> or prior to</w:t>
      </w:r>
      <w:r w:rsidR="00F77C9E">
        <w:t xml:space="preserve"> completion of the SPA. </w:t>
      </w:r>
      <w:r w:rsidR="008A1E5D">
        <w:t>This included entering into new secured borrowings</w:t>
      </w:r>
      <w:r w:rsidR="00244DE5">
        <w:t>, capitalising debt</w:t>
      </w:r>
      <w:r w:rsidR="003313AA">
        <w:t xml:space="preserve"> and repaying all</w:t>
      </w:r>
      <w:r w:rsidR="00244DE5">
        <w:t xml:space="preserve"> remaining</w:t>
      </w:r>
      <w:r w:rsidR="003313AA">
        <w:t xml:space="preserve"> intercompany </w:t>
      </w:r>
      <w:r w:rsidR="00244DE5">
        <w:t>balances</w:t>
      </w:r>
      <w:r w:rsidR="00625209">
        <w:t xml:space="preserve"> using funds drawn on the HAL RCF</w:t>
      </w:r>
      <w:r w:rsidR="00F77C9E">
        <w:t xml:space="preserve">. </w:t>
      </w:r>
      <w:r w:rsidR="00830C94">
        <w:t>Although the SPA contemplated that the New Board</w:t>
      </w:r>
      <w:r w:rsidR="00F029B4">
        <w:t xml:space="preserve"> would “review the financial position of the Company”</w:t>
      </w:r>
      <w:r w:rsidR="001D4B6F">
        <w:t xml:space="preserve"> prior to completion</w:t>
      </w:r>
      <w:r w:rsidR="00963D39">
        <w:t>,</w:t>
      </w:r>
      <w:r w:rsidR="00F029B4">
        <w:t xml:space="preserve"> no provision was</w:t>
      </w:r>
      <w:r w:rsidR="005140C7">
        <w:t xml:space="preserve"> </w:t>
      </w:r>
      <w:r w:rsidR="00963D39">
        <w:t>included</w:t>
      </w:r>
      <w:r w:rsidR="005140C7">
        <w:t xml:space="preserve"> to cover the possibility that it might find it </w:t>
      </w:r>
      <w:r w:rsidR="0005186D">
        <w:t xml:space="preserve">to be </w:t>
      </w:r>
      <w:r w:rsidR="005140C7">
        <w:t>unsatisfactor</w:t>
      </w:r>
      <w:r w:rsidR="009B6896">
        <w:t>y.</w:t>
      </w:r>
      <w:r w:rsidR="00963D39">
        <w:t xml:space="preserve"> Given the care usually taken in detailed documentation to cover </w:t>
      </w:r>
      <w:r w:rsidR="00291F0F">
        <w:t>risks of anticipated events not occurring</w:t>
      </w:r>
      <w:r w:rsidR="00531393">
        <w:t>, I infer that the possibility of the New Board not falling into line was not considered to be a real risk.</w:t>
      </w:r>
      <w:bookmarkEnd w:id="51"/>
      <w:r w:rsidR="00BE0ABE">
        <w:t xml:space="preserve"> </w:t>
      </w:r>
    </w:p>
    <w:p w14:paraId="2FF3F6F9" w14:textId="3893A154" w:rsidR="00AB614F" w:rsidRDefault="002F4B7F" w:rsidP="003929F4">
      <w:pPr>
        <w:pStyle w:val="BodyText"/>
      </w:pPr>
      <w:r>
        <w:t>The position can be contrasted with the conditions to completion identifie</w:t>
      </w:r>
      <w:r w:rsidR="005A2652">
        <w:t>d</w:t>
      </w:r>
      <w:r>
        <w:t xml:space="preserve"> in the SPA</w:t>
      </w:r>
      <w:r w:rsidR="005A2652">
        <w:t xml:space="preserve">, and the provision in respect of the ABL facility. </w:t>
      </w:r>
      <w:r w:rsidR="00D62549">
        <w:t xml:space="preserve">As to the former, there were specific provisions imposing “reasonable endeavours” obligations on the relevant parties </w:t>
      </w:r>
      <w:r w:rsidR="00E377E3">
        <w:t>to ensure fulfilment of the various conditions</w:t>
      </w:r>
      <w:r w:rsidR="007B273F">
        <w:t>, subject in the case of KEP shareholder consent to a caveat about directors’ fiduciary duties</w:t>
      </w:r>
      <w:r w:rsidR="003C4341">
        <w:t>, and provision</w:t>
      </w:r>
      <w:r w:rsidR="00B310F2">
        <w:t>s</w:t>
      </w:r>
      <w:r w:rsidR="003272F7">
        <w:t xml:space="preserve"> covering the </w:t>
      </w:r>
      <w:r w:rsidR="00092A1B">
        <w:t>possibility</w:t>
      </w:r>
      <w:r w:rsidR="003272F7">
        <w:t xml:space="preserve"> that one or more of the conditions was not fulfilled by a long stop date</w:t>
      </w:r>
      <w:r w:rsidR="007B273F">
        <w:t>.</w:t>
      </w:r>
      <w:r w:rsidR="00D62549">
        <w:t xml:space="preserve"> </w:t>
      </w:r>
      <w:r w:rsidR="00ED27A3">
        <w:t xml:space="preserve">As to the latter, as already mentioned there was a specific </w:t>
      </w:r>
      <w:r w:rsidR="00E21398">
        <w:t>termination provision if the</w:t>
      </w:r>
      <w:r w:rsidR="00ED1450">
        <w:t xml:space="preserve"> ABL</w:t>
      </w:r>
      <w:r w:rsidR="00E21398">
        <w:t xml:space="preserve"> facility</w:t>
      </w:r>
      <w:r w:rsidR="000621A4">
        <w:t xml:space="preserve"> document</w:t>
      </w:r>
      <w:r w:rsidR="00E21398">
        <w:t xml:space="preserve"> was not provided</w:t>
      </w:r>
      <w:r w:rsidR="00ED1450">
        <w:t xml:space="preserve"> executed by all parties other than Comet</w:t>
      </w:r>
      <w:r w:rsidR="00F70C2F">
        <w:t>, with a liquidated damages provision</w:t>
      </w:r>
      <w:r w:rsidR="00E21398">
        <w:t xml:space="preserve"> (see [</w:t>
      </w:r>
      <w:r w:rsidR="00705900">
        <w:fldChar w:fldCharType="begin"/>
      </w:r>
      <w:r w:rsidR="00705900">
        <w:instrText xml:space="preserve"> REF _Ref118103829 \r \h </w:instrText>
      </w:r>
      <w:r w:rsidR="00705900">
        <w:fldChar w:fldCharType="separate"/>
      </w:r>
      <w:r w:rsidR="00E762C8">
        <w:t>43</w:t>
      </w:r>
      <w:r w:rsidR="00705900">
        <w:fldChar w:fldCharType="end"/>
      </w:r>
      <w:r w:rsidR="00E21398">
        <w:t>] above)</w:t>
      </w:r>
      <w:r w:rsidR="008D1EF9">
        <w:t>.</w:t>
      </w:r>
      <w:r w:rsidR="00BA79CC">
        <w:t xml:space="preserve"> </w:t>
      </w:r>
    </w:p>
    <w:p w14:paraId="77676C77" w14:textId="419C3ACB" w:rsidR="002F4B7F" w:rsidRDefault="003A2E1C" w:rsidP="003929F4">
      <w:pPr>
        <w:pStyle w:val="BodyText"/>
      </w:pPr>
      <w:bookmarkStart w:id="52" w:name="_Ref119060943"/>
      <w:r>
        <w:t xml:space="preserve">In contrast, there </w:t>
      </w:r>
      <w:r w:rsidR="00DA1F7B">
        <w:t>wa</w:t>
      </w:r>
      <w:r>
        <w:t>s no specific provision covering</w:t>
      </w:r>
      <w:r w:rsidR="00A93C59">
        <w:t xml:space="preserve"> a failure by Comet to do what was expected of it</w:t>
      </w:r>
      <w:r w:rsidR="0051744C">
        <w:t>. Whilst it was</w:t>
      </w:r>
      <w:r w:rsidR="005C1F0B">
        <w:t xml:space="preserve"> apparently</w:t>
      </w:r>
      <w:r w:rsidR="0051744C">
        <w:t xml:space="preserve"> the case</w:t>
      </w:r>
      <w:r w:rsidR="00E31640">
        <w:t xml:space="preserve"> that a</w:t>
      </w:r>
      <w:r w:rsidR="00052CDE">
        <w:t xml:space="preserve"> failure to repay the KIL RCF would </w:t>
      </w:r>
      <w:r w:rsidR="004D48E9">
        <w:t xml:space="preserve">have amounted to a breach of OpCapita’s procuring obligation under clause </w:t>
      </w:r>
      <w:r w:rsidR="00E31640">
        <w:t>7.5 of the SPA</w:t>
      </w:r>
      <w:r w:rsidR="00031CB1">
        <w:t xml:space="preserve"> (see [</w:t>
      </w:r>
      <w:r w:rsidR="00245D14">
        <w:fldChar w:fldCharType="begin"/>
      </w:r>
      <w:r w:rsidR="00245D14">
        <w:instrText xml:space="preserve"> REF _Ref118144257 \r \h </w:instrText>
      </w:r>
      <w:r w:rsidR="00245D14">
        <w:fldChar w:fldCharType="separate"/>
      </w:r>
      <w:r w:rsidR="00E762C8">
        <w:t>40</w:t>
      </w:r>
      <w:r w:rsidR="00245D14">
        <w:fldChar w:fldCharType="end"/>
      </w:r>
      <w:r w:rsidR="00031CB1">
        <w:t>] above)</w:t>
      </w:r>
      <w:r w:rsidR="00FC6F24">
        <w:t xml:space="preserve">, in reality the manner in which </w:t>
      </w:r>
      <w:r w:rsidR="008C0383">
        <w:t>intragroup debts was to be dealt with was prescribed in detail in clause 8</w:t>
      </w:r>
      <w:r w:rsidR="002A5AE1">
        <w:t>, and required the full participation of</w:t>
      </w:r>
      <w:r w:rsidR="00EF5E78">
        <w:t xml:space="preserve"> both Kesa and OpCapita, as well as Comet.</w:t>
      </w:r>
      <w:r w:rsidR="00E010FA">
        <w:t xml:space="preserve"> Clause 8 also required the relevant steps to be ta</w:t>
      </w:r>
      <w:r w:rsidR="008A67EE">
        <w:t>ken prior to completion, whereas clause 7.5 impose</w:t>
      </w:r>
      <w:r w:rsidR="00910C81">
        <w:t>d</w:t>
      </w:r>
      <w:r w:rsidR="008A67EE">
        <w:t xml:space="preserve"> obligations at completion</w:t>
      </w:r>
      <w:r w:rsidR="00910C81">
        <w:t>. In</w:t>
      </w:r>
      <w:r w:rsidR="00C97F68">
        <w:t xml:space="preserve"> practice it would never actually operate.</w:t>
      </w:r>
      <w:r w:rsidR="00263998">
        <w:t xml:space="preserve"> As far as the ABL facility was concerned, the liquidated damages provision did not cover a refusal by Comet to execute it</w:t>
      </w:r>
      <w:r w:rsidR="004E48E1">
        <w:t>, although</w:t>
      </w:r>
      <w:r w:rsidR="006F6630">
        <w:t xml:space="preserve"> it is the case that</w:t>
      </w:r>
      <w:r w:rsidR="004E48E1">
        <w:t xml:space="preserve"> one of HAL and HHL’s completion obligations</w:t>
      </w:r>
      <w:r w:rsidR="00151C99">
        <w:t xml:space="preserve"> was to procure the provision of a fully executed ABL</w:t>
      </w:r>
      <w:r w:rsidR="00FD378E">
        <w:t>.</w:t>
      </w:r>
      <w:bookmarkEnd w:id="52"/>
    </w:p>
    <w:p w14:paraId="206E5587" w14:textId="6B4ABC1A" w:rsidR="00BA79CC" w:rsidRDefault="0060242B" w:rsidP="00354B66">
      <w:pPr>
        <w:pStyle w:val="BodyText"/>
      </w:pPr>
      <w:r>
        <w:t>Of the five directors Comet had at the time (see [</w:t>
      </w:r>
      <w:r w:rsidR="00BD61A1">
        <w:fldChar w:fldCharType="begin"/>
      </w:r>
      <w:r w:rsidR="00BD61A1">
        <w:instrText xml:space="preserve"> REF _Ref118126006 \r \h </w:instrText>
      </w:r>
      <w:r w:rsidR="00BD61A1">
        <w:fldChar w:fldCharType="separate"/>
      </w:r>
      <w:r w:rsidR="00E762C8">
        <w:t>9</w:t>
      </w:r>
      <w:r w:rsidR="00BD61A1">
        <w:fldChar w:fldCharType="end"/>
      </w:r>
      <w:r>
        <w:t>] above), b</w:t>
      </w:r>
      <w:r w:rsidR="00C04097">
        <w:t>oth Mr Enoch and Mr Platt were heavily involved in the process</w:t>
      </w:r>
      <w:r w:rsidR="00093C10">
        <w:t xml:space="preserve"> o</w:t>
      </w:r>
      <w:r w:rsidR="002164EE">
        <w:t>f</w:t>
      </w:r>
      <w:r w:rsidR="00093C10">
        <w:t xml:space="preserve"> agreeing the terms of the Disposal</w:t>
      </w:r>
      <w:r w:rsidR="00C04097">
        <w:t xml:space="preserve">. </w:t>
      </w:r>
      <w:r w:rsidR="000307A1">
        <w:t xml:space="preserve">It is clear from the evidence that the other Comet </w:t>
      </w:r>
      <w:r w:rsidR="00C12EC8">
        <w:t xml:space="preserve">director who also had a KEP role, Mr </w:t>
      </w:r>
      <w:r w:rsidR="001F0730" w:rsidRPr="003C7136">
        <w:t>Falque-Pierrotin</w:t>
      </w:r>
      <w:r w:rsidR="00E5665B">
        <w:t>, was content to leave the details to them</w:t>
      </w:r>
      <w:r w:rsidR="00C7373C">
        <w:t xml:space="preserve">. As between Mr Platt and Mr Enoch, it was Mr Enoch who </w:t>
      </w:r>
      <w:r w:rsidR="00F04D0A">
        <w:t>dealt with the documentary detail.</w:t>
      </w:r>
      <w:r w:rsidR="00970E33">
        <w:t xml:space="preserve"> Mr Terrier</w:t>
      </w:r>
      <w:r w:rsidR="00E82DC9">
        <w:t>, the fourth director,</w:t>
      </w:r>
      <w:r w:rsidR="00970E33">
        <w:t xml:space="preserve"> appears to have had no </w:t>
      </w:r>
      <w:r w:rsidR="009E0696">
        <w:t xml:space="preserve">material involvement in the Disposal at all. </w:t>
      </w:r>
      <w:r w:rsidR="00E82DC9">
        <w:t xml:space="preserve">The fifth director, </w:t>
      </w:r>
      <w:r w:rsidR="001D3A21">
        <w:t>Mr Darke</w:t>
      </w:r>
      <w:r w:rsidR="00E82DC9">
        <w:t>,</w:t>
      </w:r>
      <w:r w:rsidR="001D3A21">
        <w:t xml:space="preserve"> clearly had a real interest as part of the </w:t>
      </w:r>
      <w:r w:rsidR="00720006">
        <w:t>proposed</w:t>
      </w:r>
      <w:r w:rsidR="001D3A21">
        <w:t xml:space="preserve"> New </w:t>
      </w:r>
      <w:r w:rsidR="00720006">
        <w:t>Board, but</w:t>
      </w:r>
      <w:r w:rsidR="00462E78">
        <w:t xml:space="preserve"> he </w:t>
      </w:r>
      <w:r w:rsidR="00E82DC9">
        <w:t>was not</w:t>
      </w:r>
      <w:r w:rsidR="00462E78">
        <w:t xml:space="preserve"> involved in agreeing the term</w:t>
      </w:r>
      <w:r w:rsidR="00C11C66">
        <w:t>s</w:t>
      </w:r>
      <w:r w:rsidR="00462E78">
        <w:t xml:space="preserve"> of the SPA</w:t>
      </w:r>
      <w:r w:rsidR="00072B97">
        <w:t xml:space="preserve"> and did no</w:t>
      </w:r>
      <w:r w:rsidR="007C6FE0">
        <w:t>t even see it before it was signed</w:t>
      </w:r>
      <w:r w:rsidR="00C11C66">
        <w:t xml:space="preserve">. Rather, Mr </w:t>
      </w:r>
      <w:r w:rsidR="00391938">
        <w:t xml:space="preserve">Enoch’s evidence was that during the negotiations Kesa did not want to </w:t>
      </w:r>
      <w:r w:rsidR="00925304">
        <w:t>“</w:t>
      </w:r>
      <w:r w:rsidR="00391938">
        <w:t>distract Comet’s management team</w:t>
      </w:r>
      <w:r w:rsidR="002B34D6">
        <w:t xml:space="preserve"> from</w:t>
      </w:r>
      <w:r w:rsidR="004959F6">
        <w:t xml:space="preserve"> their day job and from</w:t>
      </w:r>
      <w:r w:rsidR="002B34D6">
        <w:t xml:space="preserve"> implementing the turnaround plan</w:t>
      </w:r>
      <w:r w:rsidR="001A3394">
        <w:t>”</w:t>
      </w:r>
      <w:r w:rsidR="002B34D6">
        <w:t xml:space="preserve">. </w:t>
      </w:r>
      <w:r w:rsidR="00BF09E6">
        <w:t>Mr Enoch</w:t>
      </w:r>
      <w:r w:rsidR="002B34D6">
        <w:t xml:space="preserve"> used Mr Darke as a source of information when he needed it,</w:t>
      </w:r>
      <w:r w:rsidR="008E0F92">
        <w:t xml:space="preserve"> but did not otherwise involve him in the process</w:t>
      </w:r>
      <w:r w:rsidR="0028139F">
        <w:t>.</w:t>
      </w:r>
    </w:p>
    <w:p w14:paraId="72F88600" w14:textId="008DEF5D" w:rsidR="00F66CE9" w:rsidRDefault="00F93261" w:rsidP="00354B66">
      <w:pPr>
        <w:pStyle w:val="BodyText"/>
      </w:pPr>
      <w:r>
        <w:t>Mr Enoch</w:t>
      </w:r>
      <w:r w:rsidR="006618F6">
        <w:t xml:space="preserve">’s </w:t>
      </w:r>
      <w:r w:rsidR="00C666F8">
        <w:t>first witness statement</w:t>
      </w:r>
      <w:r w:rsidR="000C0B23">
        <w:t xml:space="preserve"> referred to a conflict</w:t>
      </w:r>
      <w:r w:rsidR="00065602">
        <w:t xml:space="preserve"> between his role at Kesa and his role as a director of CTCL</w:t>
      </w:r>
      <w:r w:rsidR="00514CCF">
        <w:t xml:space="preserve"> (the DB Sch</w:t>
      </w:r>
      <w:r w:rsidR="002F798A">
        <w:t>eme trustee)</w:t>
      </w:r>
      <w:r w:rsidR="008F7DDE">
        <w:t xml:space="preserve">, and explained that as a result he </w:t>
      </w:r>
      <w:r w:rsidR="00E11F3F">
        <w:t xml:space="preserve">had </w:t>
      </w:r>
      <w:r w:rsidR="008F7DDE">
        <w:t>recused himself from the latter</w:t>
      </w:r>
      <w:r w:rsidR="000F4D30">
        <w:t xml:space="preserve">. When </w:t>
      </w:r>
      <w:r>
        <w:t xml:space="preserve">asked in cross-examination how he </w:t>
      </w:r>
      <w:r w:rsidR="00870776">
        <w:t xml:space="preserve">had </w:t>
      </w:r>
      <w:r>
        <w:t xml:space="preserve">managed the conflict </w:t>
      </w:r>
      <w:r w:rsidR="00870776">
        <w:t xml:space="preserve">between his duties to Kesa and his duties to Comet, his response was that he did not perceive there to be </w:t>
      </w:r>
      <w:r w:rsidR="002C09F7">
        <w:t>a</w:t>
      </w:r>
      <w:r w:rsidR="00D969FD">
        <w:t xml:space="preserve"> potential</w:t>
      </w:r>
      <w:r w:rsidR="00870776">
        <w:t xml:space="preserve"> conflict</w:t>
      </w:r>
      <w:r w:rsidR="00D969FD">
        <w:t>.</w:t>
      </w:r>
      <w:r w:rsidR="00526EDB">
        <w:t xml:space="preserve"> </w:t>
      </w:r>
      <w:r w:rsidR="00150FD2">
        <w:t xml:space="preserve">He </w:t>
      </w:r>
      <w:r w:rsidR="00B114AE">
        <w:t>explained that “ther</w:t>
      </w:r>
      <w:r w:rsidR="00034C9B">
        <w:t>e</w:t>
      </w:r>
      <w:r w:rsidR="00B114AE">
        <w:t xml:space="preserve"> never would have been a transaction” if KIL had not been repaid, and </w:t>
      </w:r>
      <w:r w:rsidR="009A6A09">
        <w:t xml:space="preserve">that </w:t>
      </w:r>
      <w:r w:rsidR="00B114AE">
        <w:t>Kesa wanted a clean break.</w:t>
      </w:r>
    </w:p>
    <w:p w14:paraId="2F086DA9" w14:textId="1303B1B1" w:rsidR="007E11EE" w:rsidRDefault="00526EDB" w:rsidP="00450260">
      <w:pPr>
        <w:pStyle w:val="BodyText"/>
      </w:pPr>
      <w:r>
        <w:t xml:space="preserve">I found this </w:t>
      </w:r>
      <w:r w:rsidR="004B31A0">
        <w:t>illuminating</w:t>
      </w:r>
      <w:r>
        <w:t>.</w:t>
      </w:r>
      <w:r w:rsidR="00164ACE">
        <w:t xml:space="preserve"> Individuals comprising the majority of Comet’s Board</w:t>
      </w:r>
      <w:r w:rsidR="00904709">
        <w:t xml:space="preserve">, being Mr </w:t>
      </w:r>
      <w:r w:rsidR="00904709" w:rsidRPr="003C7136">
        <w:t>Falque-Pierrotin</w:t>
      </w:r>
      <w:r w:rsidR="00904709">
        <w:t xml:space="preserve">, Mr Platt and Mr Enoch, were </w:t>
      </w:r>
      <w:r w:rsidR="005D4E37">
        <w:t xml:space="preserve">clearly content, either consciously or </w:t>
      </w:r>
      <w:r w:rsidR="004C3D90">
        <w:t>by leaving the details to Mr Enoch,</w:t>
      </w:r>
      <w:r w:rsidR="005D4E37">
        <w:t xml:space="preserve"> to enter into a transaction</w:t>
      </w:r>
      <w:r w:rsidR="004C3D90">
        <w:t xml:space="preserve"> which contemplated Comet taking actions</w:t>
      </w:r>
      <w:r w:rsidR="00247455">
        <w:t xml:space="preserve"> that</w:t>
      </w:r>
      <w:r w:rsidR="00AE172B">
        <w:t>, left to its own devices,</w:t>
      </w:r>
      <w:r w:rsidR="00247455">
        <w:t xml:space="preserve"> </w:t>
      </w:r>
      <w:r w:rsidR="00F755A3">
        <w:t xml:space="preserve">might well be perceived as not being </w:t>
      </w:r>
      <w:r w:rsidR="00247455">
        <w:t>in its own interest.</w:t>
      </w:r>
      <w:r w:rsidR="00BD37AF">
        <w:t xml:space="preserve"> Neither Mr Terrier no</w:t>
      </w:r>
      <w:r w:rsidR="002F24F3">
        <w:t>r</w:t>
      </w:r>
      <w:r w:rsidR="00BD37AF">
        <w:t xml:space="preserve"> Mr Darke were “in the loop”</w:t>
      </w:r>
      <w:r w:rsidR="004C567B">
        <w:t xml:space="preserve"> when the SPA was entered into.</w:t>
      </w:r>
      <w:r w:rsidR="00EC0C61">
        <w:t xml:space="preserve"> Kesa was driven entirely by the desire for a clean break, whilst</w:t>
      </w:r>
      <w:r w:rsidR="009C63FA">
        <w:t xml:space="preserve"> meeting its objective of</w:t>
      </w:r>
      <w:r w:rsidR="00EC0C61">
        <w:t xml:space="preserve"> leaving Comet with a capital structure that </w:t>
      </w:r>
      <w:r w:rsidR="009C63FA">
        <w:t>could allow it to continue as a going concern.</w:t>
      </w:r>
      <w:r w:rsidR="00CB50C1">
        <w:t xml:space="preserve"> No separate interest of Comet was perceived to exist.</w:t>
      </w:r>
      <w:r w:rsidR="005C5458">
        <w:t xml:space="preserve"> Further, as far as the structure for repaying the KIL RCF was concerned, OpCapita’s and </w:t>
      </w:r>
      <w:r w:rsidR="008D49CF">
        <w:t>Kesa’s interests were aligned: see [</w:t>
      </w:r>
      <w:r w:rsidR="008D49CF">
        <w:fldChar w:fldCharType="begin"/>
      </w:r>
      <w:r w:rsidR="008D49CF">
        <w:instrText xml:space="preserve"> REF _Ref118208488 \r \h </w:instrText>
      </w:r>
      <w:r w:rsidR="008D49CF">
        <w:fldChar w:fldCharType="separate"/>
      </w:r>
      <w:r w:rsidR="00E762C8">
        <w:t>213</w:t>
      </w:r>
      <w:r w:rsidR="008D49CF">
        <w:fldChar w:fldCharType="end"/>
      </w:r>
      <w:r w:rsidR="008D49CF">
        <w:t>] above.</w:t>
      </w:r>
    </w:p>
    <w:p w14:paraId="6BD9744F" w14:textId="2C1DB59C" w:rsidR="00CE279B" w:rsidRDefault="00CB50C1" w:rsidP="005C2439">
      <w:pPr>
        <w:pStyle w:val="BodyText"/>
      </w:pPr>
      <w:bookmarkStart w:id="53" w:name="_Ref118383919"/>
      <w:r>
        <w:t>In the very particular circumstances of this case</w:t>
      </w:r>
      <w:r w:rsidR="008169C2">
        <w:t xml:space="preserve"> I consider that it would be too narrow an approach, and effectively a triumph of form over substance</w:t>
      </w:r>
      <w:r w:rsidR="007F231F">
        <w:t>,</w:t>
      </w:r>
      <w:r w:rsidR="00306311">
        <w:t xml:space="preserve"> to find that there was no decision by or on behalf of Comet</w:t>
      </w:r>
      <w:r w:rsidR="00C154BF">
        <w:t xml:space="preserve"> at the time that the SPA was entered into</w:t>
      </w:r>
      <w:r w:rsidR="009F40B3">
        <w:t xml:space="preserve"> because it was not formally a party to that document</w:t>
      </w:r>
      <w:r w:rsidR="00C154BF">
        <w:t xml:space="preserve">. </w:t>
      </w:r>
      <w:r w:rsidR="00C53049">
        <w:t xml:space="preserve">I am not satisfied on the </w:t>
      </w:r>
      <w:r w:rsidR="00FD4780">
        <w:t xml:space="preserve">evidence </w:t>
      </w:r>
      <w:r w:rsidR="00C53049">
        <w:t xml:space="preserve">that Mr Enoch was acting solely in </w:t>
      </w:r>
      <w:r w:rsidR="003F7746">
        <w:t>his role as Kesa’s General Counsel and not</w:t>
      </w:r>
      <w:r w:rsidR="00E63381">
        <w:t xml:space="preserve"> on behalf of Comet. </w:t>
      </w:r>
      <w:r w:rsidR="00C154BF">
        <w:t>Mr Enoch was a director of Comet</w:t>
      </w:r>
      <w:r w:rsidR="00E56741">
        <w:t>, as well as its</w:t>
      </w:r>
      <w:r w:rsidR="006F0DD8">
        <w:t xml:space="preserve"> effective</w:t>
      </w:r>
      <w:r w:rsidR="00E56741">
        <w:t xml:space="preserve"> </w:t>
      </w:r>
      <w:r w:rsidR="006F0DD8">
        <w:t xml:space="preserve">General Counsel at </w:t>
      </w:r>
      <w:r w:rsidR="00A15603">
        <w:t>B</w:t>
      </w:r>
      <w:r w:rsidR="006F0DD8">
        <w:t>oard level (see [</w:t>
      </w:r>
      <w:r w:rsidR="006F313B">
        <w:fldChar w:fldCharType="begin"/>
      </w:r>
      <w:r w:rsidR="006F313B">
        <w:instrText xml:space="preserve"> REF _Ref118127719 \r \h </w:instrText>
      </w:r>
      <w:r w:rsidR="006F313B">
        <w:fldChar w:fldCharType="separate"/>
      </w:r>
      <w:r w:rsidR="00E762C8">
        <w:t>67</w:t>
      </w:r>
      <w:r w:rsidR="006F313B">
        <w:fldChar w:fldCharType="end"/>
      </w:r>
      <w:r w:rsidR="006F0DD8">
        <w:t>] above)</w:t>
      </w:r>
      <w:r w:rsidR="00E56741">
        <w:t>,</w:t>
      </w:r>
      <w:r w:rsidR="004605D0">
        <w:t xml:space="preserve"> and </w:t>
      </w:r>
      <w:r w:rsidR="00EF23B1">
        <w:t xml:space="preserve">he </w:t>
      </w:r>
      <w:r w:rsidR="004605D0">
        <w:t xml:space="preserve">did not see a conflict between that role and his role as Kesa’s </w:t>
      </w:r>
      <w:r w:rsidR="00A310B7">
        <w:t>General Counsel</w:t>
      </w:r>
      <w:r w:rsidR="007F231F">
        <w:t xml:space="preserve">. </w:t>
      </w:r>
      <w:r w:rsidR="00023708">
        <w:t xml:space="preserve">He was acting in a Kesa “group” capacity, </w:t>
      </w:r>
      <w:r w:rsidR="000F0BB6">
        <w:t>a</w:t>
      </w:r>
      <w:r w:rsidR="00023708">
        <w:t xml:space="preserve"> group</w:t>
      </w:r>
      <w:r w:rsidR="000F0BB6">
        <w:t xml:space="preserve"> that</w:t>
      </w:r>
      <w:r w:rsidR="00023708">
        <w:t xml:space="preserve"> at that time includ</w:t>
      </w:r>
      <w:r w:rsidR="000F0BB6">
        <w:t>ed</w:t>
      </w:r>
      <w:r w:rsidR="00023708">
        <w:t xml:space="preserve"> Comet</w:t>
      </w:r>
      <w:r w:rsidR="00B45D7D">
        <w:t>,</w:t>
      </w:r>
      <w:r w:rsidR="00EF5B65">
        <w:t xml:space="preserve"> an entity</w:t>
      </w:r>
      <w:r w:rsidR="00B45D7D">
        <w:t xml:space="preserve"> in respect of which he saw no separate interest from that of the rest of the group. </w:t>
      </w:r>
      <w:r w:rsidR="007F231F">
        <w:t>The SPA</w:t>
      </w:r>
      <w:r w:rsidR="003B5E77">
        <w:t xml:space="preserve">, </w:t>
      </w:r>
      <w:r w:rsidR="0003282E">
        <w:t>which Mr Enoch had been heavily involved in negotiating</w:t>
      </w:r>
      <w:r w:rsidR="0004179A">
        <w:t>,</w:t>
      </w:r>
      <w:r w:rsidR="007F231F">
        <w:t xml:space="preserve"> was prescriptive about what Comet would be required to do and no provision was made to cover the possibility that it </w:t>
      </w:r>
      <w:r w:rsidR="00AD1E68">
        <w:t>would fail to take the actions contemplated.</w:t>
      </w:r>
      <w:bookmarkEnd w:id="53"/>
      <w:r w:rsidR="00947828">
        <w:t xml:space="preserve"> The contrast with the condition related to KEP shareholder consent, </w:t>
      </w:r>
      <w:r w:rsidR="0000260D">
        <w:t>with its caveat about directors’ fiduciary duties, is stark.</w:t>
      </w:r>
    </w:p>
    <w:p w14:paraId="18912B15" w14:textId="6FDDE185" w:rsidR="007126CF" w:rsidRDefault="008F0BD5" w:rsidP="006542BA">
      <w:pPr>
        <w:pStyle w:val="BodyText"/>
      </w:pPr>
      <w:bookmarkStart w:id="54" w:name="_Ref118286000"/>
      <w:r>
        <w:t>Mr Darke’s assessment was that</w:t>
      </w:r>
      <w:r w:rsidR="00777BA9">
        <w:t>, if</w:t>
      </w:r>
      <w:r w:rsidR="00080AE1">
        <w:t xml:space="preserve"> Comet’s </w:t>
      </w:r>
      <w:r w:rsidR="00D30150">
        <w:t>directors</w:t>
      </w:r>
      <w:r w:rsidR="00080AE1">
        <w:t xml:space="preserve"> had refused to take the actions required of </w:t>
      </w:r>
      <w:r w:rsidR="00426AFD">
        <w:t>them</w:t>
      </w:r>
      <w:r w:rsidR="00080AE1">
        <w:t xml:space="preserve"> to allow the Disposal to complete, </w:t>
      </w:r>
      <w:r w:rsidR="00BD043B">
        <w:t xml:space="preserve">Kesa </w:t>
      </w:r>
      <w:r w:rsidR="00B438D4">
        <w:t>would have replace</w:t>
      </w:r>
      <w:r w:rsidR="00A25EBF">
        <w:t>d</w:t>
      </w:r>
      <w:r w:rsidR="00B438D4">
        <w:t xml:space="preserve"> </w:t>
      </w:r>
      <w:r w:rsidR="00912E51">
        <w:t xml:space="preserve">them with more amenable </w:t>
      </w:r>
      <w:r w:rsidR="00B438D4">
        <w:t>directors</w:t>
      </w:r>
      <w:r w:rsidR="00912E51">
        <w:t xml:space="preserve">. He </w:t>
      </w:r>
      <w:r w:rsidR="005D675D">
        <w:t>was taken</w:t>
      </w:r>
      <w:r w:rsidR="00D30150">
        <w:t xml:space="preserve"> in cross-examination</w:t>
      </w:r>
      <w:r w:rsidR="005D675D">
        <w:t xml:space="preserve"> to a</w:t>
      </w:r>
      <w:r w:rsidR="00912E51">
        <w:t xml:space="preserve"> passage in Mr Walters’ witness statemen</w:t>
      </w:r>
      <w:r w:rsidR="00EB7F06">
        <w:t>t</w:t>
      </w:r>
      <w:r w:rsidR="00883244">
        <w:t xml:space="preserve"> </w:t>
      </w:r>
      <w:r w:rsidR="008B0C3A">
        <w:t>where Mr Walters reported</w:t>
      </w:r>
      <w:r w:rsidR="00883244">
        <w:t xml:space="preserve"> Mr Darke telling him</w:t>
      </w:r>
      <w:r w:rsidR="005A5CC9">
        <w:t xml:space="preserve"> at a later stage that the New Board had considered resigning as directors and had also considered</w:t>
      </w:r>
      <w:r w:rsidR="00F54268">
        <w:t xml:space="preserve"> what would happen </w:t>
      </w:r>
      <w:r w:rsidR="005D675D">
        <w:t xml:space="preserve">if they refused to sign the relevant completion </w:t>
      </w:r>
      <w:r w:rsidR="00F62B0A">
        <w:t>documents,</w:t>
      </w:r>
      <w:r w:rsidR="005D675D">
        <w:t xml:space="preserve"> </w:t>
      </w:r>
      <w:r w:rsidR="00F54268">
        <w:t>“</w:t>
      </w:r>
      <w:r w:rsidR="005D675D">
        <w:t>and their conclusion was that Kesa would have found other directors to replace them, and so the outcome would have been identical</w:t>
      </w:r>
      <w:r w:rsidR="00F62B0A">
        <w:t>”.</w:t>
      </w:r>
      <w:r w:rsidR="00E87902">
        <w:t xml:space="preserve"> Mr Darke could not</w:t>
      </w:r>
      <w:r w:rsidR="00772FE0">
        <w:t xml:space="preserve"> recall the </w:t>
      </w:r>
      <w:r w:rsidR="00E87902">
        <w:t>specific conversation but</w:t>
      </w:r>
      <w:r w:rsidR="00772FE0">
        <w:t xml:space="preserve"> confirmed that it was consistent with his evidence</w:t>
      </w:r>
      <w:r w:rsidR="000D09F2">
        <w:t>,</w:t>
      </w:r>
      <w:r w:rsidR="00772FE0">
        <w:t xml:space="preserve"> and he could fully believe that he might have said that to Mr Walters.</w:t>
      </w:r>
      <w:bookmarkEnd w:id="54"/>
      <w:r w:rsidR="004769AB">
        <w:t xml:space="preserve"> </w:t>
      </w:r>
      <w:r w:rsidR="006F2839">
        <w:t>He also said in his witness statement that</w:t>
      </w:r>
      <w:r w:rsidR="000B6868">
        <w:t xml:space="preserve">, following </w:t>
      </w:r>
      <w:r w:rsidR="00915C1E">
        <w:t xml:space="preserve">KEP </w:t>
      </w:r>
      <w:r w:rsidR="00BA3FE5">
        <w:t xml:space="preserve">shareholder </w:t>
      </w:r>
      <w:r w:rsidR="000B6868">
        <w:t xml:space="preserve">approval </w:t>
      </w:r>
      <w:r w:rsidR="00BA3FE5">
        <w:t>being obtained, a sale was inevitable.</w:t>
      </w:r>
    </w:p>
    <w:p w14:paraId="4870145D" w14:textId="7132CAE7" w:rsidR="00E76A3F" w:rsidRDefault="001E5DCA" w:rsidP="006542BA">
      <w:pPr>
        <w:pStyle w:val="BodyText"/>
      </w:pPr>
      <w:r>
        <w:t>I agree with Mr Darke’s assessment. By the time it got to 3 February 2012 the New Board’s hands were tied. It was theoretically open to them</w:t>
      </w:r>
      <w:r w:rsidR="004B3C0B">
        <w:t xml:space="preserve"> to refuse to pass the necessary </w:t>
      </w:r>
      <w:r w:rsidR="006278A5">
        <w:t xml:space="preserve">formal </w:t>
      </w:r>
      <w:r w:rsidR="004B3C0B">
        <w:t xml:space="preserve">resolutions, but in reality </w:t>
      </w:r>
      <w:r w:rsidR="006278A5">
        <w:t xml:space="preserve">it would have been </w:t>
      </w:r>
      <w:r w:rsidR="004B3C0B">
        <w:t>extremely difficult to do so</w:t>
      </w:r>
      <w:r w:rsidR="00B57BDF">
        <w:t>,</w:t>
      </w:r>
      <w:r w:rsidR="00F868BE">
        <w:t xml:space="preserve"> and they would have been sacked and replaced</w:t>
      </w:r>
      <w:r w:rsidR="004B3C0B">
        <w:t>.</w:t>
      </w:r>
      <w:r w:rsidR="008F67DA">
        <w:t xml:space="preserve"> Kesa</w:t>
      </w:r>
      <w:r w:rsidR="00A212FF">
        <w:t xml:space="preserve"> had concluded that it </w:t>
      </w:r>
      <w:r w:rsidR="00F16CDF">
        <w:t>was in its interests to</w:t>
      </w:r>
      <w:r w:rsidR="00A13133">
        <w:t xml:space="preserve"> cap its exposure to Comet by</w:t>
      </w:r>
      <w:r w:rsidR="00F16CDF">
        <w:t xml:space="preserve"> dispos</w:t>
      </w:r>
      <w:r w:rsidR="00A13133">
        <w:t>ing</w:t>
      </w:r>
      <w:r w:rsidR="00F16CDF">
        <w:t xml:space="preserve"> of </w:t>
      </w:r>
      <w:r w:rsidR="00A13133">
        <w:t xml:space="preserve">it on the terms that OpCapita was prepared to agree. </w:t>
      </w:r>
      <w:r w:rsidR="00B54425">
        <w:t xml:space="preserve">The alternatives it considered were </w:t>
      </w:r>
      <w:r w:rsidR="00640194">
        <w:t>much less attractive</w:t>
      </w:r>
      <w:r w:rsidR="00800A4E">
        <w:t xml:space="preserve"> to it</w:t>
      </w:r>
      <w:r w:rsidR="00640194">
        <w:t>, and considerably more expensive</w:t>
      </w:r>
      <w:r w:rsidR="00644325">
        <w:t>.</w:t>
      </w:r>
      <w:r w:rsidR="00DD7663">
        <w:t xml:space="preserve"> Rather than those </w:t>
      </w:r>
      <w:r w:rsidR="00E71669">
        <w:t xml:space="preserve">alternatives allowing the KIL </w:t>
      </w:r>
      <w:r w:rsidR="00A5609A">
        <w:t>RCF</w:t>
      </w:r>
      <w:r w:rsidR="00E71669">
        <w:t xml:space="preserve"> to be repaid, in reality they would</w:t>
      </w:r>
      <w:r w:rsidR="00D74F70">
        <w:t xml:space="preserve"> be likely</w:t>
      </w:r>
      <w:r w:rsidR="00E76A3F">
        <w:t xml:space="preserve"> to</w:t>
      </w:r>
      <w:r w:rsidR="00E71669">
        <w:t xml:space="preserve"> involve it being left </w:t>
      </w:r>
      <w:r w:rsidR="00A5609A">
        <w:t>outstanding and potentially substantially increased to allow other creditors to be repaid</w:t>
      </w:r>
      <w:r w:rsidR="00640194">
        <w:t xml:space="preserve">. </w:t>
      </w:r>
      <w:r w:rsidR="00343E7B">
        <w:t>If</w:t>
      </w:r>
      <w:r w:rsidR="00883759">
        <w:t xml:space="preserve"> anything KIL would be deferre</w:t>
      </w:r>
      <w:r w:rsidR="00A97613">
        <w:t>d, rather than preferred.</w:t>
      </w:r>
    </w:p>
    <w:p w14:paraId="6AA339DB" w14:textId="5663BE5D" w:rsidR="002508C0" w:rsidRDefault="00934447" w:rsidP="0047232C">
      <w:pPr>
        <w:pStyle w:val="BodyText"/>
      </w:pPr>
      <w:r>
        <w:t xml:space="preserve">By the stage the Disposal was due to complete </w:t>
      </w:r>
      <w:r w:rsidR="00DE46A9">
        <w:t>KEP</w:t>
      </w:r>
      <w:r>
        <w:t xml:space="preserve"> had, as </w:t>
      </w:r>
      <w:r w:rsidR="001B267F">
        <w:t>the SPA contemplated, undergone the very public process of seeking an</w:t>
      </w:r>
      <w:r>
        <w:t>d</w:t>
      </w:r>
      <w:r w:rsidR="001B267F">
        <w:t xml:space="preserve"> obtaining </w:t>
      </w:r>
      <w:r w:rsidR="00C44CC5">
        <w:t>shareholder approval to the Disposal.</w:t>
      </w:r>
      <w:r w:rsidR="006667B7">
        <w:t xml:space="preserve"> Whil</w:t>
      </w:r>
      <w:r w:rsidR="00D774C6">
        <w:t>e</w:t>
      </w:r>
      <w:r w:rsidR="006667B7">
        <w:t xml:space="preserve"> the carefully </w:t>
      </w:r>
      <w:r w:rsidR="0041281F">
        <w:t>choreographed</w:t>
      </w:r>
      <w:r w:rsidR="006667B7">
        <w:t xml:space="preserve"> documentation </w:t>
      </w:r>
      <w:r w:rsidR="0041281F">
        <w:t xml:space="preserve">appears to leave it to the New Board – unusually appointed immediately before rather than at completion – to take </w:t>
      </w:r>
      <w:r w:rsidR="009A3192">
        <w:t xml:space="preserve">the necessary decisions on behalf of Comet, </w:t>
      </w:r>
      <w:r w:rsidR="00DD5DB3">
        <w:t xml:space="preserve">so distancing the process from Kesa, </w:t>
      </w:r>
      <w:r w:rsidR="009A3192">
        <w:t xml:space="preserve">the real decisions were taken much earlier. The New Board were </w:t>
      </w:r>
      <w:r w:rsidR="00AB3B9B">
        <w:t>expected</w:t>
      </w:r>
      <w:r w:rsidR="009A3192">
        <w:t xml:space="preserve"> to play ball or be sacked</w:t>
      </w:r>
      <w:r w:rsidR="00947536">
        <w:t xml:space="preserve"> and replaced by people who would.</w:t>
      </w:r>
    </w:p>
    <w:p w14:paraId="68E9BAC8" w14:textId="79854372" w:rsidR="00DD394D" w:rsidRDefault="00C67601" w:rsidP="006542BA">
      <w:pPr>
        <w:pStyle w:val="BodyText"/>
      </w:pPr>
      <w:r>
        <w:t>In these circumstances Mr Goldring’s role was a difficult one</w:t>
      </w:r>
      <w:r w:rsidR="00430292">
        <w:t>, essentially of damage limitation</w:t>
      </w:r>
      <w:r w:rsidR="005E2CED">
        <w:t>, focusing on the directors’ exposure to a breach of duty claim</w:t>
      </w:r>
      <w:r w:rsidR="00430292">
        <w:t xml:space="preserve">. </w:t>
      </w:r>
      <w:r w:rsidR="00F512CA">
        <w:t xml:space="preserve">Comet and its </w:t>
      </w:r>
      <w:r w:rsidR="00A15603">
        <w:t>B</w:t>
      </w:r>
      <w:r w:rsidR="00F512CA">
        <w:t>oard had previously received no external legal advice about the Disposal.</w:t>
      </w:r>
      <w:r w:rsidR="0022160B">
        <w:t xml:space="preserve"> Comet’s own internal legal adviser, Mr Annett, </w:t>
      </w:r>
      <w:r w:rsidR="004F46F9">
        <w:t xml:space="preserve">had </w:t>
      </w:r>
      <w:r w:rsidR="003C685B">
        <w:t>no real involvement in the process (see [</w:t>
      </w:r>
      <w:r w:rsidR="003C685B">
        <w:fldChar w:fldCharType="begin"/>
      </w:r>
      <w:r w:rsidR="003C685B">
        <w:instrText xml:space="preserve"> REF _Ref118127719 \r \h </w:instrText>
      </w:r>
      <w:r w:rsidR="003C685B">
        <w:fldChar w:fldCharType="separate"/>
      </w:r>
      <w:r w:rsidR="00E762C8">
        <w:t>67</w:t>
      </w:r>
      <w:r w:rsidR="003C685B">
        <w:fldChar w:fldCharType="end"/>
      </w:r>
      <w:r w:rsidR="003C685B">
        <w:t>] above)</w:t>
      </w:r>
      <w:r w:rsidR="00BB0832">
        <w:t xml:space="preserve">. Mr Enoch was focused on Kesa’s objectives, </w:t>
      </w:r>
      <w:r w:rsidR="00DD394D">
        <w:t xml:space="preserve">and </w:t>
      </w:r>
      <w:r w:rsidR="00DF5E55">
        <w:t>had seen no</w:t>
      </w:r>
      <w:r w:rsidR="00BB0832">
        <w:t xml:space="preserve"> conflict</w:t>
      </w:r>
      <w:r w:rsidR="00DD394D">
        <w:t>.</w:t>
      </w:r>
      <w:r w:rsidR="00F512CA">
        <w:t xml:space="preserve"> </w:t>
      </w:r>
      <w:r w:rsidR="00DD394D">
        <w:t>Slaughter and May and Macfarlanes were obviously looking after the interests of their clients, Kesa and OpCapita respectively</w:t>
      </w:r>
      <w:r w:rsidR="000B150E">
        <w:t>, and not those of Comet</w:t>
      </w:r>
      <w:r w:rsidR="00DD394D">
        <w:t>.</w:t>
      </w:r>
    </w:p>
    <w:p w14:paraId="7EBA3C28" w14:textId="18F92898" w:rsidR="00C67601" w:rsidRDefault="002D034B" w:rsidP="006542BA">
      <w:pPr>
        <w:pStyle w:val="BodyText"/>
      </w:pPr>
      <w:bookmarkStart w:id="55" w:name="_Ref118286034"/>
      <w:r>
        <w:t>Mr Goldring</w:t>
      </w:r>
      <w:r w:rsidR="00430292">
        <w:t xml:space="preserve"> was presented with a large amount of docume</w:t>
      </w:r>
      <w:r w:rsidR="00051E29">
        <w:t xml:space="preserve">ntation, effectively at the last minute and generally on the basis that it was already agreed and could not be altered. </w:t>
      </w:r>
      <w:r w:rsidR="00EE7522">
        <w:t>He (fairly) go</w:t>
      </w:r>
      <w:r w:rsidR="00A731A2">
        <w:t>t</w:t>
      </w:r>
      <w:r w:rsidR="00EE7522">
        <w:t xml:space="preserve"> the impression </w:t>
      </w:r>
      <w:r w:rsidR="00EA72FC">
        <w:t xml:space="preserve">that </w:t>
      </w:r>
      <w:r w:rsidR="00A731A2">
        <w:t xml:space="preserve">Comet was </w:t>
      </w:r>
      <w:r w:rsidR="00C053B9">
        <w:t>being expected simply to comply with the wishes of other transaction parties rather than give its own input on the documents.</w:t>
      </w:r>
      <w:r w:rsidR="00EA72FC">
        <w:t xml:space="preserve"> </w:t>
      </w:r>
      <w:r w:rsidR="00051E29">
        <w:t xml:space="preserve">Although </w:t>
      </w:r>
      <w:r w:rsidR="00C053B9">
        <w:t>Mr Goldring</w:t>
      </w:r>
      <w:r w:rsidR="00051E29">
        <w:t xml:space="preserve"> was allowed to </w:t>
      </w:r>
      <w:r w:rsidR="00C93F0E">
        <w:t>propose changes to the</w:t>
      </w:r>
      <w:r w:rsidR="006814AD">
        <w:t xml:space="preserve"> draft</w:t>
      </w:r>
      <w:r w:rsidR="00C93F0E">
        <w:t xml:space="preserve"> </w:t>
      </w:r>
      <w:r w:rsidR="007953EF">
        <w:t>Completion Minutes</w:t>
      </w:r>
      <w:r w:rsidR="006814AD">
        <w:t>, he only saw them</w:t>
      </w:r>
      <w:r w:rsidR="000F2F19">
        <w:t xml:space="preserve"> at a relatively late point,</w:t>
      </w:r>
      <w:r w:rsidR="006814AD">
        <w:t xml:space="preserve"> after they had been agreed between Macfarlanes, Slaughter and May and </w:t>
      </w:r>
      <w:r w:rsidR="009C05A9" w:rsidRPr="009C05A9">
        <w:t>Bingham McCutchen</w:t>
      </w:r>
      <w:r w:rsidR="006908DA">
        <w:t xml:space="preserve">, who were acting for the </w:t>
      </w:r>
      <w:r w:rsidR="009C05A9">
        <w:t>I</w:t>
      </w:r>
      <w:r w:rsidR="006908DA">
        <w:t>nvestors</w:t>
      </w:r>
      <w:r w:rsidR="009E122A">
        <w:t>.</w:t>
      </w:r>
      <w:r w:rsidR="006814AD">
        <w:t xml:space="preserve"> </w:t>
      </w:r>
      <w:r w:rsidR="009E122A">
        <w:t>H</w:t>
      </w:r>
      <w:r w:rsidR="00C93F0E">
        <w:t xml:space="preserve">is proposed changes were scrutinised </w:t>
      </w:r>
      <w:r w:rsidR="00C93F0E" w:rsidRPr="007D3B01">
        <w:t>and not all</w:t>
      </w:r>
      <w:r w:rsidR="005F6654" w:rsidRPr="007D3B01">
        <w:t xml:space="preserve"> of them were</w:t>
      </w:r>
      <w:r w:rsidR="00C93F0E" w:rsidRPr="007D3B01">
        <w:t xml:space="preserve"> accepted</w:t>
      </w:r>
      <w:r w:rsidR="00C93F0E">
        <w:t>.</w:t>
      </w:r>
      <w:bookmarkEnd w:id="55"/>
      <w:r w:rsidR="00430292">
        <w:t xml:space="preserve"> </w:t>
      </w:r>
    </w:p>
    <w:p w14:paraId="6F44DB9A" w14:textId="77777777" w:rsidR="00FC5A6C" w:rsidRDefault="00FC5A6C" w:rsidP="00FC5A6C">
      <w:pPr>
        <w:pStyle w:val="BodyText"/>
      </w:pPr>
      <w:r>
        <w:t>Mr Smith submitted that there was no evidence to support the proposition that a decision had been made by Mr Enoch on behalf of Comet at the time the SPA was signed. He submitted that Mr Enoch was only a non-executive director of Comet. However, the majority of Comet’s Board was content to leave the details to him, and Mr Darke was positively excluded. To the extent that the “non-executive” label is relevant at all (which I am doubtful about), I do not agree that Mr Enoch should be characterised as such. Mr Enoch was acting very much in an executive capacity, as the group’s General Counsel. His job was to get the deal done.</w:t>
      </w:r>
    </w:p>
    <w:p w14:paraId="29972131" w14:textId="5B101C0A" w:rsidR="00FC5A6C" w:rsidRDefault="00FC5A6C" w:rsidP="00FC5A6C">
      <w:pPr>
        <w:pStyle w:val="BodyText"/>
      </w:pPr>
      <w:r>
        <w:t>It is true that it was not specifically put to Mr Enoch that he was acting for Comet on 9 November 2011, when the SPA was signed. I am prepared to assume that, if asked, he would have sought to deny it, reflecting the fact that he signed the document on behalf of KHL and KEP and not on behalf of Comet. However, in my view that does not make a difference to the result. I accord more weight to my assessment of the contemporaneous documents</w:t>
      </w:r>
      <w:r w:rsidR="00984470">
        <w:t xml:space="preserve"> (in particular, the terms of the SPA</w:t>
      </w:r>
      <w:r w:rsidR="00F3551D">
        <w:t>: see [</w:t>
      </w:r>
      <w:r w:rsidR="00F3551D">
        <w:fldChar w:fldCharType="begin"/>
      </w:r>
      <w:r w:rsidR="00F3551D">
        <w:instrText xml:space="preserve"> REF _Ref119060923 \r \h </w:instrText>
      </w:r>
      <w:r w:rsidR="00F3551D">
        <w:fldChar w:fldCharType="separate"/>
      </w:r>
      <w:r w:rsidR="00F3551D">
        <w:t>239</w:t>
      </w:r>
      <w:r w:rsidR="00F3551D">
        <w:fldChar w:fldCharType="end"/>
      </w:r>
      <w:r w:rsidR="00F3551D">
        <w:t>] to [</w:t>
      </w:r>
      <w:r w:rsidR="00CB4863">
        <w:fldChar w:fldCharType="begin"/>
      </w:r>
      <w:r w:rsidR="00CB4863">
        <w:instrText xml:space="preserve"> REF _Ref119060943 \r \h </w:instrText>
      </w:r>
      <w:r w:rsidR="00CB4863">
        <w:fldChar w:fldCharType="separate"/>
      </w:r>
      <w:r w:rsidR="00CB4863">
        <w:t>241</w:t>
      </w:r>
      <w:r w:rsidR="00CB4863">
        <w:fldChar w:fldCharType="end"/>
      </w:r>
      <w:r w:rsidR="00F3551D">
        <w:t>] above)</w:t>
      </w:r>
      <w:r>
        <w:t xml:space="preserve"> and the commercial realities at the time</w:t>
      </w:r>
      <w:r w:rsidR="0092293D">
        <w:t>, to</w:t>
      </w:r>
      <w:r w:rsidR="00141F24">
        <w:t xml:space="preserve">gether with Mr Enoch’s </w:t>
      </w:r>
      <w:r w:rsidR="00DE742D">
        <w:t xml:space="preserve">group-wide role and his </w:t>
      </w:r>
      <w:r w:rsidR="00141F24">
        <w:t>failure to identify any difference of interest between Kesa and Comet</w:t>
      </w:r>
      <w:r>
        <w:t>.</w:t>
      </w:r>
    </w:p>
    <w:p w14:paraId="34550224" w14:textId="3206830F" w:rsidR="008E7473" w:rsidRDefault="008E7473" w:rsidP="006542BA">
      <w:pPr>
        <w:pStyle w:val="BodyText"/>
      </w:pPr>
      <w:r>
        <w:t xml:space="preserve">Finally on this </w:t>
      </w:r>
      <w:r w:rsidR="00F9671A">
        <w:t>topic</w:t>
      </w:r>
      <w:r>
        <w:t xml:space="preserve">, I need </w:t>
      </w:r>
      <w:r w:rsidR="008754D3">
        <w:t>to address Mr Smith’s submission that the Liquidator ha</w:t>
      </w:r>
      <w:r w:rsidR="003256EB">
        <w:t>s</w:t>
      </w:r>
      <w:r w:rsidR="008754D3">
        <w:t xml:space="preserve"> not plea</w:t>
      </w:r>
      <w:r w:rsidR="000F2FFE">
        <w:t>d</w:t>
      </w:r>
      <w:r w:rsidR="008754D3">
        <w:t xml:space="preserve">ed </w:t>
      </w:r>
      <w:r w:rsidR="00F9671A">
        <w:t xml:space="preserve">that </w:t>
      </w:r>
      <w:r w:rsidR="00F9671A" w:rsidRPr="002628B6">
        <w:rPr>
          <w:u w:val="single"/>
        </w:rPr>
        <w:t>Comet</w:t>
      </w:r>
      <w:r w:rsidR="00F9671A">
        <w:t xml:space="preserve"> had a desire to put</w:t>
      </w:r>
      <w:r w:rsidR="002628B6">
        <w:t xml:space="preserve"> KIL in a better position. Rather, the amended </w:t>
      </w:r>
      <w:r w:rsidR="006777F2">
        <w:t xml:space="preserve">reply </w:t>
      </w:r>
      <w:r w:rsidR="00741365">
        <w:t xml:space="preserve">pleaded that </w:t>
      </w:r>
      <w:r w:rsidR="006777F2" w:rsidRPr="0020003D">
        <w:rPr>
          <w:u w:val="single"/>
        </w:rPr>
        <w:t>Mr Enoch</w:t>
      </w:r>
      <w:r w:rsidR="0020003D" w:rsidRPr="0020003D">
        <w:rPr>
          <w:u w:val="single"/>
        </w:rPr>
        <w:t>’s</w:t>
      </w:r>
      <w:r w:rsidR="0020003D">
        <w:t xml:space="preserve"> (or</w:t>
      </w:r>
      <w:r w:rsidR="006777F2" w:rsidRPr="006777F2">
        <w:t xml:space="preserve"> </w:t>
      </w:r>
      <w:r w:rsidR="0020003D">
        <w:t xml:space="preserve">Kesa’s) desire </w:t>
      </w:r>
      <w:r w:rsidR="006777F2" w:rsidRPr="006777F2">
        <w:t>to achieve a better outcome influenced Comet’s decision</w:t>
      </w:r>
      <w:r w:rsidR="005930E1">
        <w:t>.</w:t>
      </w:r>
    </w:p>
    <w:p w14:paraId="3EDE9697" w14:textId="7FAC20B2" w:rsidR="003A41E5" w:rsidRDefault="003A41E5" w:rsidP="006542BA">
      <w:pPr>
        <w:pStyle w:val="BodyText"/>
      </w:pPr>
      <w:r>
        <w:t xml:space="preserve">I do not agree that this is problematic. </w:t>
      </w:r>
      <w:r w:rsidR="00FA4D58">
        <w:t xml:space="preserve">I have concluded that </w:t>
      </w:r>
      <w:r w:rsidR="00E814A4">
        <w:t xml:space="preserve">Mr Enoch </w:t>
      </w:r>
      <w:r w:rsidR="00590CCC">
        <w:t xml:space="preserve">and others at </w:t>
      </w:r>
      <w:r w:rsidR="00FA4D58">
        <w:t>Kesa</w:t>
      </w:r>
      <w:r w:rsidR="00BD08AD">
        <w:t xml:space="preserve"> </w:t>
      </w:r>
      <w:r w:rsidR="00673FA1">
        <w:t>(see [</w:t>
      </w:r>
      <w:r w:rsidR="00673FA1">
        <w:fldChar w:fldCharType="begin"/>
      </w:r>
      <w:r w:rsidR="00673FA1">
        <w:instrText xml:space="preserve"> REF _Ref118380777 \r \h </w:instrText>
      </w:r>
      <w:r w:rsidR="00673FA1">
        <w:fldChar w:fldCharType="separate"/>
      </w:r>
      <w:r w:rsidR="00E762C8">
        <w:t>202</w:t>
      </w:r>
      <w:r w:rsidR="00673FA1">
        <w:fldChar w:fldCharType="end"/>
      </w:r>
      <w:r w:rsidR="00673FA1">
        <w:t>] above)</w:t>
      </w:r>
      <w:r w:rsidR="00590CCC">
        <w:t xml:space="preserve"> had the requisite desire</w:t>
      </w:r>
      <w:r w:rsidR="00512175">
        <w:t>. Mr Enoch was a director of</w:t>
      </w:r>
      <w:r w:rsidR="000077FD">
        <w:t xml:space="preserve"> </w:t>
      </w:r>
      <w:r w:rsidR="00512175">
        <w:t xml:space="preserve">Comet and </w:t>
      </w:r>
      <w:r w:rsidR="00AE2A39">
        <w:t>was its</w:t>
      </w:r>
      <w:r w:rsidR="00A15350">
        <w:t xml:space="preserve"> effective</w:t>
      </w:r>
      <w:r w:rsidR="00AE2A39">
        <w:t xml:space="preserve"> General Counsel</w:t>
      </w:r>
      <w:r w:rsidR="00A15350">
        <w:t xml:space="preserve"> at Board level</w:t>
      </w:r>
      <w:r w:rsidR="000233CA">
        <w:t>.</w:t>
      </w:r>
      <w:r w:rsidR="007276B2">
        <w:t xml:space="preserve"> Other members of the Comet Board were either content f</w:t>
      </w:r>
      <w:r w:rsidR="00800DEB">
        <w:t>or</w:t>
      </w:r>
      <w:r w:rsidR="007276B2">
        <w:t xml:space="preserve"> Mr Enoch to </w:t>
      </w:r>
      <w:r w:rsidR="00800DEB">
        <w:t>proceed as he did, or were effectively excluded from the process.</w:t>
      </w:r>
      <w:r w:rsidR="004A3888">
        <w:t xml:space="preserve"> That desire influenced</w:t>
      </w:r>
      <w:r w:rsidR="001E282A">
        <w:t xml:space="preserve"> a decision which I have concluded was taken by Mr Enoch on behalf of Comet</w:t>
      </w:r>
      <w:r w:rsidR="00C644C4">
        <w:t>: see [</w:t>
      </w:r>
      <w:r w:rsidR="00736627">
        <w:fldChar w:fldCharType="begin"/>
      </w:r>
      <w:r w:rsidR="00736627">
        <w:instrText xml:space="preserve"> REF _Ref118383919 \r \h </w:instrText>
      </w:r>
      <w:r w:rsidR="00736627">
        <w:fldChar w:fldCharType="separate"/>
      </w:r>
      <w:r w:rsidR="00E762C8">
        <w:t>245</w:t>
      </w:r>
      <w:r w:rsidR="00736627">
        <w:fldChar w:fldCharType="end"/>
      </w:r>
      <w:r w:rsidR="00C644C4">
        <w:t>] above.</w:t>
      </w:r>
      <w:r w:rsidR="00456710">
        <w:t xml:space="preserve"> In the words </w:t>
      </w:r>
      <w:r w:rsidR="00B830CB">
        <w:t xml:space="preserve">of Millett J in </w:t>
      </w:r>
      <w:r w:rsidR="00B830CB" w:rsidRPr="00B962DE">
        <w:rPr>
          <w:i/>
          <w:iCs/>
        </w:rPr>
        <w:t>Re MC Bacon</w:t>
      </w:r>
      <w:r w:rsidR="00B830CB">
        <w:t xml:space="preserve">, it was </w:t>
      </w:r>
      <w:r w:rsidR="00B962DE">
        <w:t xml:space="preserve">one of the factors operating on the </w:t>
      </w:r>
      <w:r w:rsidR="002A6551">
        <w:t xml:space="preserve">mind </w:t>
      </w:r>
      <w:r w:rsidR="00B962DE">
        <w:t>of the decision maker.</w:t>
      </w:r>
    </w:p>
    <w:p w14:paraId="27BAD459" w14:textId="6BB46D33" w:rsidR="00C21F13" w:rsidRDefault="00C21F13" w:rsidP="006542BA">
      <w:pPr>
        <w:pStyle w:val="BodyText"/>
      </w:pPr>
      <w:r>
        <w:t xml:space="preserve">Related to this, Mr Smith </w:t>
      </w:r>
      <w:r w:rsidR="00DD6A55">
        <w:t>submitted that the presumption in s.239(6)</w:t>
      </w:r>
      <w:r w:rsidR="00A135F2">
        <w:t xml:space="preserve"> did not assist the Liquidator </w:t>
      </w:r>
      <w:r w:rsidR="003067F3">
        <w:t xml:space="preserve">because it is framed </w:t>
      </w:r>
      <w:r w:rsidR="00AF6CDD">
        <w:t>as a presumption that the provider of the preference (Comet)</w:t>
      </w:r>
      <w:r w:rsidR="00CC3CD1">
        <w:t xml:space="preserve"> was influenced by a desire to prefer, rather than anyone else being so influenced. </w:t>
      </w:r>
      <w:r w:rsidR="00344B6E">
        <w:t xml:space="preserve">I am not convinced that this case turns on the presumption, but </w:t>
      </w:r>
      <w:r w:rsidR="006446DF">
        <w:t>m</w:t>
      </w:r>
      <w:r w:rsidR="00582B39">
        <w:t xml:space="preserve">y response is </w:t>
      </w:r>
      <w:r w:rsidR="00E77AF8">
        <w:t>similar</w:t>
      </w:r>
      <w:r w:rsidR="00582B39">
        <w:t>.</w:t>
      </w:r>
      <w:r w:rsidR="00BC5DA5">
        <w:t xml:space="preserve"> I have concluded that a decision was taken on behalf of</w:t>
      </w:r>
      <w:r w:rsidR="00F602F7">
        <w:t xml:space="preserve"> Comet</w:t>
      </w:r>
      <w:r w:rsidR="006E5BF8">
        <w:t>. The presumption must be capable of applying</w:t>
      </w:r>
      <w:r w:rsidR="00AE36FE">
        <w:t xml:space="preserve"> to the thought processes of the individual or individuals who in fact took that decision</w:t>
      </w:r>
      <w:r w:rsidR="005E169D">
        <w:t>.</w:t>
      </w:r>
    </w:p>
    <w:p w14:paraId="7C33441F" w14:textId="2135F300" w:rsidR="00DA466B" w:rsidRDefault="0069789D" w:rsidP="0069789D">
      <w:pPr>
        <w:pStyle w:val="Heading2"/>
      </w:pPr>
      <w:r>
        <w:t>The resolutions passed by the New Board on 3 February</w:t>
      </w:r>
    </w:p>
    <w:p w14:paraId="5A29014B" w14:textId="0F9DA6F5" w:rsidR="00C77EEF" w:rsidRDefault="00C77EEF" w:rsidP="00A97613">
      <w:pPr>
        <w:pStyle w:val="BodyText"/>
      </w:pPr>
      <w:bookmarkStart w:id="56" w:name="_Ref118204511"/>
      <w:r>
        <w:t xml:space="preserve">The conclusion that a decision was taken on behalf of Comet at the time that the SPA was entered into does </w:t>
      </w:r>
      <w:r w:rsidR="00337E8B">
        <w:t xml:space="preserve">not dispose of the issue of desire to prefer in the Liquidator’s favour. </w:t>
      </w:r>
      <w:r w:rsidR="00564C8D">
        <w:t>It is undeniable that, at least formally, the New Board itself took decisions on 3 February 2012</w:t>
      </w:r>
      <w:r w:rsidR="00C827D8">
        <w:t xml:space="preserve">. Further, it is clear </w:t>
      </w:r>
      <w:r w:rsidR="009A064B">
        <w:t xml:space="preserve">that members of the New Board, and their adviser Mr Goldring, believed that </w:t>
      </w:r>
      <w:r w:rsidR="001E00EC">
        <w:t>they had a decision to make, albeit</w:t>
      </w:r>
      <w:r w:rsidR="00FF7209">
        <w:t xml:space="preserve"> that</w:t>
      </w:r>
      <w:r w:rsidR="001E00EC">
        <w:t xml:space="preserve"> in reality it was a binary decision as to whether to </w:t>
      </w:r>
      <w:r w:rsidR="00D61CFE">
        <w:t xml:space="preserve">go ahead and </w:t>
      </w:r>
      <w:r w:rsidR="001E00EC">
        <w:t>approve the propos</w:t>
      </w:r>
      <w:r w:rsidR="00D73DE9">
        <w:t>ed transaction as a whole</w:t>
      </w:r>
      <w:r w:rsidR="001E00EC">
        <w:t xml:space="preserve"> or refuse to do so</w:t>
      </w:r>
      <w:r w:rsidR="0066457B">
        <w:t>. As Mr Darke explained</w:t>
      </w:r>
      <w:r w:rsidR="008D0E83">
        <w:t>:</w:t>
      </w:r>
      <w:bookmarkEnd w:id="56"/>
    </w:p>
    <w:p w14:paraId="2E1ABC87" w14:textId="4C5BD660" w:rsidR="008D0E83" w:rsidRDefault="008D0E83" w:rsidP="008D0E83">
      <w:pPr>
        <w:pStyle w:val="Citations"/>
      </w:pPr>
      <w:r>
        <w:t>“The repayment</w:t>
      </w:r>
      <w:r w:rsidR="008B4DAD">
        <w:t xml:space="preserve"> of the loan to K</w:t>
      </w:r>
      <w:r w:rsidR="00961A9C">
        <w:t xml:space="preserve">IL </w:t>
      </w:r>
      <w:r w:rsidR="008B4DAD">
        <w:t>was wrapped up in the deal and we were not in a position to unpick it.”</w:t>
      </w:r>
    </w:p>
    <w:p w14:paraId="77E7CB0B" w14:textId="0AC2B668" w:rsidR="00812027" w:rsidRDefault="00E57DFE" w:rsidP="00A97613">
      <w:pPr>
        <w:pStyle w:val="BodyText"/>
      </w:pPr>
      <w:r>
        <w:t xml:space="preserve">The </w:t>
      </w:r>
      <w:r w:rsidR="00FF527B">
        <w:t xml:space="preserve">most </w:t>
      </w:r>
      <w:r>
        <w:t xml:space="preserve">relevant passage of the </w:t>
      </w:r>
      <w:r w:rsidR="005306ED">
        <w:t>Completion</w:t>
      </w:r>
      <w:r>
        <w:t xml:space="preserve"> </w:t>
      </w:r>
      <w:r w:rsidR="005306ED">
        <w:t>M</w:t>
      </w:r>
      <w:r>
        <w:t>inutes runs from sections 16 to 21.</w:t>
      </w:r>
      <w:r w:rsidR="00FF527B">
        <w:t xml:space="preserve"> Most of section 16</w:t>
      </w:r>
      <w:r w:rsidR="00B66522">
        <w:t>,</w:t>
      </w:r>
      <w:r w:rsidR="00FF527B">
        <w:t xml:space="preserve"> which considers solvency</w:t>
      </w:r>
      <w:r w:rsidR="00DD6C3D">
        <w:t>,</w:t>
      </w:r>
      <w:r w:rsidR="00FF527B">
        <w:t xml:space="preserve"> has already been set out</w:t>
      </w:r>
      <w:r w:rsidR="00DD6C3D">
        <w:t xml:space="preserve"> (see [</w:t>
      </w:r>
      <w:r w:rsidR="00B66522">
        <w:fldChar w:fldCharType="begin"/>
      </w:r>
      <w:r w:rsidR="00B66522">
        <w:instrText xml:space="preserve"> REF _Ref118192058 \r \h </w:instrText>
      </w:r>
      <w:r w:rsidR="00B66522">
        <w:fldChar w:fldCharType="separate"/>
      </w:r>
      <w:r w:rsidR="00E762C8">
        <w:t>133</w:t>
      </w:r>
      <w:r w:rsidR="00B66522">
        <w:fldChar w:fldCharType="end"/>
      </w:r>
      <w:r w:rsidR="00DD6C3D">
        <w:t>] above)</w:t>
      </w:r>
      <w:r w:rsidR="00D816EA">
        <w:t xml:space="preserve">. </w:t>
      </w:r>
      <w:r w:rsidR="00DB37C5">
        <w:t xml:space="preserve">Section 17 </w:t>
      </w:r>
      <w:r w:rsidR="00DD307C">
        <w:t>records the New Board’s consideration of the terms of the fin</w:t>
      </w:r>
      <w:r w:rsidR="006F2A19">
        <w:t>ance documents, noting among other things</w:t>
      </w:r>
      <w:r w:rsidR="007E6EFD">
        <w:t xml:space="preserve"> the weekly cash sweep, “widely drawn” events of de</w:t>
      </w:r>
      <w:r w:rsidR="007437F1">
        <w:t>fault and</w:t>
      </w:r>
      <w:r w:rsidR="00B028D8">
        <w:t xml:space="preserve"> that attempts to improve certain of the terms</w:t>
      </w:r>
      <w:r w:rsidR="007E6EFD">
        <w:t xml:space="preserve"> had not been fully successful</w:t>
      </w:r>
      <w:r w:rsidR="005D4612">
        <w:t>. It goes on to record consideration of a cash flow forecast which showed that Comet</w:t>
      </w:r>
      <w:r w:rsidR="00291191">
        <w:t xml:space="preserve"> was “likely to run out of cash within a few weeks” if drawdown requests were not permitted,</w:t>
      </w:r>
      <w:r w:rsidR="005F7339">
        <w:t xml:space="preserve"> </w:t>
      </w:r>
      <w:r w:rsidR="00AA09A5">
        <w:t xml:space="preserve">noting </w:t>
      </w:r>
      <w:r w:rsidR="005F7339">
        <w:t>that no written commitment to permit drawdowns had been provided</w:t>
      </w:r>
      <w:r w:rsidR="000A0DE7">
        <w:t>,</w:t>
      </w:r>
      <w:r w:rsidR="009953A9">
        <w:t xml:space="preserve"> that the proposed transactions would not result in Comet being immediately unable to pay its debts within s.123 IA 1986, but </w:t>
      </w:r>
      <w:r w:rsidR="00767708">
        <w:t xml:space="preserve">that </w:t>
      </w:r>
      <w:r w:rsidR="000A0DE7">
        <w:t>C</w:t>
      </w:r>
      <w:r w:rsidR="00767708">
        <w:t>omet would “inevitably run out of cash in the foreseeable future” without additional funding</w:t>
      </w:r>
      <w:r w:rsidR="00AA09A5">
        <w:t>.</w:t>
      </w:r>
      <w:r w:rsidR="00860E45">
        <w:t xml:space="preserve"> </w:t>
      </w:r>
    </w:p>
    <w:p w14:paraId="74A26A03" w14:textId="2435C35E" w:rsidR="001E00EC" w:rsidRDefault="00860E45" w:rsidP="00A97613">
      <w:pPr>
        <w:pStyle w:val="BodyText"/>
      </w:pPr>
      <w:r>
        <w:t>Section 18 records</w:t>
      </w:r>
      <w:r w:rsidR="008B1D08">
        <w:t xml:space="preserve"> the New Board’s approval of the proposed transactions and documents</w:t>
      </w:r>
      <w:r w:rsidR="007A761B">
        <w:t xml:space="preserve"> as being for the commercial benefit of Comet and most likely to promote its success “for the benefit of its members and creditors as a whole</w:t>
      </w:r>
      <w:r w:rsidR="002426D6">
        <w:t>”. Section 19 deals with the mechanics of repaying the</w:t>
      </w:r>
      <w:r w:rsidR="00346409">
        <w:t xml:space="preserve"> KIL</w:t>
      </w:r>
      <w:r w:rsidR="002426D6">
        <w:t xml:space="preserve"> RCF</w:t>
      </w:r>
      <w:r w:rsidR="000E5E17">
        <w:t xml:space="preserve">, </w:t>
      </w:r>
      <w:r w:rsidR="00812027">
        <w:t xml:space="preserve">and </w:t>
      </w:r>
      <w:r w:rsidR="000E5E17">
        <w:t xml:space="preserve">section </w:t>
      </w:r>
      <w:r w:rsidR="00812027">
        <w:t>20</w:t>
      </w:r>
      <w:r w:rsidR="000E5E17">
        <w:t xml:space="preserve"> deals with certain post-completion documents</w:t>
      </w:r>
      <w:r w:rsidR="009439A4">
        <w:t>, including the Governance Agreement (see [</w:t>
      </w:r>
      <w:r w:rsidR="009439A4">
        <w:fldChar w:fldCharType="begin"/>
      </w:r>
      <w:r w:rsidR="009439A4">
        <w:instrText xml:space="preserve"> REF _Ref118193780 \r \h </w:instrText>
      </w:r>
      <w:r w:rsidR="009439A4">
        <w:fldChar w:fldCharType="separate"/>
      </w:r>
      <w:r w:rsidR="00E762C8">
        <w:t>51</w:t>
      </w:r>
      <w:r w:rsidR="009439A4">
        <w:fldChar w:fldCharType="end"/>
      </w:r>
      <w:r w:rsidR="009439A4">
        <w:t>] above)</w:t>
      </w:r>
      <w:r w:rsidR="004F7C01">
        <w:t>.</w:t>
      </w:r>
    </w:p>
    <w:p w14:paraId="18345DE2" w14:textId="5A728FB1" w:rsidR="00263764" w:rsidRDefault="004F7C01" w:rsidP="00A97613">
      <w:pPr>
        <w:pStyle w:val="BodyText"/>
      </w:pPr>
      <w:r>
        <w:t xml:space="preserve">Section 21 </w:t>
      </w:r>
      <w:r w:rsidR="009316C8">
        <w:t xml:space="preserve">is </w:t>
      </w:r>
      <w:r w:rsidR="00B87C19">
        <w:t>a general section which considers the “effects and implications</w:t>
      </w:r>
      <w:r w:rsidR="008311AA">
        <w:t>” of the Disposal and related documents</w:t>
      </w:r>
      <w:r w:rsidR="00F57EC8">
        <w:t xml:space="preserve"> at section 21.1</w:t>
      </w:r>
      <w:r w:rsidR="00F21FD1">
        <w:t>,</w:t>
      </w:r>
      <w:r w:rsidR="00F57EC8">
        <w:t xml:space="preserve"> and</w:t>
      </w:r>
      <w:r w:rsidR="00684FBC">
        <w:t xml:space="preserve"> </w:t>
      </w:r>
      <w:r w:rsidR="008311AA">
        <w:t xml:space="preserve">records </w:t>
      </w:r>
      <w:r w:rsidR="00BE7231">
        <w:t xml:space="preserve">at 21.2 </w:t>
      </w:r>
      <w:r w:rsidR="008311AA">
        <w:t>the</w:t>
      </w:r>
      <w:r w:rsidR="00B75104">
        <w:t xml:space="preserve"> New Board’s conclusion that it was in Comet’s best interests to enter into the series of transactions, having regard to the interests of members and creditors as a whole.</w:t>
      </w:r>
      <w:r w:rsidR="00814244">
        <w:t xml:space="preserve"> </w:t>
      </w:r>
    </w:p>
    <w:p w14:paraId="65608CC1" w14:textId="3108198E" w:rsidR="00CB5413" w:rsidRDefault="00814244" w:rsidP="00A97613">
      <w:pPr>
        <w:pStyle w:val="BodyText"/>
      </w:pPr>
      <w:r>
        <w:t xml:space="preserve">The effects noted </w:t>
      </w:r>
      <w:r w:rsidR="00C44F18">
        <w:t xml:space="preserve">in section 21.1 </w:t>
      </w:r>
      <w:r>
        <w:t>included the</w:t>
      </w:r>
      <w:r w:rsidR="000E0B68">
        <w:t xml:space="preserve"> £115.4m of</w:t>
      </w:r>
      <w:r>
        <w:t xml:space="preserve"> indebtedness</w:t>
      </w:r>
      <w:r w:rsidR="008D04AF">
        <w:t xml:space="preserve"> to be incurred</w:t>
      </w:r>
      <w:r>
        <w:t xml:space="preserve"> to</w:t>
      </w:r>
      <w:r w:rsidR="004017A9">
        <w:t xml:space="preserve"> HAL</w:t>
      </w:r>
      <w:r w:rsidR="008D04AF">
        <w:t>, with all the cash being used to repay existing debt, the security that</w:t>
      </w:r>
      <w:r w:rsidR="00647C14">
        <w:t xml:space="preserve"> HAL would obtain and its ability to appoint an administrator on the occurrence of an event of default</w:t>
      </w:r>
      <w:r w:rsidR="005C3EE9">
        <w:t xml:space="preserve">, </w:t>
      </w:r>
      <w:r w:rsidR="00B12604">
        <w:t xml:space="preserve">the point </w:t>
      </w:r>
      <w:r w:rsidR="005C3EE9">
        <w:t>that the ability of Comet to meet its debts as they fell due would depend in part on the willingness of H2L and HAL to permit funds to be drawn down</w:t>
      </w:r>
      <w:r w:rsidR="00052052">
        <w:t>, the risk that</w:t>
      </w:r>
      <w:r w:rsidR="001B4334">
        <w:t xml:space="preserve"> on a sale </w:t>
      </w:r>
      <w:r w:rsidR="00052052">
        <w:t>by an administrator</w:t>
      </w:r>
      <w:r w:rsidR="001B4334">
        <w:t xml:space="preserve"> the value of the assets may not exceed the secured debt</w:t>
      </w:r>
      <w:r w:rsidR="00510D9E">
        <w:t xml:space="preserve">, </w:t>
      </w:r>
      <w:r w:rsidR="00D07766">
        <w:t xml:space="preserve">and </w:t>
      </w:r>
      <w:r w:rsidR="00510D9E">
        <w:t>the</w:t>
      </w:r>
      <w:r w:rsidR="00A3108D">
        <w:t xml:space="preserve"> risk </w:t>
      </w:r>
      <w:r w:rsidR="00510D9E">
        <w:t>that</w:t>
      </w:r>
      <w:r w:rsidR="006663BE">
        <w:t>, in the event of an administration</w:t>
      </w:r>
      <w:r w:rsidR="005E12FA">
        <w:t>,</w:t>
      </w:r>
      <w:r w:rsidR="00510D9E">
        <w:t xml:space="preserve"> </w:t>
      </w:r>
      <w:r w:rsidR="00D07766">
        <w:t>HAL’s ultimate owners</w:t>
      </w:r>
      <w:r w:rsidR="005E12FA">
        <w:t xml:space="preserve"> might be able to </w:t>
      </w:r>
      <w:r w:rsidR="00A3108D">
        <w:t>“engineer a transfer of the enterprise value of the Company to themselves, free of unwanted liabilities</w:t>
      </w:r>
      <w:r w:rsidR="006663BE">
        <w:t xml:space="preserve"> leaving unsecured creditors with little or nothing”</w:t>
      </w:r>
      <w:r w:rsidR="00D07766">
        <w:t>.</w:t>
      </w:r>
    </w:p>
    <w:p w14:paraId="710357EB" w14:textId="5AC8A05B" w:rsidR="00263764" w:rsidRDefault="00673FE7" w:rsidP="00A97613">
      <w:pPr>
        <w:pStyle w:val="BodyText"/>
      </w:pPr>
      <w:r>
        <w:t>In reaching the conclusion that the proposal should be approved,</w:t>
      </w:r>
      <w:r w:rsidR="00AC6E5D">
        <w:t xml:space="preserve"> section 21.2 records the New Board’s reasons as follows</w:t>
      </w:r>
      <w:r w:rsidR="00DA7C3B">
        <w:t xml:space="preserve"> (the “Ultimate Owners” are the Investors):</w:t>
      </w:r>
    </w:p>
    <w:p w14:paraId="2D059E80" w14:textId="7EAE4AC6" w:rsidR="00DA7C3B" w:rsidRDefault="00DA7C3B" w:rsidP="00DA7C3B">
      <w:pPr>
        <w:pStyle w:val="Citations"/>
      </w:pPr>
      <w:r>
        <w:t xml:space="preserve">“21.2.1 The transaction represents an opportunity for the Company to be divested of a substantial amount of unsecured debt. </w:t>
      </w:r>
    </w:p>
    <w:p w14:paraId="2C08BCE5" w14:textId="68488481" w:rsidR="00DA7C3B" w:rsidRDefault="00DA7C3B" w:rsidP="00DA7C3B">
      <w:pPr>
        <w:pStyle w:val="Citations"/>
      </w:pPr>
      <w:r>
        <w:t xml:space="preserve">21.2.2 There is no specific reason to believe that the Ultimate Owners will not be prepared to invest in the business of the Company and facilitate the achievement of the Business Plan through permitting further draw downs under the RCF Agreement. </w:t>
      </w:r>
    </w:p>
    <w:p w14:paraId="15F5E596" w14:textId="11D366DC" w:rsidR="00DA7C3B" w:rsidRDefault="00DA7C3B" w:rsidP="00DA7C3B">
      <w:pPr>
        <w:pStyle w:val="Citations"/>
      </w:pPr>
      <w:r>
        <w:t xml:space="preserve">21.2.3 There is no other deal available which might be structured any differently and which would provide any better opportunity for the Company to survive. </w:t>
      </w:r>
    </w:p>
    <w:p w14:paraId="556403C3" w14:textId="57BE2B02" w:rsidR="00DA7C3B" w:rsidRDefault="00DA7C3B" w:rsidP="00DA7C3B">
      <w:pPr>
        <w:pStyle w:val="Citations"/>
      </w:pPr>
      <w:r>
        <w:t xml:space="preserve">21.2.4 </w:t>
      </w:r>
      <w:r w:rsidR="004F2C92">
        <w:t xml:space="preserve">OpCapita and the Ultimate Owners have indicated that they intend to support the business of the Company. Although their supportive actions to date are also consistent with those of a party intending to have an interest as a secured creditor, in enhancing the viability and value of the Company’s business and assets, the Continuing Directors have no reason to doubt the sincerity of the Ultimate Owners. The Continuing Directors believe that the potential upside in ownership of a revitalised business may exceed any prospect of a short term gain. </w:t>
      </w:r>
    </w:p>
    <w:p w14:paraId="105DF7F4" w14:textId="28C75F29" w:rsidR="004F2C92" w:rsidRDefault="00DA7C3B" w:rsidP="004F2C92">
      <w:pPr>
        <w:pStyle w:val="Citations"/>
      </w:pPr>
      <w:r>
        <w:t xml:space="preserve">21.2.5 </w:t>
      </w:r>
      <w:r w:rsidR="004F2C92">
        <w:t>The only alternative (absent a different deal with other investors) is an imminent administration, the outcome of which is unlikely to produce a meaningful dividend for unsecured creditors. The Continuing Directors have seen an analysis of a projected outcome on an insolvency which was prepared by Ernst &amp; Young in October 2011 and have no reason to doubt the assumptions underlying that analysis. The analysis indicates a range of dividend for unsecured creditors of between 3% and 13%. Since trading has deteriorated since then and terms with suppliers have hardened, the Continuing Directors are of the view that the lower end of the range is more likely at the present time.”</w:t>
      </w:r>
    </w:p>
    <w:p w14:paraId="266DA9A1" w14:textId="0B4D1B81" w:rsidR="00AA0E60" w:rsidRDefault="00D003F6" w:rsidP="00AA0E60">
      <w:pPr>
        <w:pStyle w:val="BodyText"/>
      </w:pPr>
      <w:r>
        <w:t>A</w:t>
      </w:r>
      <w:r w:rsidR="00704EAB">
        <w:t xml:space="preserve"> critical</w:t>
      </w:r>
      <w:r>
        <w:t xml:space="preserve"> part of this</w:t>
      </w:r>
      <w:r w:rsidR="00704EAB">
        <w:t xml:space="preserve"> reasoning</w:t>
      </w:r>
      <w:r>
        <w:t xml:space="preserve"> was flawed</w:t>
      </w:r>
      <w:r w:rsidR="00090DCF">
        <w:t xml:space="preserve">. </w:t>
      </w:r>
      <w:r w:rsidR="00940C53">
        <w:t xml:space="preserve">It was not the case that the “only alternative” was an imminent </w:t>
      </w:r>
      <w:r w:rsidR="00A10C33">
        <w:t>administration. If the deal did not proceed then Kesa’s “Plan B” was to continue with the turnaround plan (see [</w:t>
      </w:r>
      <w:r w:rsidR="00EC35BA">
        <w:fldChar w:fldCharType="begin"/>
      </w:r>
      <w:r w:rsidR="00EC35BA">
        <w:instrText xml:space="preserve"> REF _Ref118195941 \r \h </w:instrText>
      </w:r>
      <w:r w:rsidR="00EC35BA">
        <w:fldChar w:fldCharType="separate"/>
      </w:r>
      <w:r w:rsidR="00E762C8">
        <w:t>28</w:t>
      </w:r>
      <w:r w:rsidR="00EC35BA">
        <w:fldChar w:fldCharType="end"/>
      </w:r>
      <w:r w:rsidR="00A10C33">
        <w:t>]</w:t>
      </w:r>
      <w:r w:rsidR="00EC35BA">
        <w:t xml:space="preserve"> above).</w:t>
      </w:r>
      <w:r w:rsidR="00704EAB">
        <w:t xml:space="preserve"> </w:t>
      </w:r>
      <w:r w:rsidR="009A7964">
        <w:t xml:space="preserve">Kesa would not have readily permitted an insolvency process. </w:t>
      </w:r>
    </w:p>
    <w:p w14:paraId="6D8B1D6B" w14:textId="1014419E" w:rsidR="008C3609" w:rsidRDefault="00151746" w:rsidP="00B84ABD">
      <w:pPr>
        <w:pStyle w:val="BodyText"/>
      </w:pPr>
      <w:r>
        <w:t>This wording</w:t>
      </w:r>
      <w:r w:rsidR="003B1B39">
        <w:t xml:space="preserve"> referring to the </w:t>
      </w:r>
      <w:r w:rsidR="003B3C43">
        <w:t>only alternative being an imminent administration</w:t>
      </w:r>
      <w:r>
        <w:t xml:space="preserve"> had derived from</w:t>
      </w:r>
      <w:r w:rsidR="00F520E4">
        <w:t xml:space="preserve"> one of</w:t>
      </w:r>
      <w:r>
        <w:t xml:space="preserve"> Mr Goldring</w:t>
      </w:r>
      <w:r w:rsidR="00F520E4">
        <w:t>’s mark ups of the Completion Minutes</w:t>
      </w:r>
      <w:r w:rsidR="00214CE2">
        <w:t xml:space="preserve">. </w:t>
      </w:r>
      <w:r w:rsidR="00B84ABD">
        <w:t>Whilst it clearly reflected his understanding of the position at the time</w:t>
      </w:r>
      <w:r w:rsidR="00670CF2">
        <w:t xml:space="preserve">, </w:t>
      </w:r>
      <w:r w:rsidR="00214CE2">
        <w:t>he</w:t>
      </w:r>
      <w:r w:rsidR="00DA4EEA">
        <w:t xml:space="preserve"> </w:t>
      </w:r>
      <w:r w:rsidR="00214CE2">
        <w:t>had failed to</w:t>
      </w:r>
      <w:r w:rsidR="000C2168">
        <w:t xml:space="preserve"> appreciate what Kesa’s actual fallback position was</w:t>
      </w:r>
      <w:r w:rsidR="00B84ABD">
        <w:t xml:space="preserve"> if the Disposal did not proceed</w:t>
      </w:r>
      <w:r w:rsidR="000C2168">
        <w:t xml:space="preserve">. </w:t>
      </w:r>
      <w:r w:rsidR="0027307D">
        <w:t xml:space="preserve">In doing so he </w:t>
      </w:r>
      <w:r w:rsidR="00A71F3A">
        <w:t>had</w:t>
      </w:r>
      <w:r w:rsidR="0027307D">
        <w:t xml:space="preserve"> not</w:t>
      </w:r>
      <w:r w:rsidR="00A71F3A">
        <w:t xml:space="preserve"> been</w:t>
      </w:r>
      <w:r w:rsidR="0027307D">
        <w:t xml:space="preserve"> act</w:t>
      </w:r>
      <w:r w:rsidR="00C15259">
        <w:t>ively</w:t>
      </w:r>
      <w:r w:rsidR="0027307D">
        <w:t xml:space="preserve"> misled by Kesa</w:t>
      </w:r>
      <w:r w:rsidR="006323D8">
        <w:t xml:space="preserve"> (although there are unanswered questions about how the text ended up remaining</w:t>
      </w:r>
      <w:r w:rsidR="00C00215">
        <w:t xml:space="preserve"> in a document that </w:t>
      </w:r>
      <w:r w:rsidR="005550D6">
        <w:t>must have been seen</w:t>
      </w:r>
      <w:r w:rsidR="00C00215">
        <w:t xml:space="preserve"> by Kesa’s advisers, and which Mr Enoch also accepted</w:t>
      </w:r>
      <w:r w:rsidR="00A80AFF">
        <w:t xml:space="preserve"> that</w:t>
      </w:r>
      <w:r w:rsidR="00C00215">
        <w:t xml:space="preserve"> he </w:t>
      </w:r>
      <w:r w:rsidR="00DE0985">
        <w:t>may have</w:t>
      </w:r>
      <w:r w:rsidR="00C00215">
        <w:t xml:space="preserve"> read</w:t>
      </w:r>
      <w:r w:rsidR="00E95DDB">
        <w:t xml:space="preserve"> at the completion meeting</w:t>
      </w:r>
      <w:r w:rsidR="00DE0985">
        <w:t>)</w:t>
      </w:r>
      <w:r w:rsidR="007813AC">
        <w:t>. Rather, in response to a question from</w:t>
      </w:r>
      <w:r w:rsidR="00A84711">
        <w:t xml:space="preserve"> Mr Win</w:t>
      </w:r>
      <w:r w:rsidR="00766C00">
        <w:t>g</w:t>
      </w:r>
      <w:r w:rsidR="00A84711">
        <w:t>field at</w:t>
      </w:r>
      <w:r w:rsidR="007813AC">
        <w:t xml:space="preserve"> SJ Berwin about</w:t>
      </w:r>
      <w:r w:rsidR="00220CC4">
        <w:t xml:space="preserve"> the deliberations of the KEP </w:t>
      </w:r>
      <w:r w:rsidR="005B264B">
        <w:t>B</w:t>
      </w:r>
      <w:r w:rsidR="00220CC4">
        <w:t>oard and whether the OpCapita offer was the “only viable alternative</w:t>
      </w:r>
      <w:r w:rsidR="007F6DCB">
        <w:t xml:space="preserve"> available</w:t>
      </w:r>
      <w:r w:rsidR="00220CC4">
        <w:t>”</w:t>
      </w:r>
      <w:r w:rsidR="00A84711">
        <w:t>, Mr Enoch’s carefully</w:t>
      </w:r>
      <w:r w:rsidR="00766C00">
        <w:t xml:space="preserve"> drafted resp</w:t>
      </w:r>
      <w:r w:rsidR="00014480">
        <w:t>onse</w:t>
      </w:r>
      <w:r w:rsidR="00D629F0">
        <w:t>, sent</w:t>
      </w:r>
      <w:r w:rsidR="00654C74">
        <w:t xml:space="preserve"> by email</w:t>
      </w:r>
      <w:r w:rsidR="00D629F0">
        <w:t xml:space="preserve"> on 1 February</w:t>
      </w:r>
      <w:r w:rsidR="00E6068A">
        <w:t xml:space="preserve"> 2022,</w:t>
      </w:r>
      <w:r w:rsidR="00014480">
        <w:t xml:space="preserve"> </w:t>
      </w:r>
      <w:r w:rsidR="00A71F3A">
        <w:t xml:space="preserve">had </w:t>
      </w:r>
      <w:r w:rsidR="00014480">
        <w:t>stated that</w:t>
      </w:r>
      <w:r w:rsidR="00E6068A">
        <w:t xml:space="preserve"> the</w:t>
      </w:r>
      <w:r w:rsidR="005B264B">
        <w:t xml:space="preserve"> Board had concluded that the OpCapita proposals</w:t>
      </w:r>
      <w:r w:rsidR="008A7807">
        <w:t xml:space="preserve"> were in the best interests of shareholders and “would deliver a more certain outcome than continuing with the turnaround plan</w:t>
      </w:r>
      <w:r w:rsidR="00F520E4">
        <w:t>”.</w:t>
      </w:r>
      <w:r w:rsidR="00DA6F5C">
        <w:t xml:space="preserve"> There </w:t>
      </w:r>
      <w:r w:rsidR="00F3614F">
        <w:t>wa</w:t>
      </w:r>
      <w:r w:rsidR="00DA6F5C">
        <w:t xml:space="preserve">s no </w:t>
      </w:r>
      <w:r w:rsidR="008F5964">
        <w:t xml:space="preserve">explicit </w:t>
      </w:r>
      <w:r w:rsidR="00DA6F5C">
        <w:t>mention</w:t>
      </w:r>
      <w:r w:rsidR="008F5964">
        <w:t xml:space="preserve"> of what Kesa would do if the transaction fell through</w:t>
      </w:r>
      <w:r w:rsidR="007A000E">
        <w:t xml:space="preserve">. </w:t>
      </w:r>
      <w:r w:rsidR="00EE0460">
        <w:t>Contrary to Mr Smith’s submission,</w:t>
      </w:r>
      <w:r w:rsidR="00654C74">
        <w:t xml:space="preserve"> it </w:t>
      </w:r>
      <w:r w:rsidR="006A487E">
        <w:t>does not carry any necessary inference that Kesa would proceed with the turnaround plan in those c</w:t>
      </w:r>
      <w:r w:rsidR="007D0F32">
        <w:t>ircumstances</w:t>
      </w:r>
      <w:r w:rsidR="0015289E">
        <w:t>.</w:t>
      </w:r>
    </w:p>
    <w:p w14:paraId="5CB29664" w14:textId="20496033" w:rsidR="002C6CEC" w:rsidRDefault="00FA12B6" w:rsidP="00B84ABD">
      <w:pPr>
        <w:pStyle w:val="BodyText"/>
      </w:pPr>
      <w:r>
        <w:t>Mr Goldring should not be critic</w:t>
      </w:r>
      <w:r w:rsidR="004B5917">
        <w:t>ised for</w:t>
      </w:r>
      <w:r w:rsidR="00A77F98">
        <w:t xml:space="preserve"> not </w:t>
      </w:r>
      <w:r w:rsidR="001E68AE">
        <w:t>doing more to query</w:t>
      </w:r>
      <w:r w:rsidR="004B5917">
        <w:t xml:space="preserve"> the lack of clarity on Kesa’s part. </w:t>
      </w:r>
      <w:r w:rsidR="001E68AE">
        <w:t xml:space="preserve">The 1 February email made it clear that it contained all that Kesa was prepared to say on the topic. </w:t>
      </w:r>
      <w:r w:rsidR="00F31E01">
        <w:t xml:space="preserve">Importantly, </w:t>
      </w:r>
      <w:r w:rsidR="006D091B">
        <w:t xml:space="preserve">Mr Darke also did not anticipate that retention by Kesa was a real alternative. </w:t>
      </w:r>
      <w:r w:rsidR="002F0901">
        <w:t>Notes</w:t>
      </w:r>
      <w:r w:rsidR="007D0F32">
        <w:t xml:space="preserve"> that</w:t>
      </w:r>
      <w:r w:rsidR="002F0901">
        <w:t xml:space="preserve"> he prepared at the time refer to</w:t>
      </w:r>
      <w:r w:rsidR="005803B7">
        <w:t xml:space="preserve"> a view that </w:t>
      </w:r>
      <w:r w:rsidR="009A5A7D">
        <w:t xml:space="preserve">a sale “will definitely occur in the short term” given </w:t>
      </w:r>
      <w:r w:rsidR="002F0901">
        <w:t xml:space="preserve">Kesa’s </w:t>
      </w:r>
      <w:r w:rsidR="00541184">
        <w:t>public state</w:t>
      </w:r>
      <w:r w:rsidR="009A5A7D">
        <w:t>ments</w:t>
      </w:r>
      <w:r w:rsidR="00541184">
        <w:t xml:space="preserve"> </w:t>
      </w:r>
      <w:r w:rsidR="009A5A7D">
        <w:t>and</w:t>
      </w:r>
      <w:r w:rsidR="00541184">
        <w:t xml:space="preserve"> the </w:t>
      </w:r>
      <w:r w:rsidR="005803B7">
        <w:t>“resounding vote” by shareholders</w:t>
      </w:r>
      <w:r w:rsidR="001D5DB8">
        <w:t>.</w:t>
      </w:r>
      <w:r w:rsidR="004026EC">
        <w:t xml:space="preserve"> H</w:t>
      </w:r>
      <w:r w:rsidR="00F87339">
        <w:t>is witness statement also refers to there being “no other deal on the table”</w:t>
      </w:r>
      <w:r w:rsidR="002C033D">
        <w:t xml:space="preserve"> and the only other alternative being imminent administration. </w:t>
      </w:r>
      <w:r w:rsidR="00D55114">
        <w:t xml:space="preserve">His oral evidence was consistent with this. </w:t>
      </w:r>
      <w:r w:rsidR="002032BB">
        <w:t>So he had formed the same view as Mr Goldring.</w:t>
      </w:r>
    </w:p>
    <w:p w14:paraId="15004423" w14:textId="56243DDD" w:rsidR="008E3450" w:rsidRDefault="008E3450" w:rsidP="00B84ABD">
      <w:pPr>
        <w:pStyle w:val="BodyText"/>
      </w:pPr>
      <w:r w:rsidRPr="00C331A6">
        <w:t xml:space="preserve">There is no indication that either Mr Clare or </w:t>
      </w:r>
      <w:r w:rsidR="002F1891">
        <w:t xml:space="preserve">Mr </w:t>
      </w:r>
      <w:r w:rsidR="00FF33C7">
        <w:t>Cowling, the other member of the New Board,</w:t>
      </w:r>
      <w:r w:rsidR="00FF33C7" w:rsidRPr="00C331A6">
        <w:t xml:space="preserve"> </w:t>
      </w:r>
      <w:r w:rsidR="00C331A6" w:rsidRPr="00C331A6">
        <w:t xml:space="preserve">formed an independent view on this point. </w:t>
      </w:r>
      <w:r w:rsidR="001D16AC">
        <w:t>N</w:t>
      </w:r>
      <w:r w:rsidR="00C331A6">
        <w:t>either</w:t>
      </w:r>
      <w:r w:rsidR="00A230E3">
        <w:t xml:space="preserve"> of them</w:t>
      </w:r>
      <w:r>
        <w:t xml:space="preserve"> </w:t>
      </w:r>
      <w:r w:rsidR="001D16AC">
        <w:t>had a previous relationship with Kesa</w:t>
      </w:r>
      <w:r w:rsidR="00C214FF">
        <w:t xml:space="preserve">, </w:t>
      </w:r>
      <w:r w:rsidR="00A230E3">
        <w:t xml:space="preserve">and </w:t>
      </w:r>
      <w:r w:rsidR="00C214FF">
        <w:t>nor wer</w:t>
      </w:r>
      <w:r w:rsidR="00A230E3">
        <w:t>e</w:t>
      </w:r>
      <w:r w:rsidR="00C214FF">
        <w:t xml:space="preserve"> they</w:t>
      </w:r>
      <w:r>
        <w:t xml:space="preserve"> involved in any of the negotiations that led up to the SPA. </w:t>
      </w:r>
    </w:p>
    <w:p w14:paraId="44713F0F" w14:textId="2B00D846" w:rsidR="00A123EB" w:rsidRDefault="00A123EB" w:rsidP="00B84ABD">
      <w:pPr>
        <w:pStyle w:val="BodyText"/>
      </w:pPr>
      <w:r>
        <w:t>No</w:t>
      </w:r>
      <w:r w:rsidR="00854AD8">
        <w:t>netheless, a flawed decision is still a decision</w:t>
      </w:r>
      <w:r w:rsidR="00E97E71">
        <w:t>, and the Liquidator does not now seek to argue that</w:t>
      </w:r>
      <w:r w:rsidR="006939BE">
        <w:t xml:space="preserve"> any member of </w:t>
      </w:r>
      <w:r w:rsidR="00E97E71">
        <w:t xml:space="preserve">the New Board </w:t>
      </w:r>
      <w:r w:rsidR="006939BE">
        <w:t>was</w:t>
      </w:r>
      <w:r w:rsidR="00E97E71">
        <w:t xml:space="preserve"> motivated by a desire to prefer</w:t>
      </w:r>
      <w:r w:rsidR="00854AD8">
        <w:t>.</w:t>
      </w:r>
      <w:r w:rsidR="00D162B9">
        <w:t xml:space="preserve"> So the critical question is whether</w:t>
      </w:r>
      <w:r w:rsidR="00C9684B">
        <w:t xml:space="preserve"> the decision taken by the New Board on 3 February 2012</w:t>
      </w:r>
      <w:r w:rsidR="00563F2F">
        <w:t xml:space="preserve"> </w:t>
      </w:r>
      <w:r w:rsidR="00563F2F" w:rsidRPr="0012622E">
        <w:t>to repay the KIL RCF</w:t>
      </w:r>
      <w:r w:rsidR="0012622E">
        <w:t xml:space="preserve"> (or, more accurately, </w:t>
      </w:r>
      <w:r w:rsidR="00611E2D">
        <w:t>its</w:t>
      </w:r>
      <w:r w:rsidR="0012622E">
        <w:t xml:space="preserve"> decision to</w:t>
      </w:r>
      <w:r w:rsidR="00825233">
        <w:t xml:space="preserve"> go ahead and approve the proposals as a whole: see above) </w:t>
      </w:r>
      <w:r w:rsidR="006A73D6">
        <w:t>is</w:t>
      </w:r>
      <w:r w:rsidR="00563F2F">
        <w:t xml:space="preserve"> the</w:t>
      </w:r>
      <w:r w:rsidR="006A73D6">
        <w:t xml:space="preserve"> relevant decision</w:t>
      </w:r>
      <w:r w:rsidR="00046500">
        <w:t>, or the only relevant decision,</w:t>
      </w:r>
      <w:r w:rsidR="006A73D6">
        <w:t xml:space="preserve"> for </w:t>
      </w:r>
      <w:r w:rsidR="00563F2F">
        <w:t>the purposes of s.239 IA 1986. As already mentioned</w:t>
      </w:r>
      <w:r w:rsidR="001C32E8">
        <w:t xml:space="preserve"> (see [</w:t>
      </w:r>
      <w:r w:rsidR="001C32E8">
        <w:fldChar w:fldCharType="begin"/>
      </w:r>
      <w:r w:rsidR="001C32E8">
        <w:instrText xml:space="preserve"> REF _Ref118197911 \r \h </w:instrText>
      </w:r>
      <w:r w:rsidR="001C32E8">
        <w:fldChar w:fldCharType="separate"/>
      </w:r>
      <w:r w:rsidR="00E762C8">
        <w:t>115</w:t>
      </w:r>
      <w:r w:rsidR="001C32E8">
        <w:fldChar w:fldCharType="end"/>
      </w:r>
      <w:r w:rsidR="001C32E8">
        <w:t>] above)</w:t>
      </w:r>
      <w:r w:rsidR="00563F2F">
        <w:t xml:space="preserve">, </w:t>
      </w:r>
      <w:r w:rsidR="001C32E8">
        <w:t xml:space="preserve">Darty relied on </w:t>
      </w:r>
      <w:r w:rsidR="001C32E8" w:rsidRPr="00F74F01">
        <w:rPr>
          <w:i/>
          <w:iCs/>
        </w:rPr>
        <w:t>Re Stealth Construction</w:t>
      </w:r>
      <w:r w:rsidR="001C32E8">
        <w:t xml:space="preserve"> and </w:t>
      </w:r>
      <w:r w:rsidR="001C32E8" w:rsidRPr="00294C65">
        <w:rPr>
          <w:i/>
          <w:iCs/>
        </w:rPr>
        <w:t>Wills v Corfe Joinery Ltd</w:t>
      </w:r>
      <w:r w:rsidR="00EA3A39">
        <w:t xml:space="preserve"> to argue that it was.</w:t>
      </w:r>
    </w:p>
    <w:p w14:paraId="16588CB7" w14:textId="1AFA24F6" w:rsidR="00447722" w:rsidRDefault="00447722" w:rsidP="00B84ABD">
      <w:pPr>
        <w:pStyle w:val="BodyText"/>
      </w:pPr>
      <w:r>
        <w:t xml:space="preserve">As David Richards J explained in </w:t>
      </w:r>
      <w:r w:rsidRPr="00F74F01">
        <w:rPr>
          <w:i/>
          <w:iCs/>
        </w:rPr>
        <w:t>Re Stealth Construction</w:t>
      </w:r>
      <w:r w:rsidR="00D00308">
        <w:t xml:space="preserve"> at [63]</w:t>
      </w:r>
      <w:r>
        <w:t xml:space="preserve">, identifying </w:t>
      </w:r>
      <w:r w:rsidR="00DB4CF7">
        <w:t>when the decision was made is a question of fact.</w:t>
      </w:r>
      <w:r w:rsidR="00AD4B64">
        <w:t xml:space="preserve"> He pointed out that in </w:t>
      </w:r>
      <w:r w:rsidR="00AD4B64" w:rsidRPr="00AD4B64">
        <w:rPr>
          <w:i/>
          <w:iCs/>
        </w:rPr>
        <w:t>Re MC Bacon</w:t>
      </w:r>
      <w:r w:rsidR="00AD4B64">
        <w:t xml:space="preserve"> Millett J</w:t>
      </w:r>
      <w:r w:rsidR="00C64D7A">
        <w:t xml:space="preserve"> had found that the decision was made at some time during </w:t>
      </w:r>
      <w:r w:rsidR="001B5A07">
        <w:t xml:space="preserve">a period leading up to </w:t>
      </w:r>
      <w:r w:rsidR="00CB7B86">
        <w:t>the execution of the debenture</w:t>
      </w:r>
      <w:r w:rsidR="00886218">
        <w:t xml:space="preserve"> and that in </w:t>
      </w:r>
      <w:r w:rsidR="00886218" w:rsidRPr="00225194">
        <w:rPr>
          <w:i/>
          <w:iCs/>
        </w:rPr>
        <w:t>Re Fairway Magazines Ltd</w:t>
      </w:r>
      <w:r w:rsidR="00225194">
        <w:t xml:space="preserve"> [1992] BCC 924</w:t>
      </w:r>
      <w:r w:rsidR="008738C5">
        <w:t xml:space="preserve"> (which also concerned a debenture) the decision was made when the loan agreement was signed</w:t>
      </w:r>
      <w:r w:rsidR="00300030">
        <w:t>,</w:t>
      </w:r>
      <w:r w:rsidR="008738C5">
        <w:t xml:space="preserve"> a few weeks earlier than the debenture was executed for the company</w:t>
      </w:r>
      <w:r w:rsidR="00BD1B5D">
        <w:t>.</w:t>
      </w:r>
      <w:r w:rsidR="009F167C">
        <w:t xml:space="preserve"> In contrast, on the “very different facts” of </w:t>
      </w:r>
      <w:r w:rsidR="005A6D66" w:rsidRPr="00294C65">
        <w:rPr>
          <w:i/>
          <w:iCs/>
        </w:rPr>
        <w:t>Wills v Corfe Joinery Ltd</w:t>
      </w:r>
      <w:r w:rsidR="005A6D66">
        <w:rPr>
          <w:i/>
          <w:iCs/>
        </w:rPr>
        <w:t xml:space="preserve"> </w:t>
      </w:r>
      <w:r w:rsidR="00ED0A04" w:rsidRPr="00ED0A04">
        <w:t>the decision was made long after the loans</w:t>
      </w:r>
      <w:r w:rsidR="009678C2">
        <w:t xml:space="preserve"> were made</w:t>
      </w:r>
      <w:r w:rsidR="00ED0A04" w:rsidRPr="00ED0A04">
        <w:t xml:space="preserve"> and the obligation to repay them was </w:t>
      </w:r>
      <w:r w:rsidR="009678C2">
        <w:t>incurred</w:t>
      </w:r>
      <w:r w:rsidR="00ED0A04" w:rsidRPr="00ED0A04">
        <w:t>.</w:t>
      </w:r>
    </w:p>
    <w:p w14:paraId="41C0193D" w14:textId="40E5468B" w:rsidR="00494783" w:rsidRDefault="00ED4628" w:rsidP="00453E2D">
      <w:pPr>
        <w:pStyle w:val="BodyText"/>
      </w:pPr>
      <w:r>
        <w:t xml:space="preserve">It is worth considering </w:t>
      </w:r>
      <w:r w:rsidRPr="00E43844">
        <w:rPr>
          <w:i/>
          <w:iCs/>
        </w:rPr>
        <w:t>Wills v Corfe Joinery Ltd</w:t>
      </w:r>
      <w:r>
        <w:t xml:space="preserve"> in more detail.</w:t>
      </w:r>
      <w:r w:rsidR="00785344">
        <w:t xml:space="preserve"> As already explained</w:t>
      </w:r>
      <w:r w:rsidR="00BA0E6A">
        <w:t xml:space="preserve">, there was a </w:t>
      </w:r>
      <w:r w:rsidR="00432460">
        <w:t>b</w:t>
      </w:r>
      <w:r w:rsidR="00BA0E6A">
        <w:t>oard decision in January 1994 to repay two directors’ loans in January 1995</w:t>
      </w:r>
      <w:r w:rsidR="00D41A0E">
        <w:t>. In fact they were repaid by cheques drawn in early February 1995</w:t>
      </w:r>
      <w:r w:rsidR="00494783">
        <w:t xml:space="preserve">, </w:t>
      </w:r>
      <w:r w:rsidR="009C1CBC">
        <w:t xml:space="preserve">by which </w:t>
      </w:r>
      <w:r w:rsidR="001865BF">
        <w:t>time the company was in financial difficulties</w:t>
      </w:r>
      <w:r w:rsidR="00494783">
        <w:t>.</w:t>
      </w:r>
    </w:p>
    <w:p w14:paraId="0DBBF0AD" w14:textId="4FCD0FBF" w:rsidR="00ED4628" w:rsidRDefault="00ED4628" w:rsidP="00453E2D">
      <w:pPr>
        <w:pStyle w:val="BodyText"/>
      </w:pPr>
      <w:r>
        <w:t xml:space="preserve"> Lloyd J’s reasonin</w:t>
      </w:r>
      <w:r w:rsidR="001C50AA">
        <w:t>g about the date of the decision is set out in the following passage</w:t>
      </w:r>
      <w:r w:rsidR="00E43844">
        <w:t xml:space="preserve"> </w:t>
      </w:r>
      <w:r>
        <w:t>at p.513</w:t>
      </w:r>
      <w:r w:rsidR="00494783">
        <w:t>:</w:t>
      </w:r>
    </w:p>
    <w:p w14:paraId="7E0CE526" w14:textId="184A315F" w:rsidR="00ED4628" w:rsidRDefault="00ED4628" w:rsidP="00ED4628">
      <w:pPr>
        <w:pStyle w:val="Citations"/>
      </w:pPr>
      <w:r>
        <w:t xml:space="preserve">“… I do not accept that January 1994 was the date by reference to which it is appropriate to consider whether, in giving the preference that undoubtedly was given, the company was influenced by the relevant desire. It seems to me that all that happened in January 1994 at most was that the loans became repayable in January 1995. A lot of debts were payable by the company in January 1995 and a lot of them were not paid. The fact that the directors’ loan accounts were repayable in January 1995 does not lead to the conclusion that there was not a relevant decision to give the preference by actually paying those debts. It seems to me that the relevant decision to make the payments was and could only have been made at the time, or immediately before the time, when the cheques were drawn, that is to say, on 2 February and 6 February 1995. Even if, as I am prepared to accept for present purposes, what passed in January 1994 meant that there was an obligation on the company to pay the debt in January 1995, </w:t>
      </w:r>
      <w:r w:rsidRPr="000E66D2">
        <w:t xml:space="preserve">it was necessary for the board to review at that time whether to honour that obligation. If the board had known that the company was insolvent or would be insolvent by honouring that obligation, it could not have made the payment. </w:t>
      </w:r>
    </w:p>
    <w:p w14:paraId="30E2F41E" w14:textId="4FBFEDDF" w:rsidR="00ED4628" w:rsidRDefault="00ED4628" w:rsidP="0007118A">
      <w:pPr>
        <w:pStyle w:val="Citations"/>
      </w:pPr>
      <w:r w:rsidRPr="000E66D2">
        <w:t>In my view, only when the cheques were signed by the authorised signatories…did the company decide to make the payment. It is therefore by reference to that process of decision that the statutory provisions have to be applied.”</w:t>
      </w:r>
    </w:p>
    <w:p w14:paraId="5D7DE994" w14:textId="5132D7AF" w:rsidR="0007118A" w:rsidRDefault="000E4789" w:rsidP="0007118A">
      <w:pPr>
        <w:pStyle w:val="BodyText"/>
      </w:pPr>
      <w:r>
        <w:t xml:space="preserve">It is important to </w:t>
      </w:r>
      <w:r w:rsidR="00970A05">
        <w:t xml:space="preserve">note Lloyd J’s reference to a lot of debts being payable in January 1995 and a lot not being paid. </w:t>
      </w:r>
      <w:r w:rsidR="000820CF">
        <w:t>At p.214 he explained that the company’s financial position was adversely affected</w:t>
      </w:r>
      <w:r w:rsidR="00C352FC">
        <w:t xml:space="preserve"> by an unforeseen loss in January 1995</w:t>
      </w:r>
      <w:r w:rsidR="00881795">
        <w:t>, which led to the bank not renewing its overdraft facility</w:t>
      </w:r>
      <w:r w:rsidR="0058162D">
        <w:t>. A significant number of creditors were also pressing for payment</w:t>
      </w:r>
      <w:r w:rsidR="00D57E7B">
        <w:t xml:space="preserve"> of </w:t>
      </w:r>
      <w:r w:rsidR="001042B2">
        <w:t>substantial</w:t>
      </w:r>
      <w:r w:rsidR="00D57E7B">
        <w:t xml:space="preserve"> </w:t>
      </w:r>
      <w:r w:rsidR="001042B2">
        <w:t>amounts</w:t>
      </w:r>
      <w:r w:rsidR="0058162D">
        <w:t xml:space="preserve">, </w:t>
      </w:r>
      <w:r w:rsidR="00D57E7B">
        <w:t>some</w:t>
      </w:r>
      <w:r w:rsidR="001042B2">
        <w:t xml:space="preserve"> of which had been outstanding for several months.</w:t>
      </w:r>
      <w:r w:rsidR="0005206E">
        <w:t xml:space="preserve"> Lloyd J found at p.216 that</w:t>
      </w:r>
      <w:r w:rsidR="00D57E7B">
        <w:t xml:space="preserve"> </w:t>
      </w:r>
      <w:r w:rsidR="005C5F56">
        <w:t>at</w:t>
      </w:r>
      <w:r w:rsidR="00E36D2B">
        <w:t xml:space="preserve"> the beginning of February the directors knew that the company was in difficulties and there was a serious risk that the company would not be able to carry on trading.</w:t>
      </w:r>
    </w:p>
    <w:p w14:paraId="26893E3A" w14:textId="6092093C" w:rsidR="00956DB4" w:rsidRDefault="00AB1EE0" w:rsidP="0007118A">
      <w:pPr>
        <w:pStyle w:val="BodyText"/>
      </w:pPr>
      <w:r>
        <w:t>It is not surprising that Lloyd J reached the decision he did on these facts. The directors were faced with a serious decline in the company’s fortunes</w:t>
      </w:r>
      <w:r w:rsidR="0050018D">
        <w:t xml:space="preserve"> and a situation in which other creditors, whose debts were already overdue, were pressing for payment. </w:t>
      </w:r>
      <w:r w:rsidR="00BF30C9">
        <w:t>Going</w:t>
      </w:r>
      <w:r w:rsidR="0050018D">
        <w:t xml:space="preserve"> ahead with an earlier planned repayment of directors’ loans</w:t>
      </w:r>
      <w:r w:rsidR="00DD6B41">
        <w:t xml:space="preserve"> in those circumstances, which were</w:t>
      </w:r>
      <w:r w:rsidR="00BD3560">
        <w:t xml:space="preserve"> presumably</w:t>
      </w:r>
      <w:r w:rsidR="00DD6B41">
        <w:t xml:space="preserve"> very different to what had </w:t>
      </w:r>
      <w:r w:rsidR="00BD3560">
        <w:t>been anticipated</w:t>
      </w:r>
      <w:r w:rsidR="00BF30C9">
        <w:t xml:space="preserve"> when the earlier decision was made</w:t>
      </w:r>
      <w:r w:rsidR="00BD3560">
        <w:t>, clearly involved a fresh decision.</w:t>
      </w:r>
    </w:p>
    <w:p w14:paraId="2AE92A07" w14:textId="74FF1757" w:rsidR="00271A65" w:rsidRDefault="00A561DD" w:rsidP="00D60115">
      <w:pPr>
        <w:pStyle w:val="BodyText"/>
      </w:pPr>
      <w:r>
        <w:t>In contrast, in this case there had been no material change of circumstances</w:t>
      </w:r>
      <w:r w:rsidR="00833A64">
        <w:t>. Comet’s fortunes had continued to decline, but not in an unanticipated way</w:t>
      </w:r>
      <w:r w:rsidR="00E017D7">
        <w:t xml:space="preserve">. </w:t>
      </w:r>
      <w:r w:rsidR="00BE74A9">
        <w:t>Comet’s continued absor</w:t>
      </w:r>
      <w:r w:rsidR="00CF569C">
        <w:t>ption of cash over the peak period was expected</w:t>
      </w:r>
      <w:r w:rsidR="00732EFC">
        <w:t xml:space="preserve"> (the completion date being planned around it)</w:t>
      </w:r>
      <w:r w:rsidR="00CF569C">
        <w:t>, and t</w:t>
      </w:r>
      <w:r w:rsidR="00E017D7">
        <w:t>he loss of credit insurance in January 2012 was not a surprise</w:t>
      </w:r>
      <w:r w:rsidR="0085692B">
        <w:t xml:space="preserve"> (see [</w:t>
      </w:r>
      <w:r w:rsidR="0085692B">
        <w:fldChar w:fldCharType="begin"/>
      </w:r>
      <w:r w:rsidR="0085692B">
        <w:instrText xml:space="preserve"> REF _Ref117849417 \r \h </w:instrText>
      </w:r>
      <w:r w:rsidR="0085692B">
        <w:fldChar w:fldCharType="separate"/>
      </w:r>
      <w:r w:rsidR="00E762C8">
        <w:t>33</w:t>
      </w:r>
      <w:r w:rsidR="0085692B">
        <w:fldChar w:fldCharType="end"/>
      </w:r>
      <w:r w:rsidR="0085692B">
        <w:t>] above)</w:t>
      </w:r>
      <w:r w:rsidR="00E017D7">
        <w:t>.</w:t>
      </w:r>
      <w:r w:rsidR="006950FB">
        <w:t xml:space="preserve"> </w:t>
      </w:r>
    </w:p>
    <w:p w14:paraId="68E355D6" w14:textId="1267B078" w:rsidR="00732EFC" w:rsidRDefault="00732EFC" w:rsidP="0007118A">
      <w:pPr>
        <w:pStyle w:val="BodyText"/>
      </w:pPr>
      <w:r>
        <w:t xml:space="preserve">I have already referred to the position that </w:t>
      </w:r>
      <w:r w:rsidR="004F2BB0">
        <w:t>Mr Darke and the rest of the New Board were placed in (see [</w:t>
      </w:r>
      <w:r w:rsidR="00286CD0">
        <w:fldChar w:fldCharType="begin"/>
      </w:r>
      <w:r w:rsidR="00286CD0">
        <w:instrText xml:space="preserve"> REF _Ref118286000 \r \h </w:instrText>
      </w:r>
      <w:r w:rsidR="00286CD0">
        <w:fldChar w:fldCharType="separate"/>
      </w:r>
      <w:r w:rsidR="00E762C8">
        <w:t>246</w:t>
      </w:r>
      <w:r w:rsidR="00286CD0">
        <w:fldChar w:fldCharType="end"/>
      </w:r>
      <w:r w:rsidR="004F2BB0">
        <w:t>]-[</w:t>
      </w:r>
      <w:r w:rsidR="00286CD0">
        <w:fldChar w:fldCharType="begin"/>
      </w:r>
      <w:r w:rsidR="00286CD0">
        <w:instrText xml:space="preserve"> REF _Ref118286034 \r \h </w:instrText>
      </w:r>
      <w:r w:rsidR="00286CD0">
        <w:fldChar w:fldCharType="separate"/>
      </w:r>
      <w:r w:rsidR="00E762C8">
        <w:t>250</w:t>
      </w:r>
      <w:r w:rsidR="00286CD0">
        <w:fldChar w:fldCharType="end"/>
      </w:r>
      <w:r w:rsidR="004F2BB0">
        <w:t>] above in particular</w:t>
      </w:r>
      <w:r w:rsidR="00286CD0">
        <w:t>).</w:t>
      </w:r>
      <w:r w:rsidR="00E9302B">
        <w:t xml:space="preserve"> This did not mean that</w:t>
      </w:r>
      <w:r w:rsidR="0039156C">
        <w:t xml:space="preserve"> Mr Goldring and</w:t>
      </w:r>
      <w:r w:rsidR="00E9302B">
        <w:t xml:space="preserve"> the New Board</w:t>
      </w:r>
      <w:r w:rsidR="009736D6">
        <w:t xml:space="preserve"> did nothing</w:t>
      </w:r>
      <w:r w:rsidR="0039156C">
        <w:t xml:space="preserve"> to seek to ameliorate the position. Mr Darke’s </w:t>
      </w:r>
      <w:r w:rsidR="005C1892">
        <w:t xml:space="preserve">evidence, which I accept, </w:t>
      </w:r>
      <w:r w:rsidR="00750A85">
        <w:t>was that his focus was on “getting the best outcome for Comet”, concentrating</w:t>
      </w:r>
      <w:r w:rsidR="00A86EAD">
        <w:t xml:space="preserve"> on</w:t>
      </w:r>
      <w:r w:rsidR="00A86A7E">
        <w:t xml:space="preserve"> such</w:t>
      </w:r>
      <w:r w:rsidR="00A86EAD">
        <w:t xml:space="preserve"> matters as the cash sweep and</w:t>
      </w:r>
      <w:r w:rsidR="004271AE">
        <w:t xml:space="preserve"> fetters on</w:t>
      </w:r>
      <w:r w:rsidR="008F25C1">
        <w:t xml:space="preserve"> Comet’s</w:t>
      </w:r>
      <w:r w:rsidR="004271AE">
        <w:t xml:space="preserve"> ability to draw</w:t>
      </w:r>
      <w:r w:rsidR="00402EB7">
        <w:t xml:space="preserve"> down</w:t>
      </w:r>
      <w:r w:rsidR="00A86EAD">
        <w:t xml:space="preserve"> under the HAL RCF.</w:t>
      </w:r>
      <w:r w:rsidR="005C099E">
        <w:t xml:space="preserve"> </w:t>
      </w:r>
      <w:r w:rsidR="00A86A7E">
        <w:t>Mr Darke</w:t>
      </w:r>
      <w:r w:rsidR="005C099E">
        <w:t xml:space="preserve"> was looking at the </w:t>
      </w:r>
      <w:r w:rsidR="00A606FC">
        <w:t>Disposal</w:t>
      </w:r>
      <w:r w:rsidR="005C099E">
        <w:t xml:space="preserve"> as </w:t>
      </w:r>
      <w:r w:rsidR="009C48DA">
        <w:t>an event that would occur</w:t>
      </w:r>
      <w:r w:rsidR="00FD6BC9">
        <w:t>, and on the terms agreed by Kesa and OpCapita</w:t>
      </w:r>
      <w:r w:rsidR="009C48DA">
        <w:t>, and</w:t>
      </w:r>
      <w:r w:rsidR="00AB5626">
        <w:t xml:space="preserve"> was concentrating his efforts on</w:t>
      </w:r>
      <w:r w:rsidR="009C48DA">
        <w:t xml:space="preserve"> trying to ensure that Comet’s own position</w:t>
      </w:r>
      <w:r w:rsidR="00147B26">
        <w:t xml:space="preserve"> was optimised </w:t>
      </w:r>
      <w:r w:rsidR="00884260">
        <w:t>so far as possible</w:t>
      </w:r>
      <w:r w:rsidR="00FD6BC9">
        <w:t xml:space="preserve"> within those constraints</w:t>
      </w:r>
      <w:r w:rsidR="007A47E4">
        <w:t xml:space="preserve">, </w:t>
      </w:r>
      <w:r w:rsidR="003061D5">
        <w:t>in particular</w:t>
      </w:r>
      <w:r w:rsidR="007A47E4">
        <w:t xml:space="preserve"> by </w:t>
      </w:r>
      <w:r w:rsidR="00AB5626">
        <w:t>attempting</w:t>
      </w:r>
      <w:r w:rsidR="007A47E4">
        <w:t xml:space="preserve"> to improve the terms of the HAL RCF</w:t>
      </w:r>
      <w:r w:rsidR="006D0A55">
        <w:t xml:space="preserve"> (the details of which</w:t>
      </w:r>
      <w:r w:rsidR="00131733">
        <w:t xml:space="preserve"> were </w:t>
      </w:r>
      <w:r w:rsidR="006D0A55">
        <w:t>a matter f</w:t>
      </w:r>
      <w:r w:rsidR="00131733">
        <w:t>or</w:t>
      </w:r>
      <w:r w:rsidR="006D0A55">
        <w:t xml:space="preserve"> agreement </w:t>
      </w:r>
      <w:r w:rsidR="00131733">
        <w:t>between Comet and HAL)</w:t>
      </w:r>
      <w:r w:rsidR="00884260">
        <w:t xml:space="preserve">. </w:t>
      </w:r>
      <w:r w:rsidR="00FD17E6">
        <w:t>But</w:t>
      </w:r>
      <w:r w:rsidR="00884260">
        <w:t xml:space="preserve"> neither he nor any other member of the New Board considered that there was any option </w:t>
      </w:r>
      <w:r w:rsidR="00A37197">
        <w:t xml:space="preserve">to </w:t>
      </w:r>
      <w:r w:rsidR="00C9362C">
        <w:t xml:space="preserve">negotiate the </w:t>
      </w:r>
      <w:r w:rsidR="00884260">
        <w:t>repay</w:t>
      </w:r>
      <w:r w:rsidR="00C9362C">
        <w:t>ment</w:t>
      </w:r>
      <w:r w:rsidR="00884260">
        <w:t xml:space="preserve"> the KIL RCF</w:t>
      </w:r>
      <w:r w:rsidR="00A42196">
        <w:t xml:space="preserve"> – which </w:t>
      </w:r>
      <w:r w:rsidR="004F16CF">
        <w:t xml:space="preserve">he referred to in cross-examination as a </w:t>
      </w:r>
      <w:r w:rsidR="008B5B5A">
        <w:t>“</w:t>
      </w:r>
      <w:r w:rsidR="008B5B5A" w:rsidRPr="008B5B5A">
        <w:t>fundamental part of the deal architecture</w:t>
      </w:r>
      <w:r w:rsidR="006B568E">
        <w:t>”</w:t>
      </w:r>
      <w:r w:rsidR="008B5B5A">
        <w:t xml:space="preserve"> –</w:t>
      </w:r>
      <w:r w:rsidR="008A1F20">
        <w:t xml:space="preserve"> and indeed </w:t>
      </w:r>
      <w:r w:rsidR="00BF6D5F">
        <w:t xml:space="preserve">Mr Darke </w:t>
      </w:r>
      <w:r w:rsidR="008A1F20">
        <w:t xml:space="preserve">recalled little discussion about it. </w:t>
      </w:r>
    </w:p>
    <w:p w14:paraId="5D79216E" w14:textId="08E78C3F" w:rsidR="005D6C2A" w:rsidRPr="00960F20" w:rsidRDefault="00BB7FE9" w:rsidP="00915A7A">
      <w:pPr>
        <w:pStyle w:val="BodyText"/>
        <w:rPr>
          <w:i/>
          <w:iCs/>
        </w:rPr>
      </w:pPr>
      <w:bookmarkStart w:id="57" w:name="_Ref118464232"/>
      <w:r>
        <w:t xml:space="preserve">In the circumstances of this case, I </w:t>
      </w:r>
      <w:r w:rsidR="001D2DFB">
        <w:t xml:space="preserve">do not accept that the relevant decision was taken by the New Board on 3 February 2012. </w:t>
      </w:r>
      <w:r w:rsidR="0019238C">
        <w:t>The substantive decision</w:t>
      </w:r>
      <w:r w:rsidR="00B93590">
        <w:t xml:space="preserve"> to repay the KIL RCF</w:t>
      </w:r>
      <w:r w:rsidR="0019238C">
        <w:t xml:space="preserve"> was taken on Comet’s behalf when the SPA was signed</w:t>
      </w:r>
      <w:r w:rsidR="001810AB">
        <w:t>. What occurred on 3 February was a formal, albeit necessary</w:t>
      </w:r>
      <w:r w:rsidR="00D86A53">
        <w:t xml:space="preserve">, step to allow that decision to be implemented. </w:t>
      </w:r>
      <w:r w:rsidR="005B7AA9">
        <w:t xml:space="preserve">In theory </w:t>
      </w:r>
      <w:r w:rsidR="004E0E99">
        <w:t xml:space="preserve">the New Board could have refused to approve the Disposal and/or </w:t>
      </w:r>
      <w:r w:rsidR="005D3532">
        <w:t>refuse</w:t>
      </w:r>
      <w:r w:rsidR="00725E68">
        <w:t>d</w:t>
      </w:r>
      <w:r w:rsidR="005D3532">
        <w:t xml:space="preserve"> to </w:t>
      </w:r>
      <w:r w:rsidR="004E0E99">
        <w:t>settle the KIL RCF</w:t>
      </w:r>
      <w:r w:rsidR="00E67F45">
        <w:t xml:space="preserve"> –</w:t>
      </w:r>
      <w:r w:rsidR="004E0E99">
        <w:t xml:space="preserve"> just as</w:t>
      </w:r>
      <w:r w:rsidR="00F6250E">
        <w:t xml:space="preserve">, </w:t>
      </w:r>
      <w:r w:rsidR="005B7AA9">
        <w:t>for example</w:t>
      </w:r>
      <w:r w:rsidR="00F6250E">
        <w:t>,</w:t>
      </w:r>
      <w:r w:rsidR="004E0E99">
        <w:t xml:space="preserve"> </w:t>
      </w:r>
      <w:r w:rsidR="002B5E07">
        <w:t xml:space="preserve">an employee or agent </w:t>
      </w:r>
      <w:r w:rsidR="009E1649">
        <w:t>asked</w:t>
      </w:r>
      <w:r w:rsidR="002B5E07">
        <w:t xml:space="preserve"> to </w:t>
      </w:r>
      <w:r w:rsidR="0060351F">
        <w:t xml:space="preserve">take a necessary step in </w:t>
      </w:r>
      <w:r w:rsidR="00714665">
        <w:t>arrang</w:t>
      </w:r>
      <w:r w:rsidR="0060351F">
        <w:t>ing</w:t>
      </w:r>
      <w:r w:rsidR="002B5E07">
        <w:t xml:space="preserve"> a </w:t>
      </w:r>
      <w:r w:rsidR="005B7AA9">
        <w:t xml:space="preserve">preferential </w:t>
      </w:r>
      <w:r w:rsidR="002B5E07">
        <w:t>payment</w:t>
      </w:r>
      <w:r w:rsidR="00714665">
        <w:t xml:space="preserve"> by a decision maker</w:t>
      </w:r>
      <w:r w:rsidR="005B7AA9">
        <w:t xml:space="preserve"> </w:t>
      </w:r>
      <w:r w:rsidR="00714665">
        <w:t>could refuse to do so</w:t>
      </w:r>
      <w:r w:rsidR="00690407">
        <w:t xml:space="preserve"> (and perhaps </w:t>
      </w:r>
      <w:r w:rsidR="00294A8F">
        <w:t>for entirely justifiable reasons)</w:t>
      </w:r>
      <w:r w:rsidR="00621E7B">
        <w:t xml:space="preserve"> </w:t>
      </w:r>
      <w:r w:rsidR="00E67F45">
        <w:t>–</w:t>
      </w:r>
      <w:r w:rsidR="003655A0">
        <w:t xml:space="preserve"> but in </w:t>
      </w:r>
      <w:r w:rsidR="00971FF5">
        <w:t>substance</w:t>
      </w:r>
      <w:r w:rsidR="003655A0">
        <w:t xml:space="preserve"> the decision had</w:t>
      </w:r>
      <w:r w:rsidR="003B0B6D">
        <w:t xml:space="preserve"> already</w:t>
      </w:r>
      <w:r w:rsidR="003655A0">
        <w:t xml:space="preserve"> been taken.</w:t>
      </w:r>
      <w:bookmarkEnd w:id="57"/>
      <w:r w:rsidR="00723BCE">
        <w:t xml:space="preserve"> What I have described as careful choreography to distance Kesa from formal decision-making</w:t>
      </w:r>
      <w:r w:rsidR="001B327E">
        <w:t xml:space="preserve"> was not effective.</w:t>
      </w:r>
    </w:p>
    <w:p w14:paraId="32FEECDF" w14:textId="5315902F" w:rsidR="00960F20" w:rsidRDefault="00960F20" w:rsidP="00960F20">
      <w:pPr>
        <w:pStyle w:val="Heading1"/>
        <w:spacing w:before="480"/>
      </w:pPr>
      <w:r>
        <w:t>Remedy</w:t>
      </w:r>
    </w:p>
    <w:p w14:paraId="5E605ED2" w14:textId="227F7E1D" w:rsidR="005C3A3A" w:rsidRDefault="00BD2D34" w:rsidP="00BD2D34">
      <w:pPr>
        <w:pStyle w:val="BodyText"/>
      </w:pPr>
      <w:bookmarkStart w:id="58" w:name="_Ref118464241"/>
      <w:r>
        <w:t>As already explained, Darty’s position is that</w:t>
      </w:r>
      <w:r w:rsidR="00DD37EC">
        <w:t>, even if a preference within s.239 is found to exist,</w:t>
      </w:r>
      <w:r>
        <w:t xml:space="preserve"> no order</w:t>
      </w:r>
      <w:r w:rsidR="00CD388C">
        <w:t xml:space="preserve"> should be made to restore the position on the basis that exceptional circumstances exist. </w:t>
      </w:r>
      <w:r w:rsidR="003F2242">
        <w:t>It says that the real issue relates to the grant of the debenture to</w:t>
      </w:r>
      <w:r w:rsidR="00725B37">
        <w:t xml:space="preserve"> HAL, </w:t>
      </w:r>
      <w:r w:rsidR="00D27804">
        <w:t xml:space="preserve">and </w:t>
      </w:r>
      <w:r w:rsidR="00725B37">
        <w:t>points out that the Liquidator has not only jettisoned any claim</w:t>
      </w:r>
      <w:r w:rsidR="004065DC">
        <w:t xml:space="preserve"> challenging the debenture but has </w:t>
      </w:r>
      <w:r w:rsidR="00C20C37">
        <w:t>not objected to</w:t>
      </w:r>
      <w:r w:rsidR="00DF1039" w:rsidRPr="00DF1039">
        <w:t xml:space="preserve"> </w:t>
      </w:r>
      <w:r w:rsidR="00C20C37">
        <w:t xml:space="preserve">a </w:t>
      </w:r>
      <w:r w:rsidR="00DF1039" w:rsidRPr="00DF1039">
        <w:t xml:space="preserve">proof of debt by HAL that </w:t>
      </w:r>
      <w:r w:rsidR="00C20C37">
        <w:t>makes it</w:t>
      </w:r>
      <w:r w:rsidR="00DF1039" w:rsidRPr="00DF1039">
        <w:t xml:space="preserve"> by far the largest unsecured creditor, and </w:t>
      </w:r>
      <w:r w:rsidR="00C20C37">
        <w:t>therefore</w:t>
      </w:r>
      <w:r w:rsidR="00DF1039" w:rsidRPr="00DF1039">
        <w:t xml:space="preserve"> the largest beneficiary of any recoveries made by the Liquidator in these proceedings</w:t>
      </w:r>
      <w:r w:rsidR="00C20C37">
        <w:t xml:space="preserve"> (see [</w:t>
      </w:r>
      <w:r w:rsidR="00C20C37">
        <w:fldChar w:fldCharType="begin"/>
      </w:r>
      <w:r w:rsidR="00C20C37">
        <w:instrText xml:space="preserve"> REF _Ref118444103 \r \h </w:instrText>
      </w:r>
      <w:r w:rsidR="00C20C37">
        <w:fldChar w:fldCharType="separate"/>
      </w:r>
      <w:r w:rsidR="00E762C8">
        <w:t>59</w:t>
      </w:r>
      <w:r w:rsidR="00C20C37">
        <w:fldChar w:fldCharType="end"/>
      </w:r>
      <w:r w:rsidR="00C20C37">
        <w:t>] above)</w:t>
      </w:r>
      <w:r w:rsidR="00DF1039" w:rsidRPr="00DF1039">
        <w:t>.</w:t>
      </w:r>
      <w:bookmarkEnd w:id="58"/>
    </w:p>
    <w:p w14:paraId="4532B0BC" w14:textId="28725DAC" w:rsidR="00345280" w:rsidRDefault="00101F36" w:rsidP="00BD2D34">
      <w:pPr>
        <w:pStyle w:val="BodyText"/>
      </w:pPr>
      <w:r>
        <w:t>Darty further</w:t>
      </w:r>
      <w:r w:rsidR="00CD388C">
        <w:t xml:space="preserve"> claims that there would be no simple way to restore the position to what it would have been had the transaction not been entered into. </w:t>
      </w:r>
      <w:r w:rsidR="00B1777F">
        <w:t>The discharge of the KIL RCF could not fairly be separated from other elements of the</w:t>
      </w:r>
      <w:r w:rsidR="00EF3617">
        <w:t xml:space="preserve"> </w:t>
      </w:r>
      <w:r w:rsidR="00AF5846">
        <w:t>Disposal</w:t>
      </w:r>
      <w:r w:rsidR="00EF3617">
        <w:t xml:space="preserve">. In the counterfactual, Comet would not have been sold, a new </w:t>
      </w:r>
      <w:r w:rsidR="00515CE6">
        <w:t xml:space="preserve">secured </w:t>
      </w:r>
      <w:r w:rsidR="00EF3617">
        <w:t>lending from HA</w:t>
      </w:r>
      <w:r w:rsidR="00E22D4F">
        <w:t>L</w:t>
      </w:r>
      <w:r w:rsidR="00EF3617">
        <w:t xml:space="preserve"> would not have been</w:t>
      </w:r>
      <w:r w:rsidR="008773BA">
        <w:t xml:space="preserve"> put</w:t>
      </w:r>
      <w:r w:rsidR="00EF3617">
        <w:t xml:space="preserve"> in place, HA</w:t>
      </w:r>
      <w:r w:rsidR="00E22D4F">
        <w:t>L</w:t>
      </w:r>
      <w:r w:rsidR="00EF3617">
        <w:t xml:space="preserve"> would not have received the considerable payments it in fact received from the estate</w:t>
      </w:r>
      <w:r w:rsidR="00515CE6">
        <w:t>, and</w:t>
      </w:r>
      <w:r w:rsidR="00446629">
        <w:t xml:space="preserve"> Kesa would not have assumed liability for the DB Scheme</w:t>
      </w:r>
      <w:r w:rsidR="009E200E">
        <w:t>.</w:t>
      </w:r>
    </w:p>
    <w:p w14:paraId="5B029106" w14:textId="03572243" w:rsidR="002D73FC" w:rsidRDefault="00424DBD" w:rsidP="00BD2D34">
      <w:pPr>
        <w:pStyle w:val="BodyText"/>
      </w:pPr>
      <w:r>
        <w:t xml:space="preserve">There was no dispute that the purpose of s.239 is to prevent a company </w:t>
      </w:r>
      <w:r w:rsidR="005D2494">
        <w:t>defeating</w:t>
      </w:r>
      <w:r>
        <w:t xml:space="preserve"> </w:t>
      </w:r>
      <w:r w:rsidR="005D2494">
        <w:t xml:space="preserve">or undermining the </w:t>
      </w:r>
      <w:r w:rsidR="005D2494" w:rsidRPr="005D2494">
        <w:rPr>
          <w:i/>
          <w:iCs/>
        </w:rPr>
        <w:t>pari passu</w:t>
      </w:r>
      <w:r w:rsidR="005D2494">
        <w:t xml:space="preserve"> principle</w:t>
      </w:r>
      <w:r w:rsidR="00E014C2">
        <w:t>, namely that creditors should be entitled to participate</w:t>
      </w:r>
      <w:r w:rsidR="00E34383">
        <w:t xml:space="preserve"> on a </w:t>
      </w:r>
      <w:r w:rsidR="00E014C2" w:rsidRPr="00E34383">
        <w:rPr>
          <w:i/>
          <w:iCs/>
        </w:rPr>
        <w:t>pa</w:t>
      </w:r>
      <w:r w:rsidR="00E34383" w:rsidRPr="00E34383">
        <w:rPr>
          <w:i/>
          <w:iCs/>
        </w:rPr>
        <w:t>ri passu</w:t>
      </w:r>
      <w:r w:rsidR="00E34383">
        <w:t xml:space="preserve"> basis in </w:t>
      </w:r>
      <w:r w:rsidR="000E2165">
        <w:t>assets held at the date of the insolvency, and that this should extend to assets</w:t>
      </w:r>
      <w:r w:rsidR="00FE761D">
        <w:t xml:space="preserve"> that ought to have been held but for ill-</w:t>
      </w:r>
      <w:r w:rsidR="002625AE">
        <w:t>motivated</w:t>
      </w:r>
      <w:r w:rsidR="00FE761D">
        <w:t xml:space="preserve"> transactions putting </w:t>
      </w:r>
      <w:r w:rsidR="002625AE">
        <w:t>them</w:t>
      </w:r>
      <w:r w:rsidR="00FE761D">
        <w:t xml:space="preserve"> out of </w:t>
      </w:r>
      <w:r w:rsidR="002625AE">
        <w:t>the liquidator’s reach</w:t>
      </w:r>
      <w:r w:rsidR="00203760">
        <w:t xml:space="preserve">: </w:t>
      </w:r>
      <w:r w:rsidR="00203760" w:rsidRPr="00845097">
        <w:rPr>
          <w:i/>
          <w:iCs/>
        </w:rPr>
        <w:t>Stonham v Ramrattan</w:t>
      </w:r>
      <w:r w:rsidR="00203760" w:rsidRPr="00203760">
        <w:t xml:space="preserve"> at [40]</w:t>
      </w:r>
      <w:r w:rsidR="007B1C0E">
        <w:t>. (The context there was a trans</w:t>
      </w:r>
      <w:r w:rsidR="002A7EB8">
        <w:t>ac</w:t>
      </w:r>
      <w:r w:rsidR="007B1C0E">
        <w:t>tion at an undervalue, but similar</w:t>
      </w:r>
      <w:r w:rsidR="00925D6E">
        <w:t xml:space="preserve"> principles apply to preferences: see</w:t>
      </w:r>
      <w:r w:rsidR="00203760" w:rsidRPr="00203760">
        <w:t xml:space="preserve"> </w:t>
      </w:r>
      <w:r w:rsidR="00203760" w:rsidRPr="003308B9">
        <w:rPr>
          <w:i/>
          <w:iCs/>
        </w:rPr>
        <w:t>Re Fowlds</w:t>
      </w:r>
      <w:r w:rsidR="00203760" w:rsidRPr="00203760">
        <w:t xml:space="preserve"> at [39]</w:t>
      </w:r>
      <w:r w:rsidR="009D0998">
        <w:t>.)</w:t>
      </w:r>
    </w:p>
    <w:p w14:paraId="7133A3BE" w14:textId="0DC8470C" w:rsidR="00EE6D86" w:rsidRDefault="00B357A7" w:rsidP="005A5003">
      <w:pPr>
        <w:pStyle w:val="BodyText"/>
      </w:pPr>
      <w:r>
        <w:t>Consistently with this,</w:t>
      </w:r>
      <w:r w:rsidR="008E43E4">
        <w:t xml:space="preserve"> the</w:t>
      </w:r>
      <w:r w:rsidR="00B05317">
        <w:t xml:space="preserve"> order that the</w:t>
      </w:r>
      <w:r w:rsidR="008E43E4">
        <w:t xml:space="preserve"> court is required to make under </w:t>
      </w:r>
      <w:r w:rsidR="00EB00E1">
        <w:t xml:space="preserve">s.239(3) </w:t>
      </w:r>
      <w:r w:rsidR="00296B7E">
        <w:t>is one that restores the position</w:t>
      </w:r>
      <w:r w:rsidR="00274290">
        <w:t xml:space="preserve"> to what it would have been if a preference had not been gi</w:t>
      </w:r>
      <w:r w:rsidR="00C22AAB">
        <w:t>ven</w:t>
      </w:r>
      <w:r w:rsidR="0070643C">
        <w:t>.</w:t>
      </w:r>
      <w:r w:rsidR="00C22AAB">
        <w:t xml:space="preserve"> As </w:t>
      </w:r>
      <w:r w:rsidR="007E6A16">
        <w:t>Neuberger</w:t>
      </w:r>
      <w:r w:rsidR="00C22AAB">
        <w:t xml:space="preserve"> J said in </w:t>
      </w:r>
      <w:r w:rsidR="000769C0" w:rsidRPr="00E62F32">
        <w:rPr>
          <w:i/>
          <w:iCs/>
        </w:rPr>
        <w:t>Damon v Widney Plc</w:t>
      </w:r>
      <w:r w:rsidR="000769C0" w:rsidRPr="000769C0">
        <w:t xml:space="preserve"> [2002] BPIR 465</w:t>
      </w:r>
      <w:r w:rsidR="00974D5F">
        <w:t>, 470</w:t>
      </w:r>
      <w:r w:rsidR="00644CF9">
        <w:t xml:space="preserve">, </w:t>
      </w:r>
      <w:r w:rsidR="00B778D6">
        <w:t xml:space="preserve">the intention is to ensure that the creditor is neither better </w:t>
      </w:r>
      <w:r w:rsidR="00E62F32">
        <w:t>off no</w:t>
      </w:r>
      <w:r w:rsidR="0070643C">
        <w:t>r</w:t>
      </w:r>
      <w:r w:rsidR="00E62F32">
        <w:t xml:space="preserve"> worse off</w:t>
      </w:r>
      <w:r w:rsidR="0070643C">
        <w:t>,</w:t>
      </w:r>
      <w:r w:rsidR="00E62F32">
        <w:t xml:space="preserve"> “</w:t>
      </w:r>
      <w:r w:rsidR="00E62F32" w:rsidRPr="00E62F32">
        <w:t>and, more importantly, that the Company is not better off nor worse off</w:t>
      </w:r>
      <w:r w:rsidR="00E62F32">
        <w:t>”</w:t>
      </w:r>
      <w:r w:rsidR="00E62F32" w:rsidRPr="00E62F32">
        <w:t xml:space="preserve"> than if the alleged preference had not been given.</w:t>
      </w:r>
    </w:p>
    <w:p w14:paraId="633056E6" w14:textId="2112BAD5" w:rsidR="00831C26" w:rsidRDefault="00BD7EFD" w:rsidP="005A5003">
      <w:pPr>
        <w:pStyle w:val="BodyText"/>
      </w:pPr>
      <w:r>
        <w:t xml:space="preserve">Given the </w:t>
      </w:r>
      <w:r w:rsidR="004358AB">
        <w:t>purpose</w:t>
      </w:r>
      <w:r>
        <w:t xml:space="preserve"> of s.239, </w:t>
      </w:r>
      <w:r w:rsidR="00B610EE">
        <w:t>I agree that the primary focus must be on the company</w:t>
      </w:r>
      <w:r>
        <w:t>.</w:t>
      </w:r>
      <w:r w:rsidR="00861168">
        <w:t xml:space="preserve"> </w:t>
      </w:r>
      <w:r w:rsidR="00210BD9">
        <w:t xml:space="preserve">This </w:t>
      </w:r>
      <w:r w:rsidR="002D56F9">
        <w:t xml:space="preserve">is also consistent with the approach taken by </w:t>
      </w:r>
      <w:r w:rsidR="000F644B">
        <w:t xml:space="preserve">Trower J in </w:t>
      </w:r>
      <w:r w:rsidR="000F644B" w:rsidRPr="002C578C">
        <w:rPr>
          <w:i/>
          <w:iCs/>
        </w:rPr>
        <w:t>Re Fowlds</w:t>
      </w:r>
      <w:r w:rsidR="004F7513">
        <w:t xml:space="preserve"> at [93], whe</w:t>
      </w:r>
      <w:r w:rsidR="002D56F9">
        <w:t>re</w:t>
      </w:r>
      <w:r w:rsidR="009A672D">
        <w:t>, in response to a claim of change of position</w:t>
      </w:r>
      <w:r w:rsidR="004C426B">
        <w:t xml:space="preserve">, </w:t>
      </w:r>
      <w:r w:rsidR="00B10330">
        <w:t xml:space="preserve">he concluded </w:t>
      </w:r>
      <w:r w:rsidR="004C426B">
        <w:t>that</w:t>
      </w:r>
      <w:r w:rsidR="000C0BF4">
        <w:t>:</w:t>
      </w:r>
    </w:p>
    <w:p w14:paraId="362B3A2A" w14:textId="555A8F02" w:rsidR="000C0BF4" w:rsidRDefault="00D600C9" w:rsidP="000C0BF4">
      <w:pPr>
        <w:pStyle w:val="Citations"/>
      </w:pPr>
      <w:r>
        <w:t xml:space="preserve">“… </w:t>
      </w:r>
      <w:r w:rsidR="000C0BF4">
        <w:t>it will rarely be possible to give weight to a change of position by the preferee or the transferee, while at the same time honouring the policy which is re</w:t>
      </w:r>
      <w:r>
        <w:t>fl</w:t>
      </w:r>
      <w:r w:rsidR="000C0BF4">
        <w:t>ected in</w:t>
      </w:r>
      <w:r>
        <w:t xml:space="preserve"> </w:t>
      </w:r>
      <w:r w:rsidR="000C0BF4">
        <w:t>the statute, the normal operation of the statutory insolvency scheme and the restorative nature of the relief (if any) it is required to grant.</w:t>
      </w:r>
      <w:r>
        <w:t>”</w:t>
      </w:r>
    </w:p>
    <w:p w14:paraId="0E2D2A94" w14:textId="5081E111" w:rsidR="004E349B" w:rsidRDefault="00EF6A06" w:rsidP="00EF6A06">
      <w:pPr>
        <w:pStyle w:val="BodyText"/>
      </w:pPr>
      <w:r>
        <w:t>Trower J went on to say at [95]:</w:t>
      </w:r>
    </w:p>
    <w:p w14:paraId="560B43B9" w14:textId="7F8B9F2D" w:rsidR="00EF6A06" w:rsidRDefault="00EF6A06" w:rsidP="00EF6A06">
      <w:pPr>
        <w:pStyle w:val="Citations"/>
      </w:pPr>
      <w:r>
        <w:t>“The policy that underpins the statute means that the balance is only</w:t>
      </w:r>
    </w:p>
    <w:p w14:paraId="21A41D2C" w14:textId="6EB87866" w:rsidR="00EF6A06" w:rsidRDefault="00EF6A06" w:rsidP="00EF6A06">
      <w:pPr>
        <w:pStyle w:val="Citations"/>
      </w:pPr>
      <w:r>
        <w:t>likely to come down in favour of the transferee where the circumstances are sufficiently out of the norm to be exceptional.”</w:t>
      </w:r>
    </w:p>
    <w:p w14:paraId="1E26331A" w14:textId="5CA5E433" w:rsidR="00DA56C2" w:rsidRDefault="00861168" w:rsidP="005A5003">
      <w:pPr>
        <w:pStyle w:val="BodyText"/>
      </w:pPr>
      <w:r>
        <w:t>In order to repay the KIL RCF</w:t>
      </w:r>
      <w:r w:rsidR="00657223">
        <w:t>, Comet drew down £115.4m of secured debt.</w:t>
      </w:r>
      <w:r w:rsidR="00135032">
        <w:t xml:space="preserve"> The fact that that debt was to be secured was agreed between</w:t>
      </w:r>
      <w:r w:rsidR="003321DB">
        <w:t xml:space="preserve"> HAL and Kesa, </w:t>
      </w:r>
      <w:r w:rsidR="00064114">
        <w:t>as made clear by the terms of the SPA.</w:t>
      </w:r>
      <w:r w:rsidR="00EE4B00">
        <w:t xml:space="preserve"> The effect was </w:t>
      </w:r>
      <w:r w:rsidR="00D40931">
        <w:t>to deprive other unsecured creditors of</w:t>
      </w:r>
      <w:r w:rsidR="00BF4E6C">
        <w:t xml:space="preserve"> </w:t>
      </w:r>
      <w:r w:rsidR="00D40ADD">
        <w:t xml:space="preserve">access to </w:t>
      </w:r>
      <w:r w:rsidR="00BF4E6C">
        <w:t>assets that became available</w:t>
      </w:r>
      <w:r w:rsidR="00D40ADD">
        <w:t xml:space="preserve"> only to the secured creditor.</w:t>
      </w:r>
    </w:p>
    <w:p w14:paraId="0FC377A1" w14:textId="258CBAD2" w:rsidR="0021732D" w:rsidRDefault="005D6DFF" w:rsidP="005A5003">
      <w:pPr>
        <w:pStyle w:val="BodyText"/>
      </w:pPr>
      <w:r>
        <w:t xml:space="preserve">I cannot see that it would be right for me to </w:t>
      </w:r>
      <w:r w:rsidR="00F249C9">
        <w:t>refuse to make an order</w:t>
      </w:r>
      <w:r w:rsidR="001920EA">
        <w:t xml:space="preserve"> because</w:t>
      </w:r>
      <w:r>
        <w:t xml:space="preserve"> the Liquidator might </w:t>
      </w:r>
      <w:r w:rsidR="001920EA">
        <w:t>have had a claim</w:t>
      </w:r>
      <w:r>
        <w:t xml:space="preserve"> against HAL, or </w:t>
      </w:r>
      <w:r w:rsidR="001920EA">
        <w:t xml:space="preserve">because he has not objected to HAL proving as an unsecured creditor. Either approach would amount to </w:t>
      </w:r>
      <w:r w:rsidR="00841E91">
        <w:t xml:space="preserve">accepting </w:t>
      </w:r>
      <w:r w:rsidR="001920EA">
        <w:t>an indirect challenge to the Liquidator’s actions</w:t>
      </w:r>
      <w:r w:rsidR="00841E91">
        <w:t>. No such challenge is before the court.</w:t>
      </w:r>
      <w:r w:rsidR="00902721">
        <w:t xml:space="preserve"> </w:t>
      </w:r>
      <w:r w:rsidR="00A911A5">
        <w:t>Darty has also not sought to join HAL to the proceedings</w:t>
      </w:r>
      <w:r w:rsidR="00B747B8">
        <w:t xml:space="preserve"> to make </w:t>
      </w:r>
      <w:r w:rsidR="009D539B">
        <w:t>an</w:t>
      </w:r>
      <w:r w:rsidR="00B747B8">
        <w:t xml:space="preserve"> order </w:t>
      </w:r>
      <w:r w:rsidR="005C3088">
        <w:t xml:space="preserve">against it </w:t>
      </w:r>
      <w:r w:rsidR="001C1BAC">
        <w:t>under s.239(3)</w:t>
      </w:r>
      <w:r w:rsidR="005C3088">
        <w:t>, as its defence claimed should have been done.</w:t>
      </w:r>
    </w:p>
    <w:p w14:paraId="0D3FA00B" w14:textId="71B04099" w:rsidR="00E213B4" w:rsidRDefault="005467F5" w:rsidP="005A5003">
      <w:pPr>
        <w:pStyle w:val="BodyText"/>
      </w:pPr>
      <w:r>
        <w:t xml:space="preserve">I am also not attracted </w:t>
      </w:r>
      <w:r w:rsidR="00BA5F90">
        <w:t xml:space="preserve">by the argument that I should make no order because there is no </w:t>
      </w:r>
      <w:r w:rsidR="005D70CD">
        <w:t>“</w:t>
      </w:r>
      <w:r w:rsidR="00BA5F90">
        <w:t>simple</w:t>
      </w:r>
      <w:r w:rsidR="005D70CD">
        <w:t>”</w:t>
      </w:r>
      <w:r w:rsidR="00BA5F90">
        <w:t xml:space="preserve"> way of restoring the </w:t>
      </w:r>
      <w:r w:rsidR="00495AAE">
        <w:t xml:space="preserve">position. </w:t>
      </w:r>
      <w:r w:rsidR="00F9081F">
        <w:t xml:space="preserve">Unless justice requires </w:t>
      </w:r>
      <w:r w:rsidR="000F2F32">
        <w:t>otherwise</w:t>
      </w:r>
      <w:r w:rsidR="00F9081F">
        <w:t>, t</w:t>
      </w:r>
      <w:r w:rsidR="000F2F32">
        <w:t>he</w:t>
      </w:r>
      <w:r w:rsidR="00F9081F">
        <w:t xml:space="preserve"> court must do the best</w:t>
      </w:r>
      <w:r w:rsidR="00EB55D3">
        <w:t xml:space="preserve"> that</w:t>
      </w:r>
      <w:r w:rsidR="00F9081F">
        <w:t xml:space="preserve"> it can</w:t>
      </w:r>
      <w:r w:rsidR="000F2F32">
        <w:t xml:space="preserve">. </w:t>
      </w:r>
      <w:r w:rsidR="00921C09">
        <w:t>The starting point under s.239(3) is that the court</w:t>
      </w:r>
      <w:r w:rsidR="008F117C">
        <w:t xml:space="preserve"> is required to make an order restoring the position. </w:t>
      </w:r>
      <w:r w:rsidR="0094782B">
        <w:t xml:space="preserve">The fact that doing so might be perceived to be difficult, or the result </w:t>
      </w:r>
      <w:r w:rsidR="00F743DA">
        <w:t xml:space="preserve">imperfect, is not a reason to refuse to </w:t>
      </w:r>
      <w:r w:rsidR="00E97B60">
        <w:t>act</w:t>
      </w:r>
      <w:r w:rsidR="00F743DA">
        <w:t>.</w:t>
      </w:r>
      <w:r w:rsidR="00CE7541">
        <w:t xml:space="preserve"> The priority is to restore</w:t>
      </w:r>
      <w:r w:rsidR="00454FD9">
        <w:t xml:space="preserve"> the company’s position.</w:t>
      </w:r>
    </w:p>
    <w:p w14:paraId="79BD0CD3" w14:textId="1F89BCA0" w:rsidR="005467F5" w:rsidRDefault="000F2F32" w:rsidP="005A5003">
      <w:pPr>
        <w:pStyle w:val="BodyText"/>
      </w:pPr>
      <w:r>
        <w:t>Further, as</w:t>
      </w:r>
      <w:r w:rsidR="00AA03AF">
        <w:t xml:space="preserve"> Darty points out</w:t>
      </w:r>
      <w:r w:rsidR="007635A2">
        <w:t xml:space="preserve">, the court is not permitted to hypothesise an entirely different </w:t>
      </w:r>
      <w:r w:rsidR="0087349E">
        <w:t>transaction</w:t>
      </w:r>
      <w:r w:rsidR="003E5446">
        <w:t>:</w:t>
      </w:r>
      <w:r w:rsidR="0087349E">
        <w:t xml:space="preserve"> </w:t>
      </w:r>
      <w:r w:rsidR="0087349E" w:rsidRPr="0004579A">
        <w:rPr>
          <w:i/>
          <w:iCs/>
        </w:rPr>
        <w:t>Re MDA Investment Management</w:t>
      </w:r>
      <w:r w:rsidR="0087349E">
        <w:t xml:space="preserve"> at [123]</w:t>
      </w:r>
      <w:r w:rsidR="009659BD">
        <w:t xml:space="preserve">. </w:t>
      </w:r>
      <w:r w:rsidR="0082799B">
        <w:t>In my view the</w:t>
      </w:r>
      <w:r w:rsidR="003E25E0">
        <w:t xml:space="preserve"> correct counterfactual</w:t>
      </w:r>
      <w:r w:rsidR="00AA483A">
        <w:t>, if the KIL RCF had not been repa</w:t>
      </w:r>
      <w:r w:rsidR="003E25E0">
        <w:t xml:space="preserve">id, </w:t>
      </w:r>
      <w:r w:rsidR="00305CCB">
        <w:t>must be that the Disposal did not occur.</w:t>
      </w:r>
    </w:p>
    <w:p w14:paraId="487B7745" w14:textId="0E5190D6" w:rsidR="008969C8" w:rsidRDefault="0082799B" w:rsidP="005A5003">
      <w:pPr>
        <w:pStyle w:val="BodyText"/>
      </w:pPr>
      <w:r>
        <w:t>Mr</w:t>
      </w:r>
      <w:r w:rsidR="008969C8">
        <w:t xml:space="preserve"> </w:t>
      </w:r>
      <w:r>
        <w:t>Gledhill submitted that</w:t>
      </w:r>
      <w:r w:rsidR="0083005B">
        <w:t xml:space="preserve"> it was necessary to </w:t>
      </w:r>
      <w:r w:rsidR="00C61E79">
        <w:t>make an order calibrated only to</w:t>
      </w:r>
      <w:r w:rsidR="0083005B">
        <w:t xml:space="preserve"> the preference</w:t>
      </w:r>
      <w:r w:rsidR="00C61E79">
        <w:t xml:space="preserve">, effectively isolating it </w:t>
      </w:r>
      <w:r w:rsidR="0083005B">
        <w:t xml:space="preserve">from the rest of the overall </w:t>
      </w:r>
      <w:r w:rsidR="00C61E79">
        <w:t>transaction.</w:t>
      </w:r>
      <w:r w:rsidR="005F3426">
        <w:t xml:space="preserve"> He pointed out that cases such as </w:t>
      </w:r>
      <w:r w:rsidR="005F3426" w:rsidRPr="00671D86">
        <w:rPr>
          <w:i/>
          <w:iCs/>
        </w:rPr>
        <w:t xml:space="preserve">Re </w:t>
      </w:r>
      <w:r w:rsidR="00671D86" w:rsidRPr="00671D86">
        <w:rPr>
          <w:i/>
          <w:iCs/>
        </w:rPr>
        <w:t>Claridge</w:t>
      </w:r>
      <w:r w:rsidR="005F3426">
        <w:t>, relied on by Mr Smith as</w:t>
      </w:r>
      <w:r w:rsidR="00080077">
        <w:t xml:space="preserve"> authority for considering the wider context</w:t>
      </w:r>
      <w:r w:rsidR="002F254B">
        <w:t xml:space="preserve"> (see [</w:t>
      </w:r>
      <w:r w:rsidR="002F254B">
        <w:fldChar w:fldCharType="begin"/>
      </w:r>
      <w:r w:rsidR="002F254B">
        <w:instrText xml:space="preserve"> REF _Ref118464112 \r \h </w:instrText>
      </w:r>
      <w:r w:rsidR="002F254B">
        <w:fldChar w:fldCharType="separate"/>
      </w:r>
      <w:r w:rsidR="00E762C8">
        <w:t>131</w:t>
      </w:r>
      <w:r w:rsidR="002F254B">
        <w:fldChar w:fldCharType="end"/>
      </w:r>
      <w:r w:rsidR="002F254B">
        <w:t>] above)</w:t>
      </w:r>
      <w:r w:rsidR="00080077">
        <w:t>, were case</w:t>
      </w:r>
      <w:r w:rsidR="001D0CA3">
        <w:t>s</w:t>
      </w:r>
      <w:r w:rsidR="00080077">
        <w:t xml:space="preserve"> relating </w:t>
      </w:r>
      <w:r w:rsidR="00671D86">
        <w:t>to</w:t>
      </w:r>
      <w:r w:rsidR="00080077">
        <w:t xml:space="preserve"> transactions at an undervalue within s.238 IA 1986, which </w:t>
      </w:r>
      <w:r w:rsidR="004C03E2">
        <w:t>requires</w:t>
      </w:r>
      <w:r w:rsidR="00F06296">
        <w:t xml:space="preserve"> the court to make</w:t>
      </w:r>
      <w:r w:rsidR="007C542D">
        <w:t xml:space="preserve"> such order as it thinks fit for “restoring the position to what it would have been if the company had not entered into </w:t>
      </w:r>
      <w:r w:rsidR="007C542D" w:rsidRPr="00604FFF">
        <w:rPr>
          <w:u w:val="single"/>
        </w:rPr>
        <w:t>that transaction</w:t>
      </w:r>
      <w:r w:rsidR="00604FFF">
        <w:t>”,</w:t>
      </w:r>
      <w:r w:rsidR="00080077">
        <w:t xml:space="preserve"> rather than “</w:t>
      </w:r>
      <w:r w:rsidR="008F0BFC">
        <w:t xml:space="preserve">that </w:t>
      </w:r>
      <w:r w:rsidR="00080077">
        <w:t>preference”</w:t>
      </w:r>
      <w:r w:rsidR="008F0BFC">
        <w:t>, which is the wording used in s.239(3)</w:t>
      </w:r>
      <w:r w:rsidR="00671D86">
        <w:t>. I disagree. The difference in language</w:t>
      </w:r>
      <w:r w:rsidR="008F0BFC">
        <w:t xml:space="preserve"> simply reflects</w:t>
      </w:r>
      <w:r w:rsidR="00CB2BCC">
        <w:t xml:space="preserve"> the fact that </w:t>
      </w:r>
      <w:r w:rsidR="0062229D">
        <w:t>s.</w:t>
      </w:r>
      <w:r w:rsidR="00CB2BCC">
        <w:t>238</w:t>
      </w:r>
      <w:r w:rsidR="0062229D">
        <w:t xml:space="preserve"> </w:t>
      </w:r>
      <w:r w:rsidR="00B6610E">
        <w:t>a</w:t>
      </w:r>
      <w:r w:rsidR="0062229D">
        <w:t>pplies to a transaction at an undervalue, and s.239 applies to a preference.</w:t>
      </w:r>
    </w:p>
    <w:p w14:paraId="3811DD19" w14:textId="64E9281D" w:rsidR="00263A9B" w:rsidRDefault="0072167D" w:rsidP="005A5003">
      <w:pPr>
        <w:pStyle w:val="BodyText"/>
      </w:pPr>
      <w:r>
        <w:t xml:space="preserve">It does not follow from this, however, that I should </w:t>
      </w:r>
      <w:r w:rsidR="007C527F">
        <w:t>necessarily</w:t>
      </w:r>
      <w:r>
        <w:t xml:space="preserve"> give credit to Kesa</w:t>
      </w:r>
      <w:r w:rsidR="0003607C">
        <w:t xml:space="preserve"> to reflect</w:t>
      </w:r>
      <w:r w:rsidR="00C641D9">
        <w:t xml:space="preserve"> its</w:t>
      </w:r>
      <w:r w:rsidR="0003607C">
        <w:t xml:space="preserve"> </w:t>
      </w:r>
      <w:r w:rsidR="00DC40A2">
        <w:t>other costs associated with the Disposal</w:t>
      </w:r>
      <w:r w:rsidR="00BC329D">
        <w:t xml:space="preserve">. </w:t>
      </w:r>
      <w:r w:rsidR="00783383">
        <w:t>To the extent it is r</w:t>
      </w:r>
      <w:r w:rsidR="00E61749">
        <w:t>elevant to have regard to th</w:t>
      </w:r>
      <w:r w:rsidR="00066958">
        <w:t>ose costs</w:t>
      </w:r>
      <w:r w:rsidR="00E22E2A">
        <w:t xml:space="preserve"> in assessing what justice requires</w:t>
      </w:r>
      <w:r w:rsidR="00066958">
        <w:t xml:space="preserve"> </w:t>
      </w:r>
      <w:r w:rsidR="00E61749">
        <w:t>(bearing in mind</w:t>
      </w:r>
      <w:r w:rsidR="004836C6">
        <w:t xml:space="preserve"> not only the policy aim of s.239</w:t>
      </w:r>
      <w:r w:rsidR="0068703D">
        <w:t xml:space="preserve"> but</w:t>
      </w:r>
      <w:r w:rsidR="00E61749">
        <w:t xml:space="preserve"> that </w:t>
      </w:r>
      <w:r w:rsidR="008A7065">
        <w:t xml:space="preserve">not all the </w:t>
      </w:r>
      <w:r w:rsidR="00E61749">
        <w:t>costs</w:t>
      </w:r>
      <w:r w:rsidR="00985BF5">
        <w:t xml:space="preserve"> relied on by Darty</w:t>
      </w:r>
      <w:r w:rsidR="00E61749">
        <w:t xml:space="preserve"> were </w:t>
      </w:r>
      <w:r w:rsidR="0068703D">
        <w:t xml:space="preserve">even </w:t>
      </w:r>
      <w:r w:rsidR="00E61749">
        <w:t xml:space="preserve">incurred </w:t>
      </w:r>
      <w:r w:rsidR="002E3FAB">
        <w:t xml:space="preserve">by </w:t>
      </w:r>
      <w:r w:rsidR="0068703D">
        <w:t>the creditor</w:t>
      </w:r>
      <w:r w:rsidR="00066958">
        <w:t xml:space="preserve"> entity</w:t>
      </w:r>
      <w:r w:rsidR="009221CB">
        <w:t>,</w:t>
      </w:r>
      <w:r w:rsidR="0068703D">
        <w:t xml:space="preserve"> </w:t>
      </w:r>
      <w:r w:rsidR="002E3FAB">
        <w:t>KIL), t</w:t>
      </w:r>
      <w:r w:rsidR="00BC329D">
        <w:t>he reality is that, if the Disposal had not occurred</w:t>
      </w:r>
      <w:r w:rsidR="003D62B1">
        <w:t>, Kesa’s costs</w:t>
      </w:r>
      <w:r w:rsidR="00F103B6">
        <w:t xml:space="preserve"> would have been much higher. Far from the KIL RCF being repaid, </w:t>
      </w:r>
      <w:r w:rsidR="00BB0BF2">
        <w:t xml:space="preserve">it is clear from the evidence that </w:t>
      </w:r>
      <w:r w:rsidR="00F103B6">
        <w:t>Kesa</w:t>
      </w:r>
      <w:r w:rsidR="009221CB">
        <w:t>, through KIL,</w:t>
      </w:r>
      <w:r w:rsidR="00F103B6">
        <w:t xml:space="preserve"> would have continued to extend credit</w:t>
      </w:r>
      <w:r w:rsidR="00DF7FCF">
        <w:t xml:space="preserve"> and in all likelihood would have suffered</w:t>
      </w:r>
      <w:r w:rsidR="00976A46">
        <w:t xml:space="preserve"> material</w:t>
      </w:r>
      <w:r w:rsidR="00DF7FCF">
        <w:t xml:space="preserve"> </w:t>
      </w:r>
      <w:r w:rsidR="00976A46">
        <w:t xml:space="preserve">additional losses in attempting to turn the business round or in closing it down. </w:t>
      </w:r>
      <w:r w:rsidR="008D5C82">
        <w:t>That is why Kesa</w:t>
      </w:r>
      <w:r w:rsidR="00C954D2">
        <w:t>’s management</w:t>
      </w:r>
      <w:r w:rsidR="008D5C82">
        <w:t xml:space="preserve"> agreed the OpCapita deal. </w:t>
      </w:r>
      <w:r w:rsidR="00BE5E93">
        <w:t xml:space="preserve">They </w:t>
      </w:r>
      <w:r w:rsidR="008D5C82">
        <w:t xml:space="preserve">considered that it represented the best available </w:t>
      </w:r>
      <w:r w:rsidR="00C954D2">
        <w:t xml:space="preserve">outcome. The </w:t>
      </w:r>
      <w:r w:rsidR="004E662F">
        <w:t xml:space="preserve">group’s </w:t>
      </w:r>
      <w:r w:rsidR="00C954D2">
        <w:t>shareholders</w:t>
      </w:r>
      <w:r w:rsidR="00BE5E93">
        <w:t xml:space="preserve"> agreed.</w:t>
      </w:r>
    </w:p>
    <w:p w14:paraId="19A8C087" w14:textId="27D76667" w:rsidR="00A05EA6" w:rsidRDefault="00803DE9" w:rsidP="00A05EA6">
      <w:pPr>
        <w:pStyle w:val="BodyText"/>
      </w:pPr>
      <w:r>
        <w:t xml:space="preserve">As to the £78.46m KIL invested in the acquisition structure, that was invested in exchange for an interest in H2L (from which </w:t>
      </w:r>
      <w:r w:rsidR="003F45D6">
        <w:t>KIL</w:t>
      </w:r>
      <w:r>
        <w:t xml:space="preserve"> has benefited). </w:t>
      </w:r>
      <w:r w:rsidR="003F45D6">
        <w:t xml:space="preserve">The </w:t>
      </w:r>
      <w:r w:rsidR="00B51DB3">
        <w:t>investment</w:t>
      </w:r>
      <w:r>
        <w:t xml:space="preserve"> did nothing to increase Comet’s assets available to unsecured creditors.</w:t>
      </w:r>
      <w:r w:rsidR="00995D1A">
        <w:t xml:space="preserve"> </w:t>
      </w:r>
      <w:r w:rsidR="002C1509">
        <w:t>For that reason no “credit” should be given in respect of it.</w:t>
      </w:r>
      <w:r w:rsidR="00A05EA6" w:rsidRPr="00A05EA6">
        <w:t xml:space="preserve"> </w:t>
      </w:r>
    </w:p>
    <w:p w14:paraId="351FA16E" w14:textId="21F48E78" w:rsidR="00803DE9" w:rsidRDefault="00A05EA6" w:rsidP="00CF0DA2">
      <w:pPr>
        <w:pStyle w:val="BodyText"/>
      </w:pPr>
      <w:r>
        <w:t>Further, and to the extent relevant, the arrangements for the discharge of the portion of the KIL RCF corresponding to the Triptych Amount relieved KIL of a real liability to Triptych, whilst burdening Comet with secured debt of that amount owed to HAL.</w:t>
      </w:r>
    </w:p>
    <w:p w14:paraId="7D18CD67" w14:textId="29444D07" w:rsidR="00831DE4" w:rsidRDefault="002C1509" w:rsidP="006B5DF2">
      <w:pPr>
        <w:pStyle w:val="BodyText"/>
      </w:pPr>
      <w:r>
        <w:t>The position is more complex in respect of</w:t>
      </w:r>
      <w:r w:rsidR="008206A1">
        <w:t xml:space="preserve"> </w:t>
      </w:r>
      <w:r w:rsidR="004265D6">
        <w:t>KEP’s</w:t>
      </w:r>
      <w:r w:rsidR="008206A1">
        <w:t xml:space="preserve"> assumption of </w:t>
      </w:r>
      <w:r w:rsidR="00A173E8">
        <w:t>liability</w:t>
      </w:r>
      <w:r w:rsidR="008206A1">
        <w:t xml:space="preserve"> </w:t>
      </w:r>
      <w:r w:rsidR="00A173E8">
        <w:t xml:space="preserve">under the DB Scheme. In </w:t>
      </w:r>
      <w:r w:rsidR="00074580">
        <w:t xml:space="preserve">assessing </w:t>
      </w:r>
      <w:r w:rsidR="00B17D00">
        <w:t>what</w:t>
      </w:r>
      <w:r w:rsidR="00074580">
        <w:t xml:space="preserve"> justice</w:t>
      </w:r>
      <w:r w:rsidR="00B17D00">
        <w:t xml:space="preserve"> requires</w:t>
      </w:r>
      <w:r w:rsidR="00A173E8">
        <w:t xml:space="preserve">, </w:t>
      </w:r>
      <w:r w:rsidR="009D2D2C">
        <w:t>I would note that</w:t>
      </w:r>
      <w:r w:rsidR="009531CB">
        <w:t xml:space="preserve"> the</w:t>
      </w:r>
      <w:r w:rsidR="00B00C2B">
        <w:t xml:space="preserve"> cost was borne by KEP and not </w:t>
      </w:r>
      <w:r w:rsidR="00563039">
        <w:t>KIL, and that the</w:t>
      </w:r>
      <w:r w:rsidR="009531CB">
        <w:t xml:space="preserve"> deed of support referred to at [</w:t>
      </w:r>
      <w:r w:rsidR="006A3061">
        <w:fldChar w:fldCharType="begin"/>
      </w:r>
      <w:r w:rsidR="006A3061">
        <w:instrText xml:space="preserve"> REF _Ref118450502 \r \h </w:instrText>
      </w:r>
      <w:r w:rsidR="006A3061">
        <w:fldChar w:fldCharType="separate"/>
      </w:r>
      <w:r w:rsidR="00E762C8">
        <w:t>14</w:t>
      </w:r>
      <w:r w:rsidR="006A3061">
        <w:fldChar w:fldCharType="end"/>
      </w:r>
      <w:r w:rsidR="009531CB">
        <w:t xml:space="preserve">] above in any event resulted in a substantial direct liability </w:t>
      </w:r>
      <w:r w:rsidR="00066356">
        <w:t>for K</w:t>
      </w:r>
      <w:r w:rsidR="00452589">
        <w:t>EP</w:t>
      </w:r>
      <w:r w:rsidR="00066356">
        <w:t xml:space="preserve">, </w:t>
      </w:r>
      <w:r w:rsidR="00452985">
        <w:t>covering around</w:t>
      </w:r>
      <w:r w:rsidR="00B73D59">
        <w:t xml:space="preserve"> 80% of the overall liability.</w:t>
      </w:r>
      <w:r w:rsidR="009D2D2C">
        <w:t xml:space="preserve"> </w:t>
      </w:r>
      <w:r w:rsidR="00452AE2">
        <w:t>And</w:t>
      </w:r>
      <w:r w:rsidR="009D2D2C">
        <w:t xml:space="preserve"> in any event</w:t>
      </w:r>
      <w:r w:rsidR="00980D0D">
        <w:t xml:space="preserve"> it is clear from the evidence that Kesa would not have permitted Comet </w:t>
      </w:r>
      <w:r w:rsidR="002D3E35">
        <w:t>to default on its debts under its ownership.</w:t>
      </w:r>
      <w:r w:rsidR="00A173E8">
        <w:t xml:space="preserve"> That </w:t>
      </w:r>
      <w:r w:rsidR="00754699">
        <w:t>would have included its commitments as an employer under the DB Scheme.</w:t>
      </w:r>
    </w:p>
    <w:p w14:paraId="252E7FCA" w14:textId="302B6BBE" w:rsidR="00992FA2" w:rsidRDefault="001A7781" w:rsidP="006B5DF2">
      <w:pPr>
        <w:pStyle w:val="BodyText"/>
      </w:pPr>
      <w:r>
        <w:t xml:space="preserve">However, </w:t>
      </w:r>
      <w:r w:rsidR="00962C10">
        <w:t xml:space="preserve">I think </w:t>
      </w:r>
      <w:r>
        <w:t xml:space="preserve">there is a more relevant point related to </w:t>
      </w:r>
      <w:r w:rsidR="004265D6">
        <w:t xml:space="preserve">the impact of KEP’s assumption of </w:t>
      </w:r>
      <w:r w:rsidR="00FB4D0D">
        <w:t>liability under the DB Scheme</w:t>
      </w:r>
      <w:r w:rsidR="00370C81">
        <w:t xml:space="preserve"> </w:t>
      </w:r>
      <w:r w:rsidR="00BF3B93">
        <w:t>on</w:t>
      </w:r>
      <w:r w:rsidR="00F31871">
        <w:t xml:space="preserve"> the quantum of</w:t>
      </w:r>
      <w:r w:rsidR="00BF3B93">
        <w:t xml:space="preserve"> Comet’s unsecured creditors in </w:t>
      </w:r>
      <w:r w:rsidR="006C0349">
        <w:t>its hypothetical liquidation.</w:t>
      </w:r>
      <w:r w:rsidR="00BF3B93">
        <w:t xml:space="preserve"> </w:t>
      </w:r>
      <w:r w:rsidR="004945A3">
        <w:t xml:space="preserve">Mr Ellison’s calculation of </w:t>
      </w:r>
      <w:r w:rsidR="00261A32">
        <w:t>a</w:t>
      </w:r>
      <w:r w:rsidR="004945A3">
        <w:t xml:space="preserve"> counterfactual divid</w:t>
      </w:r>
      <w:r w:rsidR="00261A32">
        <w:t>end of 11.4p/£</w:t>
      </w:r>
      <w:r w:rsidR="00C51A7A">
        <w:t xml:space="preserve"> or £14.7m (see </w:t>
      </w:r>
      <w:r w:rsidR="00D27898">
        <w:t>[</w:t>
      </w:r>
      <w:r w:rsidR="00D27898">
        <w:fldChar w:fldCharType="begin"/>
      </w:r>
      <w:r w:rsidR="00D27898">
        <w:instrText xml:space="preserve"> REF _Ref118458067 \r \h </w:instrText>
      </w:r>
      <w:r w:rsidR="00D27898">
        <w:fldChar w:fldCharType="separate"/>
      </w:r>
      <w:r w:rsidR="00E762C8">
        <w:t>193</w:t>
      </w:r>
      <w:r w:rsidR="00D27898">
        <w:fldChar w:fldCharType="end"/>
      </w:r>
      <w:r w:rsidR="00D27898">
        <w:t>] to [</w:t>
      </w:r>
      <w:r w:rsidR="00D27898">
        <w:fldChar w:fldCharType="begin"/>
      </w:r>
      <w:r w:rsidR="00D27898">
        <w:instrText xml:space="preserve"> REF _Ref118458085 \r \h </w:instrText>
      </w:r>
      <w:r w:rsidR="00D27898">
        <w:fldChar w:fldCharType="separate"/>
      </w:r>
      <w:r w:rsidR="00E762C8">
        <w:t>200</w:t>
      </w:r>
      <w:r w:rsidR="00D27898">
        <w:fldChar w:fldCharType="end"/>
      </w:r>
      <w:r w:rsidR="00D27898">
        <w:t xml:space="preserve">] </w:t>
      </w:r>
      <w:r w:rsidR="00C51A7A">
        <w:t>above)</w:t>
      </w:r>
      <w:r w:rsidR="007100FD">
        <w:t xml:space="preserve"> is premised </w:t>
      </w:r>
      <w:r w:rsidR="00DB19B4">
        <w:t xml:space="preserve">on total unsecured creditors of £712.992m, of which </w:t>
      </w:r>
      <w:r w:rsidR="008B43D2">
        <w:t>£307m represents the liability under the DB Scheme.</w:t>
      </w:r>
      <w:r w:rsidR="00C5015A">
        <w:t xml:space="preserve"> </w:t>
      </w:r>
      <w:r w:rsidR="0023049E">
        <w:t>It is correct that if the Disposal had not occurred this liability</w:t>
      </w:r>
      <w:r w:rsidR="00C5015A">
        <w:t xml:space="preserve"> </w:t>
      </w:r>
      <w:r w:rsidR="0023049E">
        <w:t xml:space="preserve">would </w:t>
      </w:r>
      <w:r w:rsidR="006F63F6">
        <w:t>have remained</w:t>
      </w:r>
      <w:r w:rsidR="002D2D30">
        <w:t xml:space="preserve">, but it is equally correct to say that the effect of the </w:t>
      </w:r>
      <w:r w:rsidR="00825DAA">
        <w:t xml:space="preserve">Disposal was </w:t>
      </w:r>
      <w:r w:rsidR="005C7347">
        <w:t xml:space="preserve">not only to improve KIL’s position as compared to unsecured </w:t>
      </w:r>
      <w:r w:rsidR="002F517F">
        <w:t>creditors, but also to reduce</w:t>
      </w:r>
      <w:r w:rsidR="00AB696C">
        <w:t xml:space="preserve"> the </w:t>
      </w:r>
      <w:r w:rsidR="00C84723">
        <w:t>total amount owed to unsecured creditors</w:t>
      </w:r>
      <w:r w:rsidR="00005BD7">
        <w:t xml:space="preserve"> in the hypothetical liquidation by </w:t>
      </w:r>
      <w:r w:rsidR="005B360A">
        <w:t>£307m, without a</w:t>
      </w:r>
      <w:r w:rsidR="00A85E72">
        <w:t>ny</w:t>
      </w:r>
      <w:r w:rsidR="001645D3">
        <w:t xml:space="preserve"> corresponding</w:t>
      </w:r>
      <w:r w:rsidR="005B360A">
        <w:t xml:space="preserve"> reduction in available assets.</w:t>
      </w:r>
    </w:p>
    <w:p w14:paraId="5B1E33B8" w14:textId="02D1F203" w:rsidR="00A85E72" w:rsidRDefault="00384C9B" w:rsidP="006B5DF2">
      <w:pPr>
        <w:pStyle w:val="BodyText"/>
      </w:pPr>
      <w:r>
        <w:t xml:space="preserve">In the same way </w:t>
      </w:r>
      <w:r w:rsidR="00F32899">
        <w:t xml:space="preserve">that the Liquidator accepts that it would be wrong to disregard the fact that part of the KIL RCF was capitalised on the Disposal, such that the </w:t>
      </w:r>
      <w:r w:rsidR="00E67EF9">
        <w:t xml:space="preserve">actual </w:t>
      </w:r>
      <w:r w:rsidR="00F32899">
        <w:t>recovery was 89p/£ and not 100p/£</w:t>
      </w:r>
      <w:r w:rsidR="00046F4A">
        <w:t>, I consider that</w:t>
      </w:r>
      <w:r w:rsidR="004426AB">
        <w:t xml:space="preserve"> the re</w:t>
      </w:r>
      <w:r w:rsidR="00896458">
        <w:t xml:space="preserve">duction in unsecured creditors </w:t>
      </w:r>
      <w:r w:rsidR="00B9511A">
        <w:t xml:space="preserve">resulting from the transfer of liability under the DB Scheme </w:t>
      </w:r>
      <w:r w:rsidR="00896458">
        <w:t>should not be ignored</w:t>
      </w:r>
      <w:r w:rsidR="005C7993">
        <w:t xml:space="preserve">. </w:t>
      </w:r>
      <w:r w:rsidR="00B9511A">
        <w:t>On my calculations</w:t>
      </w:r>
      <w:r w:rsidR="00D24D98">
        <w:t>, if that red</w:t>
      </w:r>
      <w:r w:rsidR="00812F7C">
        <w:t>uction in unsecured creditors is taken into account the result would be</w:t>
      </w:r>
      <w:r w:rsidR="00B9511A">
        <w:t xml:space="preserve"> a counterfactual dividend of</w:t>
      </w:r>
      <w:r w:rsidR="00BF6AF9">
        <w:t xml:space="preserve"> around</w:t>
      </w:r>
      <w:r w:rsidR="00B9511A">
        <w:t xml:space="preserve"> </w:t>
      </w:r>
      <w:r w:rsidR="002A5AA6">
        <w:t>20p/£</w:t>
      </w:r>
      <w:r w:rsidR="00BF6AF9">
        <w:t>, or £25.8m</w:t>
      </w:r>
      <w:r w:rsidR="009A4019">
        <w:t>.</w:t>
      </w:r>
    </w:p>
    <w:p w14:paraId="0D942BE0" w14:textId="59737E37" w:rsidR="000F34FC" w:rsidRDefault="00504CDC" w:rsidP="006B5DF2">
      <w:pPr>
        <w:pStyle w:val="BodyText"/>
      </w:pPr>
      <w:r>
        <w:t>In reaching this conclusion, I bear firmly in mind</w:t>
      </w:r>
      <w:r w:rsidRPr="00504CDC">
        <w:t xml:space="preserve"> </w:t>
      </w:r>
      <w:r>
        <w:t>the</w:t>
      </w:r>
      <w:r w:rsidR="00535552">
        <w:t xml:space="preserve"> </w:t>
      </w:r>
      <w:r>
        <w:t>policy rationale</w:t>
      </w:r>
      <w:r w:rsidRPr="00504CDC">
        <w:t xml:space="preserve"> of s.239</w:t>
      </w:r>
      <w:r w:rsidR="00535552">
        <w:t>, namely</w:t>
      </w:r>
      <w:r w:rsidRPr="00504CDC">
        <w:t xml:space="preserve"> to prevent a company defeating or undermining the </w:t>
      </w:r>
      <w:r w:rsidRPr="00504CDC">
        <w:rPr>
          <w:i/>
          <w:iCs/>
        </w:rPr>
        <w:t>pari passu</w:t>
      </w:r>
      <w:r w:rsidRPr="00504CDC">
        <w:t xml:space="preserve"> principle</w:t>
      </w:r>
      <w:r w:rsidR="00535552">
        <w:t>. The transfer of the DB Scheme liability</w:t>
      </w:r>
      <w:r w:rsidR="001612D7">
        <w:t xml:space="preserve"> improved </w:t>
      </w:r>
      <w:r w:rsidR="003C5D7E">
        <w:t>the availability of assets</w:t>
      </w:r>
      <w:r w:rsidR="001612D7">
        <w:t xml:space="preserve"> as far as other creditors were concerned, and was as much an intrinsic part of the Disposal as the </w:t>
      </w:r>
      <w:r w:rsidR="00ED30FA">
        <w:t>arrangements for repaying the KIL RCF</w:t>
      </w:r>
      <w:r w:rsidR="00572182">
        <w:t xml:space="preserve"> by </w:t>
      </w:r>
      <w:r w:rsidR="00715F23">
        <w:t>taking on a new secured borrowing under</w:t>
      </w:r>
      <w:r w:rsidR="00572182">
        <w:t xml:space="preserve"> the HAL RCF</w:t>
      </w:r>
      <w:r w:rsidR="00ED30FA">
        <w:t xml:space="preserve">. </w:t>
      </w:r>
    </w:p>
    <w:p w14:paraId="2A2DEBFE" w14:textId="1F578D24" w:rsidR="001D48DD" w:rsidRDefault="00443962" w:rsidP="00C66ADE">
      <w:pPr>
        <w:pStyle w:val="BodyText"/>
      </w:pPr>
      <w:bookmarkStart w:id="59" w:name="_Ref118464252"/>
      <w:r>
        <w:t>In summary</w:t>
      </w:r>
      <w:r w:rsidR="00825ACB">
        <w:t xml:space="preserve">, </w:t>
      </w:r>
      <w:r w:rsidR="00C66ADE">
        <w:t xml:space="preserve">and </w:t>
      </w:r>
      <w:r w:rsidR="00825ACB">
        <w:t>even taking account of the wider context</w:t>
      </w:r>
      <w:r w:rsidR="00C66ADE">
        <w:t xml:space="preserve"> as Darty urges me to do</w:t>
      </w:r>
      <w:r w:rsidR="00825ACB">
        <w:t xml:space="preserve">, </w:t>
      </w:r>
      <w:r>
        <w:t xml:space="preserve">I do not consider that this is a case where “exceptional </w:t>
      </w:r>
      <w:r w:rsidR="0094271C">
        <w:t>circumstances” exist that justify no order being made.</w:t>
      </w:r>
      <w:r w:rsidR="004A130C">
        <w:t xml:space="preserve"> Instead, </w:t>
      </w:r>
      <w:r w:rsidR="0086129B">
        <w:t>it is</w:t>
      </w:r>
      <w:r w:rsidR="004A130C">
        <w:t xml:space="preserve"> approp</w:t>
      </w:r>
      <w:r w:rsidR="0086129B">
        <w:t xml:space="preserve">riate to </w:t>
      </w:r>
      <w:r w:rsidR="00351FFF">
        <w:t xml:space="preserve">order the relief sought by the Liquidator, </w:t>
      </w:r>
      <w:r w:rsidR="00483957">
        <w:t>namely the difference between the £115.4m repaid and the counterfactual dividend in a hypothetical liquidation</w:t>
      </w:r>
      <w:r w:rsidR="006A25C4">
        <w:t>. However, in calculating the counterfactual dividend</w:t>
      </w:r>
      <w:r w:rsidR="00F07435">
        <w:t xml:space="preserve"> it is appropriate to make</w:t>
      </w:r>
      <w:r w:rsidR="00483957">
        <w:t xml:space="preserve"> </w:t>
      </w:r>
      <w:r w:rsidR="00D44265">
        <w:t>an adjustment</w:t>
      </w:r>
      <w:r w:rsidR="00483957">
        <w:t xml:space="preserve"> to </w:t>
      </w:r>
      <w:r w:rsidR="00F07435">
        <w:t>reflect</w:t>
      </w:r>
      <w:r w:rsidR="00483957">
        <w:t xml:space="preserve"> the reduction</w:t>
      </w:r>
      <w:r w:rsidR="00F07435">
        <w:t xml:space="preserve"> in unsecured creditors resulting </w:t>
      </w:r>
      <w:r w:rsidR="00B9511A">
        <w:t>from the transfer of liability under the DB Scheme</w:t>
      </w:r>
      <w:r w:rsidR="00457ABA">
        <w:t>.</w:t>
      </w:r>
      <w:bookmarkEnd w:id="59"/>
    </w:p>
    <w:p w14:paraId="544FFD25" w14:textId="4CA2B4B5" w:rsidR="00C66ADE" w:rsidRDefault="00C66ADE" w:rsidP="00C66ADE">
      <w:pPr>
        <w:pStyle w:val="Heading1"/>
        <w:spacing w:before="480"/>
      </w:pPr>
      <w:r>
        <w:t>Conclusion</w:t>
      </w:r>
      <w:r w:rsidR="004E364B">
        <w:t>s</w:t>
      </w:r>
    </w:p>
    <w:p w14:paraId="46E4CABE" w14:textId="2A3C5B1F" w:rsidR="00C66ADE" w:rsidRDefault="00C66ADE" w:rsidP="00C66ADE">
      <w:pPr>
        <w:pStyle w:val="BodyText"/>
      </w:pPr>
      <w:r>
        <w:t>In conclusion:</w:t>
      </w:r>
    </w:p>
    <w:p w14:paraId="68807752" w14:textId="7F5A7761" w:rsidR="00C66ADE" w:rsidRDefault="00EC4235" w:rsidP="00C66ADE">
      <w:pPr>
        <w:pStyle w:val="BodyText"/>
        <w:numPr>
          <w:ilvl w:val="1"/>
          <w:numId w:val="1"/>
        </w:numPr>
      </w:pPr>
      <w:r>
        <w:t>Comet was insolvent within s.123(2) IA 1986</w:t>
      </w:r>
      <w:r w:rsidR="00A326BE">
        <w:t xml:space="preserve"> immediately before the Disposal</w:t>
      </w:r>
      <w:r w:rsidR="004E364B">
        <w:t>.</w:t>
      </w:r>
    </w:p>
    <w:p w14:paraId="0007F933" w14:textId="09C4BCBC" w:rsidR="00A326BE" w:rsidRDefault="00934108" w:rsidP="00C66ADE">
      <w:pPr>
        <w:pStyle w:val="BodyText"/>
        <w:numPr>
          <w:ilvl w:val="1"/>
          <w:numId w:val="1"/>
        </w:numPr>
      </w:pPr>
      <w:r>
        <w:t>The repayment of £115.4m of</w:t>
      </w:r>
      <w:r w:rsidR="00A43049">
        <w:t xml:space="preserve"> the KIL RCF</w:t>
      </w:r>
      <w:r w:rsidR="00AD2AE7">
        <w:t xml:space="preserve">, including the Triptych Amount, </w:t>
      </w:r>
      <w:r w:rsidR="00A43049">
        <w:t>constituted a preference</w:t>
      </w:r>
      <w:r w:rsidR="00AD2AE7">
        <w:t>.</w:t>
      </w:r>
    </w:p>
    <w:p w14:paraId="69A6FE07" w14:textId="088707B3" w:rsidR="00936F52" w:rsidRDefault="008B528A" w:rsidP="00C66ADE">
      <w:pPr>
        <w:pStyle w:val="BodyText"/>
        <w:numPr>
          <w:ilvl w:val="1"/>
          <w:numId w:val="1"/>
        </w:numPr>
      </w:pPr>
      <w:r>
        <w:t xml:space="preserve">Mr Enoch, and others involved in the key decision making process on the Kesa side, </w:t>
      </w:r>
      <w:r w:rsidR="006020D0">
        <w:t>had a desire to ensure</w:t>
      </w:r>
      <w:r w:rsidR="00977908">
        <w:t xml:space="preserve"> repayment of the KIL RCF, and had in contemplation the possibility of an insolvent liquidation of Comet. </w:t>
      </w:r>
    </w:p>
    <w:p w14:paraId="1D53E387" w14:textId="2EA3B8F1" w:rsidR="000E5B45" w:rsidRDefault="006271E1" w:rsidP="000E5B45">
      <w:pPr>
        <w:pStyle w:val="BodyText"/>
        <w:numPr>
          <w:ilvl w:val="1"/>
          <w:numId w:val="1"/>
        </w:numPr>
      </w:pPr>
      <w:r>
        <w:t>I am satisfied that</w:t>
      </w:r>
      <w:r w:rsidR="00FF31B4">
        <w:t xml:space="preserve">, on the particular facts of this case, </w:t>
      </w:r>
      <w:r w:rsidR="00C758D9">
        <w:t>a</w:t>
      </w:r>
      <w:r w:rsidR="00AC1DAC">
        <w:t xml:space="preserve"> decision was taken on behalf of Comet </w:t>
      </w:r>
      <w:r w:rsidR="000E3EB8">
        <w:t>at the time the SPA was entered into on 9 November 2011, which was tainted by a desire to prefer.</w:t>
      </w:r>
      <w:r w:rsidR="00AE0F07">
        <w:t xml:space="preserve"> </w:t>
      </w:r>
      <w:r w:rsidR="00E461D8">
        <w:t xml:space="preserve">The </w:t>
      </w:r>
      <w:r w:rsidR="00EF5C87">
        <w:t>relevant</w:t>
      </w:r>
      <w:r w:rsidR="00E461D8">
        <w:t xml:space="preserve"> decision for the purposes of s.239 was</w:t>
      </w:r>
      <w:r w:rsidR="00B82CC0">
        <w:t xml:space="preserve"> that decision, and</w:t>
      </w:r>
      <w:r w:rsidR="00EF5C87">
        <w:t xml:space="preserve"> not</w:t>
      </w:r>
      <w:r w:rsidR="00B82CC0">
        <w:t xml:space="preserve"> </w:t>
      </w:r>
      <w:r w:rsidR="00EF5C87">
        <w:t>t</w:t>
      </w:r>
      <w:r w:rsidR="00AE0F07">
        <w:t>he formal resolutions passed by the New Board on 3 February 2012</w:t>
      </w:r>
      <w:r w:rsidR="00EF5C87">
        <w:t>.</w:t>
      </w:r>
      <w:r w:rsidR="000E5B45" w:rsidRPr="000E5B45">
        <w:t xml:space="preserve"> </w:t>
      </w:r>
    </w:p>
    <w:p w14:paraId="0EDB73E1" w14:textId="42A662A8" w:rsidR="006271E1" w:rsidRPr="00C66ADE" w:rsidRDefault="00B44705" w:rsidP="005D0421">
      <w:pPr>
        <w:pStyle w:val="BodyText"/>
        <w:numPr>
          <w:ilvl w:val="1"/>
          <w:numId w:val="1"/>
        </w:numPr>
      </w:pPr>
      <w:r>
        <w:t>This is not a case where exceptional circumstances exist to justify no order being made by way of remedy</w:t>
      </w:r>
      <w:r w:rsidR="00A232A7">
        <w:t xml:space="preserve">. </w:t>
      </w:r>
      <w:r w:rsidR="00C94B57">
        <w:t xml:space="preserve">Relief should be granted in an amount </w:t>
      </w:r>
      <w:r w:rsidR="007A6D68">
        <w:t>equal to</w:t>
      </w:r>
      <w:r w:rsidR="00C94B57">
        <w:t xml:space="preserve"> </w:t>
      </w:r>
      <w:r w:rsidR="00C94B57" w:rsidRPr="00C94B57">
        <w:t>the difference between the £115.4m repaid and the counterfactual dividend in a hypothetical liquidation</w:t>
      </w:r>
      <w:r w:rsidR="007A6D68">
        <w:t>. The</w:t>
      </w:r>
      <w:r w:rsidR="000E5B45">
        <w:t xml:space="preserve"> counterfactual dividend</w:t>
      </w:r>
      <w:r w:rsidR="007A6D68">
        <w:t xml:space="preserve"> proposed by the Liquidator of</w:t>
      </w:r>
      <w:r w:rsidR="000E5B45">
        <w:t xml:space="preserve"> £14.7m, representing 11.4p/£</w:t>
      </w:r>
      <w:r w:rsidR="007A6D68">
        <w:t xml:space="preserve">, should be adjusted  to reflect </w:t>
      </w:r>
      <w:r w:rsidR="009954BD">
        <w:t>the removal of Comet’s liability to the DB Scheme.</w:t>
      </w:r>
    </w:p>
    <w:sectPr w:rsidR="006271E1" w:rsidRPr="00C66ADE">
      <w:type w:val="continuous"/>
      <w:pgSz w:w="11909" w:h="16834"/>
      <w:pgMar w:top="1440" w:right="2160" w:bottom="1440" w:left="1440" w:header="709" w:footer="70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FFEBA" w14:textId="77777777" w:rsidR="005E16E7" w:rsidRDefault="005E16E7">
      <w:r>
        <w:separator/>
      </w:r>
    </w:p>
  </w:endnote>
  <w:endnote w:type="continuationSeparator" w:id="0">
    <w:p w14:paraId="211A14D6" w14:textId="77777777" w:rsidR="005E16E7" w:rsidRDefault="005E16E7">
      <w:r>
        <w:continuationSeparator/>
      </w:r>
    </w:p>
  </w:endnote>
  <w:endnote w:type="continuationNotice" w:id="1">
    <w:p w14:paraId="4BA62610" w14:textId="77777777" w:rsidR="005E16E7" w:rsidRDefault="005E1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5DC71" w14:textId="77777777" w:rsidR="00D31ACF" w:rsidRDefault="00D31ACF">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5DC78" w14:textId="597FA01D" w:rsidR="00D31ACF" w:rsidRDefault="00312C5C">
    <w:pPr>
      <w:pStyle w:val="Footer"/>
      <w:rPr>
        <w:sz w:val="16"/>
      </w:rPr>
    </w:pPr>
    <w:r>
      <w:rPr>
        <w:sz w:val="16"/>
      </w:rPr>
      <w:tab/>
      <w:t xml:space="preserve">Page </w:t>
    </w:r>
    <w:r>
      <w:rPr>
        <w:sz w:val="16"/>
      </w:rPr>
      <w:fldChar w:fldCharType="begin"/>
    </w:r>
    <w:r>
      <w:rPr>
        <w:sz w:val="16"/>
      </w:rPr>
      <w:instrText xml:space="preserve"> PAGE </w:instrText>
    </w:r>
    <w:r>
      <w:rPr>
        <w:sz w:val="16"/>
      </w:rPr>
      <w:fldChar w:fldCharType="separate"/>
    </w:r>
    <w:r w:rsidR="00FB069C">
      <w:rPr>
        <w:noProof/>
        <w:sz w:val="16"/>
      </w:rPr>
      <w:t>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9DD81" w14:textId="77777777" w:rsidR="005E16E7" w:rsidRDefault="005E16E7">
      <w:r>
        <w:separator/>
      </w:r>
    </w:p>
  </w:footnote>
  <w:footnote w:type="continuationSeparator" w:id="0">
    <w:p w14:paraId="39444661" w14:textId="77777777" w:rsidR="005E16E7" w:rsidRDefault="005E16E7">
      <w:r>
        <w:continuationSeparator/>
      </w:r>
    </w:p>
  </w:footnote>
  <w:footnote w:type="continuationNotice" w:id="1">
    <w:p w14:paraId="1B17F3CC" w14:textId="77777777" w:rsidR="005E16E7" w:rsidRDefault="005E1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00" w:type="dxa"/>
      <w:tblInd w:w="108" w:type="dxa"/>
      <w:tblLayout w:type="fixed"/>
      <w:tblLook w:val="0000" w:firstRow="0" w:lastRow="0" w:firstColumn="0" w:lastColumn="0" w:noHBand="0" w:noVBand="0"/>
    </w:tblPr>
    <w:tblGrid>
      <w:gridCol w:w="4680"/>
      <w:gridCol w:w="4320"/>
    </w:tblGrid>
    <w:tr w:rsidR="00D31ACF" w14:paraId="0495DC75" w14:textId="77777777">
      <w:tc>
        <w:tcPr>
          <w:tcW w:w="4680" w:type="dxa"/>
        </w:tcPr>
        <w:p w14:paraId="0495DC72" w14:textId="31EFFBD0" w:rsidR="00D31ACF" w:rsidRDefault="00312C5C">
          <w:pPr>
            <w:pStyle w:val="Header"/>
            <w:rPr>
              <w:b/>
              <w:sz w:val="16"/>
              <w:u w:val="single"/>
            </w:rPr>
          </w:pPr>
          <w:r>
            <w:rPr>
              <w:b/>
              <w:sz w:val="16"/>
              <w:u w:val="single"/>
            </w:rPr>
            <w:t>High Court</w:t>
          </w:r>
          <w:r w:rsidR="005D1509">
            <w:rPr>
              <w:b/>
              <w:sz w:val="16"/>
              <w:u w:val="single"/>
            </w:rPr>
            <w:t xml:space="preserve"> A</w:t>
          </w:r>
          <w:r>
            <w:rPr>
              <w:b/>
              <w:sz w:val="16"/>
              <w:u w:val="single"/>
            </w:rPr>
            <w:t>pproved Judgment:</w:t>
          </w:r>
        </w:p>
        <w:p w14:paraId="0495DC73" w14:textId="47A29274" w:rsidR="00D31ACF" w:rsidRDefault="00D31ACF">
          <w:pPr>
            <w:pStyle w:val="Header"/>
          </w:pPr>
        </w:p>
      </w:tc>
      <w:tc>
        <w:tcPr>
          <w:tcW w:w="4320" w:type="dxa"/>
        </w:tcPr>
        <w:p w14:paraId="0495DC74" w14:textId="49D53645" w:rsidR="00D31ACF" w:rsidRDefault="00103ED6">
          <w:pPr>
            <w:pStyle w:val="Header"/>
            <w:jc w:val="right"/>
            <w:rPr>
              <w:sz w:val="16"/>
            </w:rPr>
          </w:pPr>
          <w:r>
            <w:rPr>
              <w:sz w:val="16"/>
            </w:rPr>
            <w:t>Carton-Kelly v Darty</w:t>
          </w:r>
        </w:p>
      </w:tc>
    </w:tr>
  </w:tbl>
  <w:p w14:paraId="0495DC76" w14:textId="77777777" w:rsidR="00D31ACF" w:rsidRDefault="00D31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094F"/>
    <w:multiLevelType w:val="multilevel"/>
    <w:tmpl w:val="D6EA6982"/>
    <w:numStyleLink w:val="Style1"/>
  </w:abstractNum>
  <w:abstractNum w:abstractNumId="1" w15:restartNumberingAfterBreak="0">
    <w:nsid w:val="2CC94CD9"/>
    <w:multiLevelType w:val="multilevel"/>
    <w:tmpl w:val="A4803530"/>
    <w:lvl w:ilvl="0">
      <w:start w:val="1"/>
      <w:numFmt w:val="decimal"/>
      <w:lvlText w:val="%1."/>
      <w:lvlJc w:val="left"/>
      <w:pPr>
        <w:tabs>
          <w:tab w:val="num" w:pos="567"/>
        </w:tabs>
        <w:ind w:left="567" w:hanging="567"/>
      </w:pPr>
      <w:rPr>
        <w:rFonts w:hint="default"/>
        <w:b w:val="0"/>
        <w:i w:val="0"/>
        <w:color w:val="auto"/>
        <w:u w:val="none"/>
      </w:rPr>
    </w:lvl>
    <w:lvl w:ilvl="1">
      <w:start w:val="1"/>
      <w:numFmt w:val="lowerLetter"/>
      <w:lvlText w:val="(%2)"/>
      <w:lvlJc w:val="lef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FE50039"/>
    <w:multiLevelType w:val="multilevel"/>
    <w:tmpl w:val="A4803530"/>
    <w:lvl w:ilvl="0">
      <w:start w:val="1"/>
      <w:numFmt w:val="decimal"/>
      <w:lvlText w:val="%1."/>
      <w:lvlJc w:val="left"/>
      <w:pPr>
        <w:tabs>
          <w:tab w:val="num" w:pos="567"/>
        </w:tabs>
        <w:ind w:left="567" w:hanging="567"/>
      </w:pPr>
      <w:rPr>
        <w:rFonts w:hint="default"/>
        <w:b w:val="0"/>
        <w:i w:val="0"/>
        <w:color w:val="auto"/>
        <w:u w:val="none"/>
      </w:rPr>
    </w:lvl>
    <w:lvl w:ilvl="1">
      <w:start w:val="1"/>
      <w:numFmt w:val="lowerLetter"/>
      <w:lvlText w:val="(%2)"/>
      <w:lvlJc w:val="lef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3E84DA5"/>
    <w:multiLevelType w:val="multilevel"/>
    <w:tmpl w:val="D6EA6982"/>
    <w:styleLink w:val="Style1"/>
    <w:lvl w:ilvl="0">
      <w:start w:val="1"/>
      <w:numFmt w:val="decimal"/>
      <w:lvlText w:val="%1."/>
      <w:lvlJc w:val="left"/>
      <w:pPr>
        <w:tabs>
          <w:tab w:val="num" w:pos="1701"/>
        </w:tabs>
        <w:ind w:left="1701" w:hanging="567"/>
      </w:pPr>
      <w:rPr>
        <w:rFonts w:hint="default"/>
        <w:b w:val="0"/>
        <w:i w:val="0"/>
        <w:color w:val="auto"/>
        <w:u w:val="none"/>
      </w:rPr>
    </w:lvl>
    <w:lvl w:ilvl="1">
      <w:start w:val="1"/>
      <w:numFmt w:val="lowerRoman"/>
      <w:lvlText w:val="%2)"/>
      <w:lvlJc w:val="left"/>
      <w:pPr>
        <w:tabs>
          <w:tab w:val="num" w:pos="2268"/>
        </w:tabs>
        <w:ind w:left="2268" w:hanging="567"/>
      </w:pPr>
      <w:rPr>
        <w:rFonts w:hint="default"/>
        <w:color w:val="auto"/>
      </w:rPr>
    </w:lvl>
    <w:lvl w:ilvl="2">
      <w:start w:val="1"/>
      <w:numFmt w:val="lowerLetter"/>
      <w:lvlText w:val="%3)"/>
      <w:lvlJc w:val="left"/>
      <w:pPr>
        <w:tabs>
          <w:tab w:val="num" w:pos="2835"/>
        </w:tabs>
        <w:ind w:left="2835" w:hanging="567"/>
      </w:pPr>
      <w:rPr>
        <w:rFonts w:hint="default"/>
      </w:rPr>
    </w:lvl>
    <w:lvl w:ilvl="3">
      <w:start w:val="1"/>
      <w:numFmt w:val="lowerRoman"/>
      <w:lvlText w:val="(%4)"/>
      <w:lvlJc w:val="left"/>
      <w:pPr>
        <w:tabs>
          <w:tab w:val="num" w:pos="3402"/>
        </w:tabs>
        <w:ind w:left="3402" w:hanging="567"/>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4" w15:restartNumberingAfterBreak="0">
    <w:nsid w:val="53825FD0"/>
    <w:multiLevelType w:val="multilevel"/>
    <w:tmpl w:val="5B8437F2"/>
    <w:lvl w:ilvl="0">
      <w:start w:val="1"/>
      <w:numFmt w:val="decimal"/>
      <w:pStyle w:val="BodyText"/>
      <w:lvlText w:val="%1."/>
      <w:lvlJc w:val="left"/>
      <w:pPr>
        <w:tabs>
          <w:tab w:val="num" w:pos="567"/>
        </w:tabs>
        <w:ind w:left="567" w:hanging="567"/>
      </w:pPr>
      <w:rPr>
        <w:rFonts w:hint="default"/>
        <w:b w:val="0"/>
        <w:i w:val="0"/>
        <w:color w:val="auto"/>
        <w:u w:val="none"/>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2A969C-AE42-43C4-A7AF-EA489AAF90A6}"/>
    <w:docVar w:name="dgnword-eventsink" w:val="1805813721200"/>
  </w:docVars>
  <w:rsids>
    <w:rsidRoot w:val="00FF2A0C"/>
    <w:rsid w:val="0000011F"/>
    <w:rsid w:val="0000063B"/>
    <w:rsid w:val="00000838"/>
    <w:rsid w:val="000008B4"/>
    <w:rsid w:val="00000FCA"/>
    <w:rsid w:val="00001250"/>
    <w:rsid w:val="000016D1"/>
    <w:rsid w:val="00001989"/>
    <w:rsid w:val="00001B46"/>
    <w:rsid w:val="0000214A"/>
    <w:rsid w:val="000025B1"/>
    <w:rsid w:val="0000260D"/>
    <w:rsid w:val="00002F1F"/>
    <w:rsid w:val="00003499"/>
    <w:rsid w:val="000037A1"/>
    <w:rsid w:val="00003BC0"/>
    <w:rsid w:val="00003F26"/>
    <w:rsid w:val="00004C4A"/>
    <w:rsid w:val="000057E8"/>
    <w:rsid w:val="00005BD7"/>
    <w:rsid w:val="00005C37"/>
    <w:rsid w:val="00005F79"/>
    <w:rsid w:val="00005FCA"/>
    <w:rsid w:val="00006238"/>
    <w:rsid w:val="000077CB"/>
    <w:rsid w:val="000077FD"/>
    <w:rsid w:val="00007931"/>
    <w:rsid w:val="00010266"/>
    <w:rsid w:val="00010788"/>
    <w:rsid w:val="00010EF8"/>
    <w:rsid w:val="0001246B"/>
    <w:rsid w:val="00012B54"/>
    <w:rsid w:val="00013AB4"/>
    <w:rsid w:val="00013C5B"/>
    <w:rsid w:val="00013D86"/>
    <w:rsid w:val="00014480"/>
    <w:rsid w:val="000146A1"/>
    <w:rsid w:val="000152E5"/>
    <w:rsid w:val="00015407"/>
    <w:rsid w:val="00015527"/>
    <w:rsid w:val="000159AA"/>
    <w:rsid w:val="00015F3E"/>
    <w:rsid w:val="00016218"/>
    <w:rsid w:val="00016C14"/>
    <w:rsid w:val="00016E78"/>
    <w:rsid w:val="00016E7A"/>
    <w:rsid w:val="00017529"/>
    <w:rsid w:val="00017DCE"/>
    <w:rsid w:val="00017E52"/>
    <w:rsid w:val="00020718"/>
    <w:rsid w:val="00020739"/>
    <w:rsid w:val="00020956"/>
    <w:rsid w:val="00020CD9"/>
    <w:rsid w:val="0002126E"/>
    <w:rsid w:val="00021725"/>
    <w:rsid w:val="00021D1A"/>
    <w:rsid w:val="0002249A"/>
    <w:rsid w:val="00022714"/>
    <w:rsid w:val="000228DA"/>
    <w:rsid w:val="00022D27"/>
    <w:rsid w:val="000231E7"/>
    <w:rsid w:val="000233CA"/>
    <w:rsid w:val="00023490"/>
    <w:rsid w:val="000236F6"/>
    <w:rsid w:val="00023708"/>
    <w:rsid w:val="000246DD"/>
    <w:rsid w:val="000248C2"/>
    <w:rsid w:val="00024AC1"/>
    <w:rsid w:val="000257F1"/>
    <w:rsid w:val="00026B9D"/>
    <w:rsid w:val="00026C1C"/>
    <w:rsid w:val="00027293"/>
    <w:rsid w:val="000307A1"/>
    <w:rsid w:val="00030B7E"/>
    <w:rsid w:val="00031CB1"/>
    <w:rsid w:val="0003247F"/>
    <w:rsid w:val="00032672"/>
    <w:rsid w:val="0003282E"/>
    <w:rsid w:val="0003327C"/>
    <w:rsid w:val="00033602"/>
    <w:rsid w:val="000348EC"/>
    <w:rsid w:val="00034C05"/>
    <w:rsid w:val="00034C9B"/>
    <w:rsid w:val="000359CB"/>
    <w:rsid w:val="00035D66"/>
    <w:rsid w:val="00035E2F"/>
    <w:rsid w:val="0003607C"/>
    <w:rsid w:val="000360A2"/>
    <w:rsid w:val="0003611C"/>
    <w:rsid w:val="000364FF"/>
    <w:rsid w:val="00037B90"/>
    <w:rsid w:val="00040C57"/>
    <w:rsid w:val="00040DF0"/>
    <w:rsid w:val="00040E54"/>
    <w:rsid w:val="0004136F"/>
    <w:rsid w:val="0004179A"/>
    <w:rsid w:val="0004180D"/>
    <w:rsid w:val="000418A3"/>
    <w:rsid w:val="000418B3"/>
    <w:rsid w:val="00041915"/>
    <w:rsid w:val="00041EB7"/>
    <w:rsid w:val="0004216A"/>
    <w:rsid w:val="0004348E"/>
    <w:rsid w:val="00044A7B"/>
    <w:rsid w:val="00045418"/>
    <w:rsid w:val="00045587"/>
    <w:rsid w:val="00045622"/>
    <w:rsid w:val="00045689"/>
    <w:rsid w:val="0004579A"/>
    <w:rsid w:val="00045B57"/>
    <w:rsid w:val="00045E29"/>
    <w:rsid w:val="00046166"/>
    <w:rsid w:val="00046500"/>
    <w:rsid w:val="00046F4A"/>
    <w:rsid w:val="00047080"/>
    <w:rsid w:val="000470B3"/>
    <w:rsid w:val="00047F6B"/>
    <w:rsid w:val="00050166"/>
    <w:rsid w:val="0005074A"/>
    <w:rsid w:val="00051744"/>
    <w:rsid w:val="0005186D"/>
    <w:rsid w:val="00051E29"/>
    <w:rsid w:val="00052052"/>
    <w:rsid w:val="0005206E"/>
    <w:rsid w:val="000520A9"/>
    <w:rsid w:val="0005211C"/>
    <w:rsid w:val="00052CDE"/>
    <w:rsid w:val="0005302E"/>
    <w:rsid w:val="00053199"/>
    <w:rsid w:val="000532F3"/>
    <w:rsid w:val="00053535"/>
    <w:rsid w:val="00053D07"/>
    <w:rsid w:val="00053F50"/>
    <w:rsid w:val="00054042"/>
    <w:rsid w:val="00054951"/>
    <w:rsid w:val="00054A0D"/>
    <w:rsid w:val="00054AA5"/>
    <w:rsid w:val="000556B7"/>
    <w:rsid w:val="00056026"/>
    <w:rsid w:val="00056912"/>
    <w:rsid w:val="00057002"/>
    <w:rsid w:val="00057259"/>
    <w:rsid w:val="0005752E"/>
    <w:rsid w:val="00057642"/>
    <w:rsid w:val="00057B47"/>
    <w:rsid w:val="00060253"/>
    <w:rsid w:val="00060652"/>
    <w:rsid w:val="000607F5"/>
    <w:rsid w:val="00061035"/>
    <w:rsid w:val="000611EB"/>
    <w:rsid w:val="000621A4"/>
    <w:rsid w:val="00062E66"/>
    <w:rsid w:val="00062EDB"/>
    <w:rsid w:val="00063F69"/>
    <w:rsid w:val="00063F89"/>
    <w:rsid w:val="00064114"/>
    <w:rsid w:val="00064693"/>
    <w:rsid w:val="00064922"/>
    <w:rsid w:val="00065602"/>
    <w:rsid w:val="00065CC7"/>
    <w:rsid w:val="00065EA1"/>
    <w:rsid w:val="00066356"/>
    <w:rsid w:val="000667E5"/>
    <w:rsid w:val="00066958"/>
    <w:rsid w:val="0006773E"/>
    <w:rsid w:val="00067F70"/>
    <w:rsid w:val="0007033A"/>
    <w:rsid w:val="000710F2"/>
    <w:rsid w:val="0007118A"/>
    <w:rsid w:val="00071D6D"/>
    <w:rsid w:val="00072B97"/>
    <w:rsid w:val="00072C37"/>
    <w:rsid w:val="00073827"/>
    <w:rsid w:val="00073858"/>
    <w:rsid w:val="00074580"/>
    <w:rsid w:val="00074E93"/>
    <w:rsid w:val="000752FC"/>
    <w:rsid w:val="00075D80"/>
    <w:rsid w:val="000769C0"/>
    <w:rsid w:val="00080075"/>
    <w:rsid w:val="00080077"/>
    <w:rsid w:val="00080621"/>
    <w:rsid w:val="00080AE1"/>
    <w:rsid w:val="000812B7"/>
    <w:rsid w:val="0008139D"/>
    <w:rsid w:val="00081EBE"/>
    <w:rsid w:val="000820CF"/>
    <w:rsid w:val="000822F7"/>
    <w:rsid w:val="0008265F"/>
    <w:rsid w:val="00083440"/>
    <w:rsid w:val="00083677"/>
    <w:rsid w:val="00084299"/>
    <w:rsid w:val="00084731"/>
    <w:rsid w:val="00085BF8"/>
    <w:rsid w:val="00085DA3"/>
    <w:rsid w:val="0008711C"/>
    <w:rsid w:val="00087303"/>
    <w:rsid w:val="00087E57"/>
    <w:rsid w:val="000903B5"/>
    <w:rsid w:val="0009086F"/>
    <w:rsid w:val="00090BA7"/>
    <w:rsid w:val="00090DCF"/>
    <w:rsid w:val="000922D7"/>
    <w:rsid w:val="00092336"/>
    <w:rsid w:val="0009255D"/>
    <w:rsid w:val="00092A1B"/>
    <w:rsid w:val="00093AC7"/>
    <w:rsid w:val="00093C10"/>
    <w:rsid w:val="000949BC"/>
    <w:rsid w:val="00094B78"/>
    <w:rsid w:val="00094D2F"/>
    <w:rsid w:val="00094DCA"/>
    <w:rsid w:val="000969C8"/>
    <w:rsid w:val="00096D2A"/>
    <w:rsid w:val="000979D2"/>
    <w:rsid w:val="00097D69"/>
    <w:rsid w:val="00097FF7"/>
    <w:rsid w:val="000A00BE"/>
    <w:rsid w:val="000A0DE7"/>
    <w:rsid w:val="000A1E5D"/>
    <w:rsid w:val="000A32B1"/>
    <w:rsid w:val="000A37DC"/>
    <w:rsid w:val="000A3BE7"/>
    <w:rsid w:val="000A4170"/>
    <w:rsid w:val="000A4905"/>
    <w:rsid w:val="000A4CFB"/>
    <w:rsid w:val="000A4F83"/>
    <w:rsid w:val="000A5071"/>
    <w:rsid w:val="000A6934"/>
    <w:rsid w:val="000A6F65"/>
    <w:rsid w:val="000B0014"/>
    <w:rsid w:val="000B04AD"/>
    <w:rsid w:val="000B0D1F"/>
    <w:rsid w:val="000B150E"/>
    <w:rsid w:val="000B176D"/>
    <w:rsid w:val="000B17E5"/>
    <w:rsid w:val="000B2B4A"/>
    <w:rsid w:val="000B339F"/>
    <w:rsid w:val="000B36C6"/>
    <w:rsid w:val="000B394D"/>
    <w:rsid w:val="000B4614"/>
    <w:rsid w:val="000B5A52"/>
    <w:rsid w:val="000B5A6F"/>
    <w:rsid w:val="000B5AC4"/>
    <w:rsid w:val="000B6868"/>
    <w:rsid w:val="000B6A87"/>
    <w:rsid w:val="000B6AB6"/>
    <w:rsid w:val="000B6B1A"/>
    <w:rsid w:val="000B70E6"/>
    <w:rsid w:val="000B75D0"/>
    <w:rsid w:val="000B7678"/>
    <w:rsid w:val="000B7820"/>
    <w:rsid w:val="000C034F"/>
    <w:rsid w:val="000C0B23"/>
    <w:rsid w:val="000C0BF4"/>
    <w:rsid w:val="000C0CCB"/>
    <w:rsid w:val="000C0F52"/>
    <w:rsid w:val="000C10B3"/>
    <w:rsid w:val="000C19DF"/>
    <w:rsid w:val="000C2168"/>
    <w:rsid w:val="000C349C"/>
    <w:rsid w:val="000C388A"/>
    <w:rsid w:val="000C3BFD"/>
    <w:rsid w:val="000C3F63"/>
    <w:rsid w:val="000C459A"/>
    <w:rsid w:val="000C4AC3"/>
    <w:rsid w:val="000C4CC8"/>
    <w:rsid w:val="000C5020"/>
    <w:rsid w:val="000C53ED"/>
    <w:rsid w:val="000C53F0"/>
    <w:rsid w:val="000C69FF"/>
    <w:rsid w:val="000C6B85"/>
    <w:rsid w:val="000C71EB"/>
    <w:rsid w:val="000C7335"/>
    <w:rsid w:val="000C7730"/>
    <w:rsid w:val="000C7B27"/>
    <w:rsid w:val="000C7D44"/>
    <w:rsid w:val="000D09F2"/>
    <w:rsid w:val="000D0E54"/>
    <w:rsid w:val="000D0EA9"/>
    <w:rsid w:val="000D0F21"/>
    <w:rsid w:val="000D0FFB"/>
    <w:rsid w:val="000D192E"/>
    <w:rsid w:val="000D2626"/>
    <w:rsid w:val="000D3DF2"/>
    <w:rsid w:val="000D4123"/>
    <w:rsid w:val="000D453F"/>
    <w:rsid w:val="000D4CBF"/>
    <w:rsid w:val="000D5071"/>
    <w:rsid w:val="000D517A"/>
    <w:rsid w:val="000D5469"/>
    <w:rsid w:val="000D56D3"/>
    <w:rsid w:val="000D62AB"/>
    <w:rsid w:val="000D63B9"/>
    <w:rsid w:val="000D6969"/>
    <w:rsid w:val="000D734D"/>
    <w:rsid w:val="000D73BB"/>
    <w:rsid w:val="000D7555"/>
    <w:rsid w:val="000E0B68"/>
    <w:rsid w:val="000E0FCA"/>
    <w:rsid w:val="000E1ADD"/>
    <w:rsid w:val="000E2165"/>
    <w:rsid w:val="000E2570"/>
    <w:rsid w:val="000E3792"/>
    <w:rsid w:val="000E3EB8"/>
    <w:rsid w:val="000E46B5"/>
    <w:rsid w:val="000E4789"/>
    <w:rsid w:val="000E5B2F"/>
    <w:rsid w:val="000E5B45"/>
    <w:rsid w:val="000E5C56"/>
    <w:rsid w:val="000E5E17"/>
    <w:rsid w:val="000E66D2"/>
    <w:rsid w:val="000E6814"/>
    <w:rsid w:val="000E74E4"/>
    <w:rsid w:val="000E7EFD"/>
    <w:rsid w:val="000F025C"/>
    <w:rsid w:val="000F058D"/>
    <w:rsid w:val="000F082B"/>
    <w:rsid w:val="000F0BB6"/>
    <w:rsid w:val="000F14BB"/>
    <w:rsid w:val="000F260B"/>
    <w:rsid w:val="000F2F19"/>
    <w:rsid w:val="000F2F32"/>
    <w:rsid w:val="000F2FFE"/>
    <w:rsid w:val="000F34FC"/>
    <w:rsid w:val="000F37E6"/>
    <w:rsid w:val="000F3D8B"/>
    <w:rsid w:val="000F3F79"/>
    <w:rsid w:val="000F4148"/>
    <w:rsid w:val="000F4325"/>
    <w:rsid w:val="000F453C"/>
    <w:rsid w:val="000F4A5C"/>
    <w:rsid w:val="000F4D30"/>
    <w:rsid w:val="000F5495"/>
    <w:rsid w:val="000F56B8"/>
    <w:rsid w:val="000F644B"/>
    <w:rsid w:val="000F6C4F"/>
    <w:rsid w:val="000F6EBF"/>
    <w:rsid w:val="00100A99"/>
    <w:rsid w:val="00101878"/>
    <w:rsid w:val="00101A75"/>
    <w:rsid w:val="00101F36"/>
    <w:rsid w:val="001028C5"/>
    <w:rsid w:val="00103E2A"/>
    <w:rsid w:val="00103ED6"/>
    <w:rsid w:val="001042B2"/>
    <w:rsid w:val="0010455B"/>
    <w:rsid w:val="00105013"/>
    <w:rsid w:val="00105192"/>
    <w:rsid w:val="00105F4D"/>
    <w:rsid w:val="00106082"/>
    <w:rsid w:val="0010673E"/>
    <w:rsid w:val="00107B7B"/>
    <w:rsid w:val="00110072"/>
    <w:rsid w:val="001104EB"/>
    <w:rsid w:val="001107CC"/>
    <w:rsid w:val="00111126"/>
    <w:rsid w:val="0011112C"/>
    <w:rsid w:val="0011151B"/>
    <w:rsid w:val="001130E5"/>
    <w:rsid w:val="00113E33"/>
    <w:rsid w:val="00113EBC"/>
    <w:rsid w:val="00114027"/>
    <w:rsid w:val="00116045"/>
    <w:rsid w:val="001160A7"/>
    <w:rsid w:val="001163ED"/>
    <w:rsid w:val="00116730"/>
    <w:rsid w:val="00116E30"/>
    <w:rsid w:val="001203C4"/>
    <w:rsid w:val="00120745"/>
    <w:rsid w:val="001209A7"/>
    <w:rsid w:val="00120DDB"/>
    <w:rsid w:val="001211A2"/>
    <w:rsid w:val="0012193A"/>
    <w:rsid w:val="00122133"/>
    <w:rsid w:val="001223F9"/>
    <w:rsid w:val="001226A4"/>
    <w:rsid w:val="00122771"/>
    <w:rsid w:val="00122AFB"/>
    <w:rsid w:val="00122CEE"/>
    <w:rsid w:val="001232F5"/>
    <w:rsid w:val="00123DE0"/>
    <w:rsid w:val="001241D0"/>
    <w:rsid w:val="00125063"/>
    <w:rsid w:val="0012506E"/>
    <w:rsid w:val="001250BD"/>
    <w:rsid w:val="0012573E"/>
    <w:rsid w:val="00125E93"/>
    <w:rsid w:val="0012622E"/>
    <w:rsid w:val="00126674"/>
    <w:rsid w:val="00126B80"/>
    <w:rsid w:val="00126F5D"/>
    <w:rsid w:val="0012718B"/>
    <w:rsid w:val="00127E91"/>
    <w:rsid w:val="001305E7"/>
    <w:rsid w:val="00130623"/>
    <w:rsid w:val="00131306"/>
    <w:rsid w:val="00131464"/>
    <w:rsid w:val="0013166D"/>
    <w:rsid w:val="00131733"/>
    <w:rsid w:val="001319E4"/>
    <w:rsid w:val="0013241B"/>
    <w:rsid w:val="00132A02"/>
    <w:rsid w:val="00132B4E"/>
    <w:rsid w:val="00132BD2"/>
    <w:rsid w:val="00132C61"/>
    <w:rsid w:val="00132F24"/>
    <w:rsid w:val="001332D1"/>
    <w:rsid w:val="00133CA8"/>
    <w:rsid w:val="00133D3F"/>
    <w:rsid w:val="00134785"/>
    <w:rsid w:val="00135032"/>
    <w:rsid w:val="00135850"/>
    <w:rsid w:val="00135DEB"/>
    <w:rsid w:val="00136210"/>
    <w:rsid w:val="00136822"/>
    <w:rsid w:val="00136AA9"/>
    <w:rsid w:val="001371F5"/>
    <w:rsid w:val="00141681"/>
    <w:rsid w:val="001416BB"/>
    <w:rsid w:val="001416DB"/>
    <w:rsid w:val="00141F24"/>
    <w:rsid w:val="0014350B"/>
    <w:rsid w:val="00143569"/>
    <w:rsid w:val="00143684"/>
    <w:rsid w:val="00143703"/>
    <w:rsid w:val="00144BE3"/>
    <w:rsid w:val="00145A02"/>
    <w:rsid w:val="00145CC1"/>
    <w:rsid w:val="00146B2F"/>
    <w:rsid w:val="0014706F"/>
    <w:rsid w:val="00147B26"/>
    <w:rsid w:val="00147BDD"/>
    <w:rsid w:val="00150181"/>
    <w:rsid w:val="00150297"/>
    <w:rsid w:val="001506F9"/>
    <w:rsid w:val="0015085A"/>
    <w:rsid w:val="00150FD2"/>
    <w:rsid w:val="00151746"/>
    <w:rsid w:val="00151C99"/>
    <w:rsid w:val="001526B4"/>
    <w:rsid w:val="0015289E"/>
    <w:rsid w:val="00154A70"/>
    <w:rsid w:val="00155457"/>
    <w:rsid w:val="0015582C"/>
    <w:rsid w:val="00155FFA"/>
    <w:rsid w:val="001563CB"/>
    <w:rsid w:val="0015660E"/>
    <w:rsid w:val="001568C4"/>
    <w:rsid w:val="00156ED6"/>
    <w:rsid w:val="0015729A"/>
    <w:rsid w:val="001576E0"/>
    <w:rsid w:val="00157A7B"/>
    <w:rsid w:val="00157D9F"/>
    <w:rsid w:val="00157E10"/>
    <w:rsid w:val="00157E87"/>
    <w:rsid w:val="001612D7"/>
    <w:rsid w:val="00161646"/>
    <w:rsid w:val="00161E9F"/>
    <w:rsid w:val="001621FA"/>
    <w:rsid w:val="00162874"/>
    <w:rsid w:val="00162CB9"/>
    <w:rsid w:val="00163385"/>
    <w:rsid w:val="0016339D"/>
    <w:rsid w:val="00164422"/>
    <w:rsid w:val="001645D3"/>
    <w:rsid w:val="0016496F"/>
    <w:rsid w:val="00164ACE"/>
    <w:rsid w:val="0016666D"/>
    <w:rsid w:val="0016735E"/>
    <w:rsid w:val="00167469"/>
    <w:rsid w:val="00170185"/>
    <w:rsid w:val="00170C59"/>
    <w:rsid w:val="0017122C"/>
    <w:rsid w:val="00171959"/>
    <w:rsid w:val="00171B58"/>
    <w:rsid w:val="0017253B"/>
    <w:rsid w:val="00172F7D"/>
    <w:rsid w:val="00173FCE"/>
    <w:rsid w:val="00174C5B"/>
    <w:rsid w:val="00174CF9"/>
    <w:rsid w:val="001758F8"/>
    <w:rsid w:val="00175FA6"/>
    <w:rsid w:val="001760FA"/>
    <w:rsid w:val="0017711F"/>
    <w:rsid w:val="00177372"/>
    <w:rsid w:val="00177B7F"/>
    <w:rsid w:val="00177E74"/>
    <w:rsid w:val="00180A6B"/>
    <w:rsid w:val="0018108C"/>
    <w:rsid w:val="001810AB"/>
    <w:rsid w:val="00182398"/>
    <w:rsid w:val="0018360E"/>
    <w:rsid w:val="00183AA4"/>
    <w:rsid w:val="00183AA5"/>
    <w:rsid w:val="001844F7"/>
    <w:rsid w:val="00184A40"/>
    <w:rsid w:val="00185A20"/>
    <w:rsid w:val="00185F15"/>
    <w:rsid w:val="0018627A"/>
    <w:rsid w:val="001865BF"/>
    <w:rsid w:val="001875D7"/>
    <w:rsid w:val="001879F1"/>
    <w:rsid w:val="00190078"/>
    <w:rsid w:val="0019037E"/>
    <w:rsid w:val="0019106D"/>
    <w:rsid w:val="0019128D"/>
    <w:rsid w:val="001920EA"/>
    <w:rsid w:val="0019238C"/>
    <w:rsid w:val="001926E6"/>
    <w:rsid w:val="00192E7A"/>
    <w:rsid w:val="00193E44"/>
    <w:rsid w:val="00194372"/>
    <w:rsid w:val="001944AB"/>
    <w:rsid w:val="00194900"/>
    <w:rsid w:val="001953CF"/>
    <w:rsid w:val="001959D3"/>
    <w:rsid w:val="00195A09"/>
    <w:rsid w:val="00195AE5"/>
    <w:rsid w:val="00195C9C"/>
    <w:rsid w:val="00196975"/>
    <w:rsid w:val="00197831"/>
    <w:rsid w:val="001A0683"/>
    <w:rsid w:val="001A074F"/>
    <w:rsid w:val="001A17B5"/>
    <w:rsid w:val="001A19BB"/>
    <w:rsid w:val="001A2DD3"/>
    <w:rsid w:val="001A3394"/>
    <w:rsid w:val="001A3685"/>
    <w:rsid w:val="001A39B9"/>
    <w:rsid w:val="001A3E50"/>
    <w:rsid w:val="001A3EAD"/>
    <w:rsid w:val="001A4F9C"/>
    <w:rsid w:val="001A6085"/>
    <w:rsid w:val="001A6667"/>
    <w:rsid w:val="001A7781"/>
    <w:rsid w:val="001A7843"/>
    <w:rsid w:val="001A7AA1"/>
    <w:rsid w:val="001B041C"/>
    <w:rsid w:val="001B086C"/>
    <w:rsid w:val="001B0AF6"/>
    <w:rsid w:val="001B1BAA"/>
    <w:rsid w:val="001B1E1C"/>
    <w:rsid w:val="001B2109"/>
    <w:rsid w:val="001B267F"/>
    <w:rsid w:val="001B2A61"/>
    <w:rsid w:val="001B2E25"/>
    <w:rsid w:val="001B2E59"/>
    <w:rsid w:val="001B2F8C"/>
    <w:rsid w:val="001B31A0"/>
    <w:rsid w:val="001B327E"/>
    <w:rsid w:val="001B37F0"/>
    <w:rsid w:val="001B4270"/>
    <w:rsid w:val="001B4334"/>
    <w:rsid w:val="001B4A9A"/>
    <w:rsid w:val="001B51F8"/>
    <w:rsid w:val="001B5A07"/>
    <w:rsid w:val="001B5ACE"/>
    <w:rsid w:val="001B7132"/>
    <w:rsid w:val="001C0130"/>
    <w:rsid w:val="001C1A9F"/>
    <w:rsid w:val="001C1BAC"/>
    <w:rsid w:val="001C1F15"/>
    <w:rsid w:val="001C2920"/>
    <w:rsid w:val="001C2D22"/>
    <w:rsid w:val="001C2EEE"/>
    <w:rsid w:val="001C319D"/>
    <w:rsid w:val="001C3269"/>
    <w:rsid w:val="001C32CF"/>
    <w:rsid w:val="001C32E8"/>
    <w:rsid w:val="001C37BC"/>
    <w:rsid w:val="001C3B27"/>
    <w:rsid w:val="001C3C39"/>
    <w:rsid w:val="001C4724"/>
    <w:rsid w:val="001C50AA"/>
    <w:rsid w:val="001C537E"/>
    <w:rsid w:val="001C734B"/>
    <w:rsid w:val="001C7455"/>
    <w:rsid w:val="001C75B1"/>
    <w:rsid w:val="001C76D2"/>
    <w:rsid w:val="001C7AF8"/>
    <w:rsid w:val="001D0CA3"/>
    <w:rsid w:val="001D0CE1"/>
    <w:rsid w:val="001D1424"/>
    <w:rsid w:val="001D16AC"/>
    <w:rsid w:val="001D1A8B"/>
    <w:rsid w:val="001D1D3A"/>
    <w:rsid w:val="001D20D1"/>
    <w:rsid w:val="001D2551"/>
    <w:rsid w:val="001D2DFB"/>
    <w:rsid w:val="001D3903"/>
    <w:rsid w:val="001D3A21"/>
    <w:rsid w:val="001D3A57"/>
    <w:rsid w:val="001D3B09"/>
    <w:rsid w:val="001D4647"/>
    <w:rsid w:val="001D48DD"/>
    <w:rsid w:val="001D4B6F"/>
    <w:rsid w:val="001D51C9"/>
    <w:rsid w:val="001D526E"/>
    <w:rsid w:val="001D5DB8"/>
    <w:rsid w:val="001D642E"/>
    <w:rsid w:val="001D67E5"/>
    <w:rsid w:val="001D6E7D"/>
    <w:rsid w:val="001D73FB"/>
    <w:rsid w:val="001D7616"/>
    <w:rsid w:val="001D7963"/>
    <w:rsid w:val="001E00EC"/>
    <w:rsid w:val="001E0B4A"/>
    <w:rsid w:val="001E10CC"/>
    <w:rsid w:val="001E1894"/>
    <w:rsid w:val="001E1C74"/>
    <w:rsid w:val="001E1E80"/>
    <w:rsid w:val="001E282A"/>
    <w:rsid w:val="001E29D3"/>
    <w:rsid w:val="001E2F6C"/>
    <w:rsid w:val="001E38E7"/>
    <w:rsid w:val="001E3A95"/>
    <w:rsid w:val="001E4428"/>
    <w:rsid w:val="001E4584"/>
    <w:rsid w:val="001E4865"/>
    <w:rsid w:val="001E5227"/>
    <w:rsid w:val="001E5D6B"/>
    <w:rsid w:val="001E5DCA"/>
    <w:rsid w:val="001E68AE"/>
    <w:rsid w:val="001E6974"/>
    <w:rsid w:val="001E6A95"/>
    <w:rsid w:val="001E6EEA"/>
    <w:rsid w:val="001F0730"/>
    <w:rsid w:val="001F0F6B"/>
    <w:rsid w:val="001F126A"/>
    <w:rsid w:val="001F1958"/>
    <w:rsid w:val="001F1EAD"/>
    <w:rsid w:val="001F24E0"/>
    <w:rsid w:val="001F2AEF"/>
    <w:rsid w:val="001F2B29"/>
    <w:rsid w:val="001F34CD"/>
    <w:rsid w:val="001F35F1"/>
    <w:rsid w:val="001F4437"/>
    <w:rsid w:val="001F476E"/>
    <w:rsid w:val="001F4B50"/>
    <w:rsid w:val="001F4CD6"/>
    <w:rsid w:val="001F4E8E"/>
    <w:rsid w:val="001F63F8"/>
    <w:rsid w:val="001F6DDE"/>
    <w:rsid w:val="001F74F9"/>
    <w:rsid w:val="0020003D"/>
    <w:rsid w:val="0020017C"/>
    <w:rsid w:val="00200583"/>
    <w:rsid w:val="00200857"/>
    <w:rsid w:val="00200A78"/>
    <w:rsid w:val="00200C0D"/>
    <w:rsid w:val="00201D1B"/>
    <w:rsid w:val="00201DCA"/>
    <w:rsid w:val="00202AAC"/>
    <w:rsid w:val="00202B8A"/>
    <w:rsid w:val="00202F9B"/>
    <w:rsid w:val="002032BB"/>
    <w:rsid w:val="00203760"/>
    <w:rsid w:val="00203983"/>
    <w:rsid w:val="00204992"/>
    <w:rsid w:val="00204E26"/>
    <w:rsid w:val="00205090"/>
    <w:rsid w:val="00205360"/>
    <w:rsid w:val="0020589E"/>
    <w:rsid w:val="00205C08"/>
    <w:rsid w:val="00205F39"/>
    <w:rsid w:val="00205FFF"/>
    <w:rsid w:val="00206592"/>
    <w:rsid w:val="00206A23"/>
    <w:rsid w:val="002072C2"/>
    <w:rsid w:val="002077D7"/>
    <w:rsid w:val="00210BD9"/>
    <w:rsid w:val="00210D88"/>
    <w:rsid w:val="00211801"/>
    <w:rsid w:val="00212171"/>
    <w:rsid w:val="00212C47"/>
    <w:rsid w:val="00212C50"/>
    <w:rsid w:val="00213011"/>
    <w:rsid w:val="002132BE"/>
    <w:rsid w:val="0021373E"/>
    <w:rsid w:val="00213E9C"/>
    <w:rsid w:val="00214399"/>
    <w:rsid w:val="002148C9"/>
    <w:rsid w:val="00214CE2"/>
    <w:rsid w:val="00214DE3"/>
    <w:rsid w:val="002154FF"/>
    <w:rsid w:val="0021592C"/>
    <w:rsid w:val="002164EE"/>
    <w:rsid w:val="002164FA"/>
    <w:rsid w:val="00216B22"/>
    <w:rsid w:val="00216C5E"/>
    <w:rsid w:val="0021732D"/>
    <w:rsid w:val="002178C5"/>
    <w:rsid w:val="00217967"/>
    <w:rsid w:val="002203A7"/>
    <w:rsid w:val="002208C8"/>
    <w:rsid w:val="00220A59"/>
    <w:rsid w:val="00220B04"/>
    <w:rsid w:val="00220C2C"/>
    <w:rsid w:val="00220CC4"/>
    <w:rsid w:val="00220FEE"/>
    <w:rsid w:val="0022160B"/>
    <w:rsid w:val="00221B2B"/>
    <w:rsid w:val="00222596"/>
    <w:rsid w:val="00223C6F"/>
    <w:rsid w:val="0022401E"/>
    <w:rsid w:val="002247D2"/>
    <w:rsid w:val="00225194"/>
    <w:rsid w:val="002265CE"/>
    <w:rsid w:val="00226F84"/>
    <w:rsid w:val="0023049E"/>
    <w:rsid w:val="002304F5"/>
    <w:rsid w:val="00230FF7"/>
    <w:rsid w:val="00231A51"/>
    <w:rsid w:val="00231DA4"/>
    <w:rsid w:val="00231DBD"/>
    <w:rsid w:val="002324F7"/>
    <w:rsid w:val="00232C84"/>
    <w:rsid w:val="00232FAC"/>
    <w:rsid w:val="00233735"/>
    <w:rsid w:val="00234844"/>
    <w:rsid w:val="00234ABF"/>
    <w:rsid w:val="00235888"/>
    <w:rsid w:val="00235892"/>
    <w:rsid w:val="00235C87"/>
    <w:rsid w:val="00235D6B"/>
    <w:rsid w:val="00236E8B"/>
    <w:rsid w:val="00240B44"/>
    <w:rsid w:val="002423DB"/>
    <w:rsid w:val="002426D6"/>
    <w:rsid w:val="00242F2C"/>
    <w:rsid w:val="002431DF"/>
    <w:rsid w:val="00243588"/>
    <w:rsid w:val="002436EE"/>
    <w:rsid w:val="00243914"/>
    <w:rsid w:val="00244027"/>
    <w:rsid w:val="002440FB"/>
    <w:rsid w:val="00244DE5"/>
    <w:rsid w:val="00244EDC"/>
    <w:rsid w:val="0024514B"/>
    <w:rsid w:val="00245BD3"/>
    <w:rsid w:val="00245D14"/>
    <w:rsid w:val="00245E73"/>
    <w:rsid w:val="002460ED"/>
    <w:rsid w:val="002466BF"/>
    <w:rsid w:val="00246C2D"/>
    <w:rsid w:val="0024734C"/>
    <w:rsid w:val="00247455"/>
    <w:rsid w:val="00247AD5"/>
    <w:rsid w:val="00247F8A"/>
    <w:rsid w:val="002500C9"/>
    <w:rsid w:val="002501C7"/>
    <w:rsid w:val="00250248"/>
    <w:rsid w:val="002502AD"/>
    <w:rsid w:val="002508C0"/>
    <w:rsid w:val="002511D2"/>
    <w:rsid w:val="002514E7"/>
    <w:rsid w:val="00251565"/>
    <w:rsid w:val="002518B2"/>
    <w:rsid w:val="00252014"/>
    <w:rsid w:val="00252094"/>
    <w:rsid w:val="0025250A"/>
    <w:rsid w:val="00254058"/>
    <w:rsid w:val="00254B1E"/>
    <w:rsid w:val="002552B2"/>
    <w:rsid w:val="0025563C"/>
    <w:rsid w:val="00255CAC"/>
    <w:rsid w:val="00255FD3"/>
    <w:rsid w:val="002570E9"/>
    <w:rsid w:val="00260599"/>
    <w:rsid w:val="00260A2F"/>
    <w:rsid w:val="00261071"/>
    <w:rsid w:val="002610BC"/>
    <w:rsid w:val="002613CA"/>
    <w:rsid w:val="002617A5"/>
    <w:rsid w:val="00261A32"/>
    <w:rsid w:val="0026223E"/>
    <w:rsid w:val="002622A7"/>
    <w:rsid w:val="002625AE"/>
    <w:rsid w:val="002628B6"/>
    <w:rsid w:val="00262B2E"/>
    <w:rsid w:val="00263764"/>
    <w:rsid w:val="002637BE"/>
    <w:rsid w:val="00263998"/>
    <w:rsid w:val="00263A9B"/>
    <w:rsid w:val="00263C19"/>
    <w:rsid w:val="00263E9E"/>
    <w:rsid w:val="0026514E"/>
    <w:rsid w:val="002652F3"/>
    <w:rsid w:val="002663F3"/>
    <w:rsid w:val="002670A4"/>
    <w:rsid w:val="00267513"/>
    <w:rsid w:val="00267CC9"/>
    <w:rsid w:val="00270BD4"/>
    <w:rsid w:val="00271876"/>
    <w:rsid w:val="00271A65"/>
    <w:rsid w:val="00271D14"/>
    <w:rsid w:val="0027221D"/>
    <w:rsid w:val="00272237"/>
    <w:rsid w:val="00272249"/>
    <w:rsid w:val="00272333"/>
    <w:rsid w:val="002729B3"/>
    <w:rsid w:val="0027307D"/>
    <w:rsid w:val="002731AA"/>
    <w:rsid w:val="00274084"/>
    <w:rsid w:val="00274290"/>
    <w:rsid w:val="002744BB"/>
    <w:rsid w:val="00274751"/>
    <w:rsid w:val="002749BB"/>
    <w:rsid w:val="00274C89"/>
    <w:rsid w:val="00274FED"/>
    <w:rsid w:val="002750C7"/>
    <w:rsid w:val="002752F1"/>
    <w:rsid w:val="00275A93"/>
    <w:rsid w:val="002764B9"/>
    <w:rsid w:val="00276579"/>
    <w:rsid w:val="00276824"/>
    <w:rsid w:val="00276E3E"/>
    <w:rsid w:val="0027733D"/>
    <w:rsid w:val="00277A97"/>
    <w:rsid w:val="002801AB"/>
    <w:rsid w:val="0028139F"/>
    <w:rsid w:val="00281550"/>
    <w:rsid w:val="0028168D"/>
    <w:rsid w:val="00281E7A"/>
    <w:rsid w:val="00282C3F"/>
    <w:rsid w:val="00282EED"/>
    <w:rsid w:val="0028321E"/>
    <w:rsid w:val="00283367"/>
    <w:rsid w:val="00283AF7"/>
    <w:rsid w:val="00283AFF"/>
    <w:rsid w:val="00284B47"/>
    <w:rsid w:val="00285105"/>
    <w:rsid w:val="0028521A"/>
    <w:rsid w:val="00285245"/>
    <w:rsid w:val="00285474"/>
    <w:rsid w:val="002858C0"/>
    <w:rsid w:val="00285924"/>
    <w:rsid w:val="0028593A"/>
    <w:rsid w:val="00286534"/>
    <w:rsid w:val="0028658C"/>
    <w:rsid w:val="00286A78"/>
    <w:rsid w:val="00286CD0"/>
    <w:rsid w:val="002871CD"/>
    <w:rsid w:val="002872CF"/>
    <w:rsid w:val="00290555"/>
    <w:rsid w:val="00290CD3"/>
    <w:rsid w:val="00290D1A"/>
    <w:rsid w:val="00291191"/>
    <w:rsid w:val="00291F0F"/>
    <w:rsid w:val="00293689"/>
    <w:rsid w:val="002938F4"/>
    <w:rsid w:val="00293AB8"/>
    <w:rsid w:val="00294A02"/>
    <w:rsid w:val="00294A8F"/>
    <w:rsid w:val="00294AE9"/>
    <w:rsid w:val="00294C65"/>
    <w:rsid w:val="00294D22"/>
    <w:rsid w:val="0029612D"/>
    <w:rsid w:val="00296B7E"/>
    <w:rsid w:val="00297573"/>
    <w:rsid w:val="002A14D6"/>
    <w:rsid w:val="002A18E2"/>
    <w:rsid w:val="002A1ABC"/>
    <w:rsid w:val="002A1B30"/>
    <w:rsid w:val="002A1F0B"/>
    <w:rsid w:val="002A22E5"/>
    <w:rsid w:val="002A22F5"/>
    <w:rsid w:val="002A2367"/>
    <w:rsid w:val="002A2D55"/>
    <w:rsid w:val="002A2F42"/>
    <w:rsid w:val="002A3021"/>
    <w:rsid w:val="002A368F"/>
    <w:rsid w:val="002A3987"/>
    <w:rsid w:val="002A42AA"/>
    <w:rsid w:val="002A4A66"/>
    <w:rsid w:val="002A5AA6"/>
    <w:rsid w:val="002A5AE1"/>
    <w:rsid w:val="002A6551"/>
    <w:rsid w:val="002A6885"/>
    <w:rsid w:val="002A68D5"/>
    <w:rsid w:val="002A71B9"/>
    <w:rsid w:val="002A7B58"/>
    <w:rsid w:val="002A7CFD"/>
    <w:rsid w:val="002A7EB8"/>
    <w:rsid w:val="002A7FC5"/>
    <w:rsid w:val="002B0BA1"/>
    <w:rsid w:val="002B0C5F"/>
    <w:rsid w:val="002B0D81"/>
    <w:rsid w:val="002B12BE"/>
    <w:rsid w:val="002B1322"/>
    <w:rsid w:val="002B1A34"/>
    <w:rsid w:val="002B2191"/>
    <w:rsid w:val="002B28F0"/>
    <w:rsid w:val="002B34D6"/>
    <w:rsid w:val="002B39E4"/>
    <w:rsid w:val="002B3A05"/>
    <w:rsid w:val="002B5672"/>
    <w:rsid w:val="002B5E07"/>
    <w:rsid w:val="002B61C4"/>
    <w:rsid w:val="002B66EC"/>
    <w:rsid w:val="002B6BAC"/>
    <w:rsid w:val="002B70AE"/>
    <w:rsid w:val="002B7434"/>
    <w:rsid w:val="002B7657"/>
    <w:rsid w:val="002B76C7"/>
    <w:rsid w:val="002C009F"/>
    <w:rsid w:val="002C02BF"/>
    <w:rsid w:val="002C033D"/>
    <w:rsid w:val="002C0999"/>
    <w:rsid w:val="002C09F7"/>
    <w:rsid w:val="002C1509"/>
    <w:rsid w:val="002C182B"/>
    <w:rsid w:val="002C20D6"/>
    <w:rsid w:val="002C2E13"/>
    <w:rsid w:val="002C3E3F"/>
    <w:rsid w:val="002C409C"/>
    <w:rsid w:val="002C41EA"/>
    <w:rsid w:val="002C4276"/>
    <w:rsid w:val="002C5003"/>
    <w:rsid w:val="002C5122"/>
    <w:rsid w:val="002C53D9"/>
    <w:rsid w:val="002C578C"/>
    <w:rsid w:val="002C5CE8"/>
    <w:rsid w:val="002C5D34"/>
    <w:rsid w:val="002C689B"/>
    <w:rsid w:val="002C6BD3"/>
    <w:rsid w:val="002C6CEC"/>
    <w:rsid w:val="002C77CA"/>
    <w:rsid w:val="002D00D7"/>
    <w:rsid w:val="002D02F3"/>
    <w:rsid w:val="002D034B"/>
    <w:rsid w:val="002D04D9"/>
    <w:rsid w:val="002D0E64"/>
    <w:rsid w:val="002D10BE"/>
    <w:rsid w:val="002D11B1"/>
    <w:rsid w:val="002D25B3"/>
    <w:rsid w:val="002D2D30"/>
    <w:rsid w:val="002D39C1"/>
    <w:rsid w:val="002D3E35"/>
    <w:rsid w:val="002D408E"/>
    <w:rsid w:val="002D56F9"/>
    <w:rsid w:val="002D593C"/>
    <w:rsid w:val="002D5BE4"/>
    <w:rsid w:val="002D656C"/>
    <w:rsid w:val="002D6A47"/>
    <w:rsid w:val="002D6B89"/>
    <w:rsid w:val="002D6D1D"/>
    <w:rsid w:val="002D6F1E"/>
    <w:rsid w:val="002D6F22"/>
    <w:rsid w:val="002D73FC"/>
    <w:rsid w:val="002D7A7A"/>
    <w:rsid w:val="002E02C8"/>
    <w:rsid w:val="002E03EE"/>
    <w:rsid w:val="002E087D"/>
    <w:rsid w:val="002E242D"/>
    <w:rsid w:val="002E2A90"/>
    <w:rsid w:val="002E30C1"/>
    <w:rsid w:val="002E342A"/>
    <w:rsid w:val="002E36F0"/>
    <w:rsid w:val="002E3A91"/>
    <w:rsid w:val="002E3FAB"/>
    <w:rsid w:val="002E4342"/>
    <w:rsid w:val="002E4488"/>
    <w:rsid w:val="002F02B4"/>
    <w:rsid w:val="002F0901"/>
    <w:rsid w:val="002F0B39"/>
    <w:rsid w:val="002F1066"/>
    <w:rsid w:val="002F1161"/>
    <w:rsid w:val="002F1891"/>
    <w:rsid w:val="002F24F3"/>
    <w:rsid w:val="002F24FC"/>
    <w:rsid w:val="002F254B"/>
    <w:rsid w:val="002F2A00"/>
    <w:rsid w:val="002F4B7F"/>
    <w:rsid w:val="002F517F"/>
    <w:rsid w:val="002F55BA"/>
    <w:rsid w:val="002F58D0"/>
    <w:rsid w:val="002F5FAB"/>
    <w:rsid w:val="002F666B"/>
    <w:rsid w:val="002F72AE"/>
    <w:rsid w:val="002F7301"/>
    <w:rsid w:val="002F798A"/>
    <w:rsid w:val="002F7A35"/>
    <w:rsid w:val="002F7F43"/>
    <w:rsid w:val="002F7FC6"/>
    <w:rsid w:val="00300030"/>
    <w:rsid w:val="003000B8"/>
    <w:rsid w:val="00300501"/>
    <w:rsid w:val="0030067B"/>
    <w:rsid w:val="003008E7"/>
    <w:rsid w:val="00300BD2"/>
    <w:rsid w:val="003012E9"/>
    <w:rsid w:val="003018DF"/>
    <w:rsid w:val="00301A40"/>
    <w:rsid w:val="00302134"/>
    <w:rsid w:val="0030220E"/>
    <w:rsid w:val="00302453"/>
    <w:rsid w:val="00302AFD"/>
    <w:rsid w:val="00302BF3"/>
    <w:rsid w:val="00302F53"/>
    <w:rsid w:val="00304136"/>
    <w:rsid w:val="003041A7"/>
    <w:rsid w:val="00304B91"/>
    <w:rsid w:val="00304C16"/>
    <w:rsid w:val="00304CEC"/>
    <w:rsid w:val="00305028"/>
    <w:rsid w:val="003055C5"/>
    <w:rsid w:val="003055D4"/>
    <w:rsid w:val="003056F6"/>
    <w:rsid w:val="00305B72"/>
    <w:rsid w:val="00305CCB"/>
    <w:rsid w:val="00305DC1"/>
    <w:rsid w:val="00305F75"/>
    <w:rsid w:val="003061D5"/>
    <w:rsid w:val="003062FE"/>
    <w:rsid w:val="00306311"/>
    <w:rsid w:val="00306391"/>
    <w:rsid w:val="003067F3"/>
    <w:rsid w:val="00306854"/>
    <w:rsid w:val="003068BB"/>
    <w:rsid w:val="00306C58"/>
    <w:rsid w:val="00310FBE"/>
    <w:rsid w:val="003110E5"/>
    <w:rsid w:val="003114CA"/>
    <w:rsid w:val="00311ABB"/>
    <w:rsid w:val="00312C5C"/>
    <w:rsid w:val="00312CCD"/>
    <w:rsid w:val="00313640"/>
    <w:rsid w:val="003137E8"/>
    <w:rsid w:val="00313A9A"/>
    <w:rsid w:val="00313D6B"/>
    <w:rsid w:val="00314121"/>
    <w:rsid w:val="00314644"/>
    <w:rsid w:val="003148EF"/>
    <w:rsid w:val="003153CF"/>
    <w:rsid w:val="00315846"/>
    <w:rsid w:val="00315865"/>
    <w:rsid w:val="0031656B"/>
    <w:rsid w:val="00316AB5"/>
    <w:rsid w:val="003179A0"/>
    <w:rsid w:val="00317C77"/>
    <w:rsid w:val="00317FF5"/>
    <w:rsid w:val="003213E5"/>
    <w:rsid w:val="00322845"/>
    <w:rsid w:val="0032331A"/>
    <w:rsid w:val="003235E0"/>
    <w:rsid w:val="00323A92"/>
    <w:rsid w:val="003252B0"/>
    <w:rsid w:val="003256EB"/>
    <w:rsid w:val="00325729"/>
    <w:rsid w:val="00325C8D"/>
    <w:rsid w:val="00326C16"/>
    <w:rsid w:val="003271E4"/>
    <w:rsid w:val="003272F7"/>
    <w:rsid w:val="0032753F"/>
    <w:rsid w:val="00327DF7"/>
    <w:rsid w:val="00327EA9"/>
    <w:rsid w:val="00330442"/>
    <w:rsid w:val="003308B9"/>
    <w:rsid w:val="00330931"/>
    <w:rsid w:val="003313AA"/>
    <w:rsid w:val="00331DD3"/>
    <w:rsid w:val="00331DDA"/>
    <w:rsid w:val="003321A1"/>
    <w:rsid w:val="003321DB"/>
    <w:rsid w:val="003322B2"/>
    <w:rsid w:val="00332979"/>
    <w:rsid w:val="00332D7E"/>
    <w:rsid w:val="003334D0"/>
    <w:rsid w:val="00335ADB"/>
    <w:rsid w:val="00335BAA"/>
    <w:rsid w:val="003361C8"/>
    <w:rsid w:val="003363A5"/>
    <w:rsid w:val="00336532"/>
    <w:rsid w:val="00336BD7"/>
    <w:rsid w:val="00336E7D"/>
    <w:rsid w:val="00336FC1"/>
    <w:rsid w:val="00337BAF"/>
    <w:rsid w:val="00337D39"/>
    <w:rsid w:val="00337E8B"/>
    <w:rsid w:val="00340FC2"/>
    <w:rsid w:val="00342138"/>
    <w:rsid w:val="00342728"/>
    <w:rsid w:val="00342998"/>
    <w:rsid w:val="0034367A"/>
    <w:rsid w:val="00343E7B"/>
    <w:rsid w:val="0034403E"/>
    <w:rsid w:val="003446D2"/>
    <w:rsid w:val="003446EE"/>
    <w:rsid w:val="00344B6E"/>
    <w:rsid w:val="003451D5"/>
    <w:rsid w:val="00345280"/>
    <w:rsid w:val="00345D1B"/>
    <w:rsid w:val="00345F99"/>
    <w:rsid w:val="00346409"/>
    <w:rsid w:val="00347363"/>
    <w:rsid w:val="00350B02"/>
    <w:rsid w:val="00351FFF"/>
    <w:rsid w:val="003526D9"/>
    <w:rsid w:val="00352C56"/>
    <w:rsid w:val="003531FD"/>
    <w:rsid w:val="003534CF"/>
    <w:rsid w:val="00353921"/>
    <w:rsid w:val="00354B66"/>
    <w:rsid w:val="00354BCC"/>
    <w:rsid w:val="003553BD"/>
    <w:rsid w:val="003556D0"/>
    <w:rsid w:val="0035593D"/>
    <w:rsid w:val="00356520"/>
    <w:rsid w:val="00356A12"/>
    <w:rsid w:val="00357065"/>
    <w:rsid w:val="003576CF"/>
    <w:rsid w:val="00357E88"/>
    <w:rsid w:val="003607A9"/>
    <w:rsid w:val="00360A9B"/>
    <w:rsid w:val="00360CDA"/>
    <w:rsid w:val="00362C5E"/>
    <w:rsid w:val="00363065"/>
    <w:rsid w:val="00363069"/>
    <w:rsid w:val="00363D3E"/>
    <w:rsid w:val="00363D5F"/>
    <w:rsid w:val="00363FCD"/>
    <w:rsid w:val="0036400F"/>
    <w:rsid w:val="0036442F"/>
    <w:rsid w:val="003655A0"/>
    <w:rsid w:val="003659C2"/>
    <w:rsid w:val="0036685C"/>
    <w:rsid w:val="00366DD9"/>
    <w:rsid w:val="003706B0"/>
    <w:rsid w:val="00370C81"/>
    <w:rsid w:val="00370D7C"/>
    <w:rsid w:val="00371414"/>
    <w:rsid w:val="00371CFF"/>
    <w:rsid w:val="003725DA"/>
    <w:rsid w:val="003733C5"/>
    <w:rsid w:val="003735D0"/>
    <w:rsid w:val="00373901"/>
    <w:rsid w:val="00375D01"/>
    <w:rsid w:val="0037609B"/>
    <w:rsid w:val="003767D1"/>
    <w:rsid w:val="00376839"/>
    <w:rsid w:val="00376ACD"/>
    <w:rsid w:val="00376C17"/>
    <w:rsid w:val="00377165"/>
    <w:rsid w:val="00377668"/>
    <w:rsid w:val="003778B9"/>
    <w:rsid w:val="00377EDC"/>
    <w:rsid w:val="0038093D"/>
    <w:rsid w:val="0038107A"/>
    <w:rsid w:val="003818E3"/>
    <w:rsid w:val="003822CB"/>
    <w:rsid w:val="00382B90"/>
    <w:rsid w:val="0038348F"/>
    <w:rsid w:val="00384274"/>
    <w:rsid w:val="00384B08"/>
    <w:rsid w:val="00384C9B"/>
    <w:rsid w:val="00385013"/>
    <w:rsid w:val="003856B7"/>
    <w:rsid w:val="00385BF4"/>
    <w:rsid w:val="003875FB"/>
    <w:rsid w:val="00390B01"/>
    <w:rsid w:val="003913C9"/>
    <w:rsid w:val="0039156C"/>
    <w:rsid w:val="003915D2"/>
    <w:rsid w:val="00391764"/>
    <w:rsid w:val="00391938"/>
    <w:rsid w:val="00391CF5"/>
    <w:rsid w:val="00391F5D"/>
    <w:rsid w:val="0039234A"/>
    <w:rsid w:val="00392663"/>
    <w:rsid w:val="00392724"/>
    <w:rsid w:val="0039314B"/>
    <w:rsid w:val="00393258"/>
    <w:rsid w:val="003933ED"/>
    <w:rsid w:val="00394054"/>
    <w:rsid w:val="003943AF"/>
    <w:rsid w:val="003944E1"/>
    <w:rsid w:val="00396D33"/>
    <w:rsid w:val="003A0D9D"/>
    <w:rsid w:val="003A1692"/>
    <w:rsid w:val="003A2879"/>
    <w:rsid w:val="003A2E1C"/>
    <w:rsid w:val="003A3C5E"/>
    <w:rsid w:val="003A41E5"/>
    <w:rsid w:val="003A425A"/>
    <w:rsid w:val="003A488E"/>
    <w:rsid w:val="003A4B4B"/>
    <w:rsid w:val="003A5931"/>
    <w:rsid w:val="003A6720"/>
    <w:rsid w:val="003A6C91"/>
    <w:rsid w:val="003A6F92"/>
    <w:rsid w:val="003A77D8"/>
    <w:rsid w:val="003B035B"/>
    <w:rsid w:val="003B076E"/>
    <w:rsid w:val="003B0818"/>
    <w:rsid w:val="003B0B6D"/>
    <w:rsid w:val="003B12A4"/>
    <w:rsid w:val="003B138A"/>
    <w:rsid w:val="003B1B39"/>
    <w:rsid w:val="003B2108"/>
    <w:rsid w:val="003B21EB"/>
    <w:rsid w:val="003B396F"/>
    <w:rsid w:val="003B39CB"/>
    <w:rsid w:val="003B3A93"/>
    <w:rsid w:val="003B3AF9"/>
    <w:rsid w:val="003B3C43"/>
    <w:rsid w:val="003B4230"/>
    <w:rsid w:val="003B4931"/>
    <w:rsid w:val="003B5E77"/>
    <w:rsid w:val="003B6167"/>
    <w:rsid w:val="003B7657"/>
    <w:rsid w:val="003B7813"/>
    <w:rsid w:val="003B7AC9"/>
    <w:rsid w:val="003B7B78"/>
    <w:rsid w:val="003B7FCC"/>
    <w:rsid w:val="003C0497"/>
    <w:rsid w:val="003C0582"/>
    <w:rsid w:val="003C0627"/>
    <w:rsid w:val="003C0ACC"/>
    <w:rsid w:val="003C0D70"/>
    <w:rsid w:val="003C1253"/>
    <w:rsid w:val="003C1D0A"/>
    <w:rsid w:val="003C26A5"/>
    <w:rsid w:val="003C3B34"/>
    <w:rsid w:val="003C4341"/>
    <w:rsid w:val="003C45D0"/>
    <w:rsid w:val="003C463C"/>
    <w:rsid w:val="003C4789"/>
    <w:rsid w:val="003C548B"/>
    <w:rsid w:val="003C55CF"/>
    <w:rsid w:val="003C5622"/>
    <w:rsid w:val="003C5D7E"/>
    <w:rsid w:val="003C601B"/>
    <w:rsid w:val="003C603C"/>
    <w:rsid w:val="003C617D"/>
    <w:rsid w:val="003C6621"/>
    <w:rsid w:val="003C685B"/>
    <w:rsid w:val="003C6915"/>
    <w:rsid w:val="003C6B11"/>
    <w:rsid w:val="003C7136"/>
    <w:rsid w:val="003C71D7"/>
    <w:rsid w:val="003D0021"/>
    <w:rsid w:val="003D01AC"/>
    <w:rsid w:val="003D053C"/>
    <w:rsid w:val="003D0583"/>
    <w:rsid w:val="003D1417"/>
    <w:rsid w:val="003D192F"/>
    <w:rsid w:val="003D1CE3"/>
    <w:rsid w:val="003D1D1A"/>
    <w:rsid w:val="003D1DC4"/>
    <w:rsid w:val="003D2E47"/>
    <w:rsid w:val="003D3009"/>
    <w:rsid w:val="003D3873"/>
    <w:rsid w:val="003D411B"/>
    <w:rsid w:val="003D4CDB"/>
    <w:rsid w:val="003D4D95"/>
    <w:rsid w:val="003D589B"/>
    <w:rsid w:val="003D5E9F"/>
    <w:rsid w:val="003D61F7"/>
    <w:rsid w:val="003D62B1"/>
    <w:rsid w:val="003D6514"/>
    <w:rsid w:val="003D676F"/>
    <w:rsid w:val="003D6AE1"/>
    <w:rsid w:val="003D788F"/>
    <w:rsid w:val="003E036B"/>
    <w:rsid w:val="003E12E8"/>
    <w:rsid w:val="003E25E0"/>
    <w:rsid w:val="003E35BE"/>
    <w:rsid w:val="003E463F"/>
    <w:rsid w:val="003E53BE"/>
    <w:rsid w:val="003E5446"/>
    <w:rsid w:val="003E5613"/>
    <w:rsid w:val="003E56E3"/>
    <w:rsid w:val="003E6936"/>
    <w:rsid w:val="003E7080"/>
    <w:rsid w:val="003E73F3"/>
    <w:rsid w:val="003E74BE"/>
    <w:rsid w:val="003E7542"/>
    <w:rsid w:val="003E7561"/>
    <w:rsid w:val="003E769C"/>
    <w:rsid w:val="003E7722"/>
    <w:rsid w:val="003E79B0"/>
    <w:rsid w:val="003E7AFB"/>
    <w:rsid w:val="003F1428"/>
    <w:rsid w:val="003F15E0"/>
    <w:rsid w:val="003F2176"/>
    <w:rsid w:val="003F2242"/>
    <w:rsid w:val="003F3DB3"/>
    <w:rsid w:val="003F45D6"/>
    <w:rsid w:val="003F4E9A"/>
    <w:rsid w:val="003F4E9B"/>
    <w:rsid w:val="003F52F7"/>
    <w:rsid w:val="003F5642"/>
    <w:rsid w:val="003F66A4"/>
    <w:rsid w:val="003F70AE"/>
    <w:rsid w:val="003F76DC"/>
    <w:rsid w:val="003F7746"/>
    <w:rsid w:val="003F7CA8"/>
    <w:rsid w:val="004001DE"/>
    <w:rsid w:val="004004A3"/>
    <w:rsid w:val="00401196"/>
    <w:rsid w:val="004014F2"/>
    <w:rsid w:val="004017A9"/>
    <w:rsid w:val="00401956"/>
    <w:rsid w:val="00401CE4"/>
    <w:rsid w:val="00401E19"/>
    <w:rsid w:val="004024C7"/>
    <w:rsid w:val="004026EC"/>
    <w:rsid w:val="004029DD"/>
    <w:rsid w:val="00402A01"/>
    <w:rsid w:val="00402CE2"/>
    <w:rsid w:val="00402EB7"/>
    <w:rsid w:val="004030AF"/>
    <w:rsid w:val="00403248"/>
    <w:rsid w:val="00403A74"/>
    <w:rsid w:val="00403D56"/>
    <w:rsid w:val="00403EF0"/>
    <w:rsid w:val="00404A51"/>
    <w:rsid w:val="00404FDC"/>
    <w:rsid w:val="0040531C"/>
    <w:rsid w:val="0040563D"/>
    <w:rsid w:val="0040588E"/>
    <w:rsid w:val="00405D71"/>
    <w:rsid w:val="00405E65"/>
    <w:rsid w:val="004061F1"/>
    <w:rsid w:val="004065DC"/>
    <w:rsid w:val="00406AA8"/>
    <w:rsid w:val="00407517"/>
    <w:rsid w:val="004102C0"/>
    <w:rsid w:val="004103D2"/>
    <w:rsid w:val="00410625"/>
    <w:rsid w:val="00410DE2"/>
    <w:rsid w:val="004111D1"/>
    <w:rsid w:val="00411356"/>
    <w:rsid w:val="004120C5"/>
    <w:rsid w:val="0041281F"/>
    <w:rsid w:val="00413746"/>
    <w:rsid w:val="00413A2A"/>
    <w:rsid w:val="0041420C"/>
    <w:rsid w:val="00414A24"/>
    <w:rsid w:val="00415D4A"/>
    <w:rsid w:val="00416107"/>
    <w:rsid w:val="0041637F"/>
    <w:rsid w:val="0041681F"/>
    <w:rsid w:val="0041695E"/>
    <w:rsid w:val="00416CDE"/>
    <w:rsid w:val="00417313"/>
    <w:rsid w:val="00420DE9"/>
    <w:rsid w:val="00420F4B"/>
    <w:rsid w:val="00421BCF"/>
    <w:rsid w:val="00422185"/>
    <w:rsid w:val="0042240F"/>
    <w:rsid w:val="00422CDE"/>
    <w:rsid w:val="004238A6"/>
    <w:rsid w:val="00424DBD"/>
    <w:rsid w:val="004253DF"/>
    <w:rsid w:val="00425728"/>
    <w:rsid w:val="0042580C"/>
    <w:rsid w:val="004265D6"/>
    <w:rsid w:val="00426A35"/>
    <w:rsid w:val="00426AFD"/>
    <w:rsid w:val="004271AE"/>
    <w:rsid w:val="00430292"/>
    <w:rsid w:val="00430364"/>
    <w:rsid w:val="004304FE"/>
    <w:rsid w:val="004309B7"/>
    <w:rsid w:val="00431854"/>
    <w:rsid w:val="00432460"/>
    <w:rsid w:val="00432529"/>
    <w:rsid w:val="004341A3"/>
    <w:rsid w:val="004346D4"/>
    <w:rsid w:val="004346F5"/>
    <w:rsid w:val="004358AB"/>
    <w:rsid w:val="00435A86"/>
    <w:rsid w:val="00436B78"/>
    <w:rsid w:val="004375B9"/>
    <w:rsid w:val="0043790C"/>
    <w:rsid w:val="00440159"/>
    <w:rsid w:val="004404E8"/>
    <w:rsid w:val="004411C0"/>
    <w:rsid w:val="00441460"/>
    <w:rsid w:val="004414DC"/>
    <w:rsid w:val="004426AB"/>
    <w:rsid w:val="00442DD2"/>
    <w:rsid w:val="004436AC"/>
    <w:rsid w:val="00443962"/>
    <w:rsid w:val="00443E37"/>
    <w:rsid w:val="0044483C"/>
    <w:rsid w:val="004449F5"/>
    <w:rsid w:val="00444BB5"/>
    <w:rsid w:val="00445768"/>
    <w:rsid w:val="00446629"/>
    <w:rsid w:val="00446B06"/>
    <w:rsid w:val="00446C5B"/>
    <w:rsid w:val="0044705B"/>
    <w:rsid w:val="0044713A"/>
    <w:rsid w:val="0044752B"/>
    <w:rsid w:val="00447722"/>
    <w:rsid w:val="004509A1"/>
    <w:rsid w:val="00451623"/>
    <w:rsid w:val="0045187B"/>
    <w:rsid w:val="00452589"/>
    <w:rsid w:val="00452985"/>
    <w:rsid w:val="004529E7"/>
    <w:rsid w:val="00452A58"/>
    <w:rsid w:val="00452AE2"/>
    <w:rsid w:val="0045324B"/>
    <w:rsid w:val="00453300"/>
    <w:rsid w:val="00453B8E"/>
    <w:rsid w:val="0045413B"/>
    <w:rsid w:val="00454FD9"/>
    <w:rsid w:val="00455381"/>
    <w:rsid w:val="004554F0"/>
    <w:rsid w:val="00455711"/>
    <w:rsid w:val="00455BAD"/>
    <w:rsid w:val="00455EB1"/>
    <w:rsid w:val="00456300"/>
    <w:rsid w:val="00456710"/>
    <w:rsid w:val="00457ABA"/>
    <w:rsid w:val="00457B18"/>
    <w:rsid w:val="00457B88"/>
    <w:rsid w:val="004605D0"/>
    <w:rsid w:val="004608A9"/>
    <w:rsid w:val="004608E2"/>
    <w:rsid w:val="00460C74"/>
    <w:rsid w:val="0046128C"/>
    <w:rsid w:val="00461AA4"/>
    <w:rsid w:val="00462488"/>
    <w:rsid w:val="004625FF"/>
    <w:rsid w:val="00462E78"/>
    <w:rsid w:val="00463882"/>
    <w:rsid w:val="00463BB2"/>
    <w:rsid w:val="00464891"/>
    <w:rsid w:val="00464B92"/>
    <w:rsid w:val="00465261"/>
    <w:rsid w:val="00465702"/>
    <w:rsid w:val="00465745"/>
    <w:rsid w:val="00465931"/>
    <w:rsid w:val="00465EED"/>
    <w:rsid w:val="004660FB"/>
    <w:rsid w:val="0046657C"/>
    <w:rsid w:val="00466C67"/>
    <w:rsid w:val="00466F4F"/>
    <w:rsid w:val="00467071"/>
    <w:rsid w:val="004670A3"/>
    <w:rsid w:val="00467237"/>
    <w:rsid w:val="004678F2"/>
    <w:rsid w:val="00467CA0"/>
    <w:rsid w:val="00467F49"/>
    <w:rsid w:val="00470889"/>
    <w:rsid w:val="00470B1C"/>
    <w:rsid w:val="00470B49"/>
    <w:rsid w:val="00471483"/>
    <w:rsid w:val="00471A10"/>
    <w:rsid w:val="00472251"/>
    <w:rsid w:val="00472D24"/>
    <w:rsid w:val="00473C6E"/>
    <w:rsid w:val="0047480E"/>
    <w:rsid w:val="00475C96"/>
    <w:rsid w:val="00475E46"/>
    <w:rsid w:val="004769AB"/>
    <w:rsid w:val="00477D43"/>
    <w:rsid w:val="004804CF"/>
    <w:rsid w:val="00480F57"/>
    <w:rsid w:val="00481C0C"/>
    <w:rsid w:val="004820F5"/>
    <w:rsid w:val="00482462"/>
    <w:rsid w:val="00482A01"/>
    <w:rsid w:val="00482DBE"/>
    <w:rsid w:val="004836C6"/>
    <w:rsid w:val="00483957"/>
    <w:rsid w:val="004839C9"/>
    <w:rsid w:val="00483BD5"/>
    <w:rsid w:val="00483DD7"/>
    <w:rsid w:val="004843E3"/>
    <w:rsid w:val="004865AC"/>
    <w:rsid w:val="004878CF"/>
    <w:rsid w:val="00490B48"/>
    <w:rsid w:val="00491270"/>
    <w:rsid w:val="004913B6"/>
    <w:rsid w:val="004919CA"/>
    <w:rsid w:val="00491B54"/>
    <w:rsid w:val="004921C9"/>
    <w:rsid w:val="00492403"/>
    <w:rsid w:val="00492F8D"/>
    <w:rsid w:val="0049384E"/>
    <w:rsid w:val="004945A3"/>
    <w:rsid w:val="004945DD"/>
    <w:rsid w:val="00494783"/>
    <w:rsid w:val="0049483C"/>
    <w:rsid w:val="00494B50"/>
    <w:rsid w:val="00495172"/>
    <w:rsid w:val="0049532B"/>
    <w:rsid w:val="004959F6"/>
    <w:rsid w:val="00495AAE"/>
    <w:rsid w:val="00495DDE"/>
    <w:rsid w:val="00495E34"/>
    <w:rsid w:val="00496110"/>
    <w:rsid w:val="00496512"/>
    <w:rsid w:val="004970DB"/>
    <w:rsid w:val="004972E2"/>
    <w:rsid w:val="004979CD"/>
    <w:rsid w:val="00497C80"/>
    <w:rsid w:val="00497F59"/>
    <w:rsid w:val="004A0746"/>
    <w:rsid w:val="004A0C6A"/>
    <w:rsid w:val="004A130C"/>
    <w:rsid w:val="004A1D5B"/>
    <w:rsid w:val="004A1DE5"/>
    <w:rsid w:val="004A28D5"/>
    <w:rsid w:val="004A3888"/>
    <w:rsid w:val="004A3D51"/>
    <w:rsid w:val="004A46DE"/>
    <w:rsid w:val="004A4BB1"/>
    <w:rsid w:val="004A63B2"/>
    <w:rsid w:val="004A6448"/>
    <w:rsid w:val="004A6841"/>
    <w:rsid w:val="004A6B99"/>
    <w:rsid w:val="004A7809"/>
    <w:rsid w:val="004A7EC2"/>
    <w:rsid w:val="004B024A"/>
    <w:rsid w:val="004B1CFB"/>
    <w:rsid w:val="004B2401"/>
    <w:rsid w:val="004B28D6"/>
    <w:rsid w:val="004B31A0"/>
    <w:rsid w:val="004B336A"/>
    <w:rsid w:val="004B3815"/>
    <w:rsid w:val="004B3960"/>
    <w:rsid w:val="004B3C0B"/>
    <w:rsid w:val="004B3E7D"/>
    <w:rsid w:val="004B48C1"/>
    <w:rsid w:val="004B4D32"/>
    <w:rsid w:val="004B54ED"/>
    <w:rsid w:val="004B57B4"/>
    <w:rsid w:val="004B5917"/>
    <w:rsid w:val="004B5B89"/>
    <w:rsid w:val="004B5D09"/>
    <w:rsid w:val="004B6BEF"/>
    <w:rsid w:val="004B7298"/>
    <w:rsid w:val="004B7775"/>
    <w:rsid w:val="004C03E2"/>
    <w:rsid w:val="004C15EB"/>
    <w:rsid w:val="004C18CC"/>
    <w:rsid w:val="004C1FB0"/>
    <w:rsid w:val="004C22E2"/>
    <w:rsid w:val="004C297A"/>
    <w:rsid w:val="004C2E25"/>
    <w:rsid w:val="004C350D"/>
    <w:rsid w:val="004C3542"/>
    <w:rsid w:val="004C3789"/>
    <w:rsid w:val="004C3D90"/>
    <w:rsid w:val="004C426B"/>
    <w:rsid w:val="004C474C"/>
    <w:rsid w:val="004C4943"/>
    <w:rsid w:val="004C4CE2"/>
    <w:rsid w:val="004C50B5"/>
    <w:rsid w:val="004C54E5"/>
    <w:rsid w:val="004C567B"/>
    <w:rsid w:val="004C5822"/>
    <w:rsid w:val="004C5943"/>
    <w:rsid w:val="004C5FCF"/>
    <w:rsid w:val="004C61AB"/>
    <w:rsid w:val="004C65A5"/>
    <w:rsid w:val="004C7A35"/>
    <w:rsid w:val="004C7EDE"/>
    <w:rsid w:val="004C7F72"/>
    <w:rsid w:val="004D0635"/>
    <w:rsid w:val="004D0886"/>
    <w:rsid w:val="004D186B"/>
    <w:rsid w:val="004D1893"/>
    <w:rsid w:val="004D1E08"/>
    <w:rsid w:val="004D2290"/>
    <w:rsid w:val="004D2FCA"/>
    <w:rsid w:val="004D3340"/>
    <w:rsid w:val="004D421F"/>
    <w:rsid w:val="004D48E9"/>
    <w:rsid w:val="004D4C57"/>
    <w:rsid w:val="004D4F47"/>
    <w:rsid w:val="004D53C1"/>
    <w:rsid w:val="004D59A2"/>
    <w:rsid w:val="004D5F52"/>
    <w:rsid w:val="004D6101"/>
    <w:rsid w:val="004D6356"/>
    <w:rsid w:val="004E0429"/>
    <w:rsid w:val="004E0C32"/>
    <w:rsid w:val="004E0D13"/>
    <w:rsid w:val="004E0E99"/>
    <w:rsid w:val="004E0F6E"/>
    <w:rsid w:val="004E1885"/>
    <w:rsid w:val="004E1AA8"/>
    <w:rsid w:val="004E1CE8"/>
    <w:rsid w:val="004E1E28"/>
    <w:rsid w:val="004E277D"/>
    <w:rsid w:val="004E2DD3"/>
    <w:rsid w:val="004E349B"/>
    <w:rsid w:val="004E364B"/>
    <w:rsid w:val="004E3EB7"/>
    <w:rsid w:val="004E454E"/>
    <w:rsid w:val="004E48E1"/>
    <w:rsid w:val="004E4F24"/>
    <w:rsid w:val="004E5427"/>
    <w:rsid w:val="004E59D9"/>
    <w:rsid w:val="004E5AF4"/>
    <w:rsid w:val="004E662F"/>
    <w:rsid w:val="004E6988"/>
    <w:rsid w:val="004F04A9"/>
    <w:rsid w:val="004F0CBA"/>
    <w:rsid w:val="004F140C"/>
    <w:rsid w:val="004F16CF"/>
    <w:rsid w:val="004F17F3"/>
    <w:rsid w:val="004F1AA2"/>
    <w:rsid w:val="004F2BB0"/>
    <w:rsid w:val="004F2C92"/>
    <w:rsid w:val="004F2DFF"/>
    <w:rsid w:val="004F46F9"/>
    <w:rsid w:val="004F4B06"/>
    <w:rsid w:val="004F4CA0"/>
    <w:rsid w:val="004F58A3"/>
    <w:rsid w:val="004F59CA"/>
    <w:rsid w:val="004F5A2C"/>
    <w:rsid w:val="004F5F7E"/>
    <w:rsid w:val="004F6087"/>
    <w:rsid w:val="004F6C83"/>
    <w:rsid w:val="004F7157"/>
    <w:rsid w:val="004F73E1"/>
    <w:rsid w:val="004F7513"/>
    <w:rsid w:val="004F78E1"/>
    <w:rsid w:val="004F7C01"/>
    <w:rsid w:val="0050018D"/>
    <w:rsid w:val="005005A3"/>
    <w:rsid w:val="005009D9"/>
    <w:rsid w:val="00500C36"/>
    <w:rsid w:val="0050102D"/>
    <w:rsid w:val="005014B5"/>
    <w:rsid w:val="005016EA"/>
    <w:rsid w:val="00502A0F"/>
    <w:rsid w:val="005037CC"/>
    <w:rsid w:val="00504115"/>
    <w:rsid w:val="005048C8"/>
    <w:rsid w:val="0050494E"/>
    <w:rsid w:val="00504CDC"/>
    <w:rsid w:val="00505FD0"/>
    <w:rsid w:val="00506C41"/>
    <w:rsid w:val="00506DC5"/>
    <w:rsid w:val="005071D0"/>
    <w:rsid w:val="005074E1"/>
    <w:rsid w:val="00507FE3"/>
    <w:rsid w:val="005103AA"/>
    <w:rsid w:val="00510D9E"/>
    <w:rsid w:val="00512175"/>
    <w:rsid w:val="00512405"/>
    <w:rsid w:val="005127EE"/>
    <w:rsid w:val="00512864"/>
    <w:rsid w:val="00512FDD"/>
    <w:rsid w:val="005140C7"/>
    <w:rsid w:val="00514158"/>
    <w:rsid w:val="00514CCF"/>
    <w:rsid w:val="00514D07"/>
    <w:rsid w:val="00515425"/>
    <w:rsid w:val="00515AFC"/>
    <w:rsid w:val="00515CE6"/>
    <w:rsid w:val="005162E1"/>
    <w:rsid w:val="00516588"/>
    <w:rsid w:val="00516F9A"/>
    <w:rsid w:val="00517023"/>
    <w:rsid w:val="0051744C"/>
    <w:rsid w:val="00520035"/>
    <w:rsid w:val="0052030A"/>
    <w:rsid w:val="00521E08"/>
    <w:rsid w:val="005225EC"/>
    <w:rsid w:val="005226DF"/>
    <w:rsid w:val="00523C04"/>
    <w:rsid w:val="005246DB"/>
    <w:rsid w:val="00524EBA"/>
    <w:rsid w:val="00525A1A"/>
    <w:rsid w:val="00525C04"/>
    <w:rsid w:val="00525F83"/>
    <w:rsid w:val="00526EDB"/>
    <w:rsid w:val="00530184"/>
    <w:rsid w:val="005306ED"/>
    <w:rsid w:val="005312F5"/>
    <w:rsid w:val="00531393"/>
    <w:rsid w:val="00531D1E"/>
    <w:rsid w:val="00532D4D"/>
    <w:rsid w:val="0053382C"/>
    <w:rsid w:val="0053467C"/>
    <w:rsid w:val="00534B29"/>
    <w:rsid w:val="00535552"/>
    <w:rsid w:val="005355C4"/>
    <w:rsid w:val="00535788"/>
    <w:rsid w:val="00541184"/>
    <w:rsid w:val="005413CE"/>
    <w:rsid w:val="00541533"/>
    <w:rsid w:val="00541692"/>
    <w:rsid w:val="00542AC6"/>
    <w:rsid w:val="0054316F"/>
    <w:rsid w:val="0054371A"/>
    <w:rsid w:val="00543C47"/>
    <w:rsid w:val="00544DAB"/>
    <w:rsid w:val="00546513"/>
    <w:rsid w:val="005467F5"/>
    <w:rsid w:val="00546925"/>
    <w:rsid w:val="00547246"/>
    <w:rsid w:val="00547B7B"/>
    <w:rsid w:val="00550716"/>
    <w:rsid w:val="00550954"/>
    <w:rsid w:val="00551BB1"/>
    <w:rsid w:val="005527D5"/>
    <w:rsid w:val="00552C19"/>
    <w:rsid w:val="00552F11"/>
    <w:rsid w:val="0055348A"/>
    <w:rsid w:val="005537B0"/>
    <w:rsid w:val="005539B1"/>
    <w:rsid w:val="00554303"/>
    <w:rsid w:val="00554381"/>
    <w:rsid w:val="00554725"/>
    <w:rsid w:val="00554A86"/>
    <w:rsid w:val="005550D6"/>
    <w:rsid w:val="0055528E"/>
    <w:rsid w:val="00556444"/>
    <w:rsid w:val="005567AA"/>
    <w:rsid w:val="00557A66"/>
    <w:rsid w:val="00557B40"/>
    <w:rsid w:val="00557D5C"/>
    <w:rsid w:val="005608A8"/>
    <w:rsid w:val="005615B0"/>
    <w:rsid w:val="005617B3"/>
    <w:rsid w:val="00561845"/>
    <w:rsid w:val="00561BCA"/>
    <w:rsid w:val="0056289C"/>
    <w:rsid w:val="00562B40"/>
    <w:rsid w:val="00562D23"/>
    <w:rsid w:val="00562F01"/>
    <w:rsid w:val="00562F71"/>
    <w:rsid w:val="00563039"/>
    <w:rsid w:val="0056343B"/>
    <w:rsid w:val="00563DF7"/>
    <w:rsid w:val="00563F2F"/>
    <w:rsid w:val="00564C8D"/>
    <w:rsid w:val="00564F0E"/>
    <w:rsid w:val="005650C6"/>
    <w:rsid w:val="0056643E"/>
    <w:rsid w:val="00566648"/>
    <w:rsid w:val="005673CC"/>
    <w:rsid w:val="00567F32"/>
    <w:rsid w:val="0057002B"/>
    <w:rsid w:val="0057016C"/>
    <w:rsid w:val="005704E9"/>
    <w:rsid w:val="00570908"/>
    <w:rsid w:val="00570F31"/>
    <w:rsid w:val="00571A33"/>
    <w:rsid w:val="00571E4A"/>
    <w:rsid w:val="00571E50"/>
    <w:rsid w:val="00572182"/>
    <w:rsid w:val="00572B11"/>
    <w:rsid w:val="00572E5F"/>
    <w:rsid w:val="00573B22"/>
    <w:rsid w:val="00574002"/>
    <w:rsid w:val="00574285"/>
    <w:rsid w:val="00574466"/>
    <w:rsid w:val="005749C5"/>
    <w:rsid w:val="00574C44"/>
    <w:rsid w:val="00576501"/>
    <w:rsid w:val="00577014"/>
    <w:rsid w:val="0057730C"/>
    <w:rsid w:val="005779A5"/>
    <w:rsid w:val="00577F38"/>
    <w:rsid w:val="005803B7"/>
    <w:rsid w:val="005808F3"/>
    <w:rsid w:val="00580AE9"/>
    <w:rsid w:val="00580F66"/>
    <w:rsid w:val="0058115F"/>
    <w:rsid w:val="0058162D"/>
    <w:rsid w:val="00581A59"/>
    <w:rsid w:val="00582B39"/>
    <w:rsid w:val="00583694"/>
    <w:rsid w:val="005836FB"/>
    <w:rsid w:val="00583D32"/>
    <w:rsid w:val="005845DB"/>
    <w:rsid w:val="005854AA"/>
    <w:rsid w:val="00585D49"/>
    <w:rsid w:val="00585F13"/>
    <w:rsid w:val="005862D5"/>
    <w:rsid w:val="005863A6"/>
    <w:rsid w:val="00586D58"/>
    <w:rsid w:val="005877D3"/>
    <w:rsid w:val="00587EFF"/>
    <w:rsid w:val="005902A0"/>
    <w:rsid w:val="00590617"/>
    <w:rsid w:val="00590CCC"/>
    <w:rsid w:val="00592630"/>
    <w:rsid w:val="00592A61"/>
    <w:rsid w:val="00592F35"/>
    <w:rsid w:val="005930E1"/>
    <w:rsid w:val="00593967"/>
    <w:rsid w:val="00593ACC"/>
    <w:rsid w:val="00594AA1"/>
    <w:rsid w:val="00594C02"/>
    <w:rsid w:val="00596A35"/>
    <w:rsid w:val="00596BA3"/>
    <w:rsid w:val="00596BE3"/>
    <w:rsid w:val="005976E1"/>
    <w:rsid w:val="005977C2"/>
    <w:rsid w:val="005979F3"/>
    <w:rsid w:val="00597BC8"/>
    <w:rsid w:val="005A06C4"/>
    <w:rsid w:val="005A0B23"/>
    <w:rsid w:val="005A1A9C"/>
    <w:rsid w:val="005A1AED"/>
    <w:rsid w:val="005A2652"/>
    <w:rsid w:val="005A311B"/>
    <w:rsid w:val="005A3D60"/>
    <w:rsid w:val="005A40EF"/>
    <w:rsid w:val="005A45DA"/>
    <w:rsid w:val="005A5003"/>
    <w:rsid w:val="005A556F"/>
    <w:rsid w:val="005A55FC"/>
    <w:rsid w:val="005A5CC9"/>
    <w:rsid w:val="005A6D66"/>
    <w:rsid w:val="005B01B4"/>
    <w:rsid w:val="005B0437"/>
    <w:rsid w:val="005B0448"/>
    <w:rsid w:val="005B06B0"/>
    <w:rsid w:val="005B06BC"/>
    <w:rsid w:val="005B0C33"/>
    <w:rsid w:val="005B0EC8"/>
    <w:rsid w:val="005B151D"/>
    <w:rsid w:val="005B2246"/>
    <w:rsid w:val="005B264B"/>
    <w:rsid w:val="005B2BF2"/>
    <w:rsid w:val="005B344E"/>
    <w:rsid w:val="005B360A"/>
    <w:rsid w:val="005B387A"/>
    <w:rsid w:val="005B4453"/>
    <w:rsid w:val="005B6061"/>
    <w:rsid w:val="005B71C4"/>
    <w:rsid w:val="005B7AA9"/>
    <w:rsid w:val="005C099E"/>
    <w:rsid w:val="005C1892"/>
    <w:rsid w:val="005C1F0B"/>
    <w:rsid w:val="005C3088"/>
    <w:rsid w:val="005C30A2"/>
    <w:rsid w:val="005C31C5"/>
    <w:rsid w:val="005C3A3A"/>
    <w:rsid w:val="005C3EE9"/>
    <w:rsid w:val="005C4924"/>
    <w:rsid w:val="005C4AC3"/>
    <w:rsid w:val="005C5458"/>
    <w:rsid w:val="005C5C40"/>
    <w:rsid w:val="005C5F56"/>
    <w:rsid w:val="005C6576"/>
    <w:rsid w:val="005C6C06"/>
    <w:rsid w:val="005C7347"/>
    <w:rsid w:val="005C7482"/>
    <w:rsid w:val="005C7993"/>
    <w:rsid w:val="005C7CEB"/>
    <w:rsid w:val="005D0563"/>
    <w:rsid w:val="005D14EB"/>
    <w:rsid w:val="005D1509"/>
    <w:rsid w:val="005D166E"/>
    <w:rsid w:val="005D19C2"/>
    <w:rsid w:val="005D1FFF"/>
    <w:rsid w:val="005D2494"/>
    <w:rsid w:val="005D24CB"/>
    <w:rsid w:val="005D2B9F"/>
    <w:rsid w:val="005D2F8C"/>
    <w:rsid w:val="005D3532"/>
    <w:rsid w:val="005D398F"/>
    <w:rsid w:val="005D3F26"/>
    <w:rsid w:val="005D4612"/>
    <w:rsid w:val="005D4E37"/>
    <w:rsid w:val="005D4F22"/>
    <w:rsid w:val="005D5190"/>
    <w:rsid w:val="005D5FAC"/>
    <w:rsid w:val="005D66C4"/>
    <w:rsid w:val="005D675D"/>
    <w:rsid w:val="005D6862"/>
    <w:rsid w:val="005D69D3"/>
    <w:rsid w:val="005D6BFC"/>
    <w:rsid w:val="005D6C2A"/>
    <w:rsid w:val="005D6DFF"/>
    <w:rsid w:val="005D6F4A"/>
    <w:rsid w:val="005D70CD"/>
    <w:rsid w:val="005D7B84"/>
    <w:rsid w:val="005D7EC8"/>
    <w:rsid w:val="005E0484"/>
    <w:rsid w:val="005E0AE3"/>
    <w:rsid w:val="005E0C54"/>
    <w:rsid w:val="005E0E71"/>
    <w:rsid w:val="005E128C"/>
    <w:rsid w:val="005E12FA"/>
    <w:rsid w:val="005E169D"/>
    <w:rsid w:val="005E16E7"/>
    <w:rsid w:val="005E1F08"/>
    <w:rsid w:val="005E2521"/>
    <w:rsid w:val="005E2B6F"/>
    <w:rsid w:val="005E2CED"/>
    <w:rsid w:val="005E302B"/>
    <w:rsid w:val="005E3F0D"/>
    <w:rsid w:val="005E4DCB"/>
    <w:rsid w:val="005E4F19"/>
    <w:rsid w:val="005E4F3A"/>
    <w:rsid w:val="005E5260"/>
    <w:rsid w:val="005E59F2"/>
    <w:rsid w:val="005E6481"/>
    <w:rsid w:val="005E6532"/>
    <w:rsid w:val="005E6F6E"/>
    <w:rsid w:val="005E744F"/>
    <w:rsid w:val="005E7D4C"/>
    <w:rsid w:val="005F06AB"/>
    <w:rsid w:val="005F0DF7"/>
    <w:rsid w:val="005F121F"/>
    <w:rsid w:val="005F16AD"/>
    <w:rsid w:val="005F2690"/>
    <w:rsid w:val="005F314E"/>
    <w:rsid w:val="005F3426"/>
    <w:rsid w:val="005F386A"/>
    <w:rsid w:val="005F3B53"/>
    <w:rsid w:val="005F4087"/>
    <w:rsid w:val="005F5783"/>
    <w:rsid w:val="005F5AE1"/>
    <w:rsid w:val="005F5AFF"/>
    <w:rsid w:val="005F62B1"/>
    <w:rsid w:val="005F635D"/>
    <w:rsid w:val="005F6654"/>
    <w:rsid w:val="005F7339"/>
    <w:rsid w:val="005F7A55"/>
    <w:rsid w:val="006001C7"/>
    <w:rsid w:val="006001CF"/>
    <w:rsid w:val="006007DA"/>
    <w:rsid w:val="006016D8"/>
    <w:rsid w:val="006020D0"/>
    <w:rsid w:val="0060242B"/>
    <w:rsid w:val="006028AC"/>
    <w:rsid w:val="0060301D"/>
    <w:rsid w:val="00603399"/>
    <w:rsid w:val="006034C9"/>
    <w:rsid w:val="006034D1"/>
    <w:rsid w:val="0060351F"/>
    <w:rsid w:val="0060352B"/>
    <w:rsid w:val="00603959"/>
    <w:rsid w:val="00604041"/>
    <w:rsid w:val="00604FFF"/>
    <w:rsid w:val="00605094"/>
    <w:rsid w:val="006059D8"/>
    <w:rsid w:val="00605D1F"/>
    <w:rsid w:val="0060621A"/>
    <w:rsid w:val="006068AE"/>
    <w:rsid w:val="00606A80"/>
    <w:rsid w:val="00606D8A"/>
    <w:rsid w:val="006106BD"/>
    <w:rsid w:val="00610BE5"/>
    <w:rsid w:val="00610DAC"/>
    <w:rsid w:val="00611E2D"/>
    <w:rsid w:val="006124AE"/>
    <w:rsid w:val="0061300D"/>
    <w:rsid w:val="00613155"/>
    <w:rsid w:val="006138E4"/>
    <w:rsid w:val="00613A56"/>
    <w:rsid w:val="00613AB2"/>
    <w:rsid w:val="00613BCC"/>
    <w:rsid w:val="00613BF0"/>
    <w:rsid w:val="00613C36"/>
    <w:rsid w:val="006146A0"/>
    <w:rsid w:val="00614D58"/>
    <w:rsid w:val="006150AE"/>
    <w:rsid w:val="0061552F"/>
    <w:rsid w:val="0061566F"/>
    <w:rsid w:val="00615993"/>
    <w:rsid w:val="00615F93"/>
    <w:rsid w:val="00617323"/>
    <w:rsid w:val="00617390"/>
    <w:rsid w:val="006215BD"/>
    <w:rsid w:val="00621638"/>
    <w:rsid w:val="00621AFB"/>
    <w:rsid w:val="00621E7B"/>
    <w:rsid w:val="0062229D"/>
    <w:rsid w:val="00622349"/>
    <w:rsid w:val="00622376"/>
    <w:rsid w:val="0062318C"/>
    <w:rsid w:val="0062468F"/>
    <w:rsid w:val="00625209"/>
    <w:rsid w:val="00625C86"/>
    <w:rsid w:val="00625F56"/>
    <w:rsid w:val="0062617E"/>
    <w:rsid w:val="00627032"/>
    <w:rsid w:val="006270D1"/>
    <w:rsid w:val="006271E1"/>
    <w:rsid w:val="00627353"/>
    <w:rsid w:val="0062765D"/>
    <w:rsid w:val="006278A5"/>
    <w:rsid w:val="00627A21"/>
    <w:rsid w:val="0063010A"/>
    <w:rsid w:val="0063046B"/>
    <w:rsid w:val="006305A1"/>
    <w:rsid w:val="00631066"/>
    <w:rsid w:val="00631291"/>
    <w:rsid w:val="006319A7"/>
    <w:rsid w:val="006323D8"/>
    <w:rsid w:val="00632FD8"/>
    <w:rsid w:val="006333F5"/>
    <w:rsid w:val="006335B0"/>
    <w:rsid w:val="0063449B"/>
    <w:rsid w:val="0063449F"/>
    <w:rsid w:val="00634AF9"/>
    <w:rsid w:val="00634D65"/>
    <w:rsid w:val="0063518A"/>
    <w:rsid w:val="0063524D"/>
    <w:rsid w:val="0063581A"/>
    <w:rsid w:val="00635D69"/>
    <w:rsid w:val="00636011"/>
    <w:rsid w:val="00636765"/>
    <w:rsid w:val="00637A17"/>
    <w:rsid w:val="00637D10"/>
    <w:rsid w:val="00637E41"/>
    <w:rsid w:val="00640194"/>
    <w:rsid w:val="006407F5"/>
    <w:rsid w:val="00641244"/>
    <w:rsid w:val="00641709"/>
    <w:rsid w:val="00641947"/>
    <w:rsid w:val="00641B9A"/>
    <w:rsid w:val="006422D7"/>
    <w:rsid w:val="00642BC6"/>
    <w:rsid w:val="00642C88"/>
    <w:rsid w:val="006431A9"/>
    <w:rsid w:val="0064320B"/>
    <w:rsid w:val="00643238"/>
    <w:rsid w:val="00644325"/>
    <w:rsid w:val="006443C4"/>
    <w:rsid w:val="006446DF"/>
    <w:rsid w:val="00644CF9"/>
    <w:rsid w:val="00645BBE"/>
    <w:rsid w:val="00646838"/>
    <w:rsid w:val="00647712"/>
    <w:rsid w:val="00647820"/>
    <w:rsid w:val="00647C14"/>
    <w:rsid w:val="00650702"/>
    <w:rsid w:val="006507E5"/>
    <w:rsid w:val="006514FD"/>
    <w:rsid w:val="0065178C"/>
    <w:rsid w:val="00651D90"/>
    <w:rsid w:val="00651E95"/>
    <w:rsid w:val="00652009"/>
    <w:rsid w:val="00652522"/>
    <w:rsid w:val="0065267F"/>
    <w:rsid w:val="00652C0F"/>
    <w:rsid w:val="00653AAB"/>
    <w:rsid w:val="00653BEB"/>
    <w:rsid w:val="00653C98"/>
    <w:rsid w:val="006540CF"/>
    <w:rsid w:val="0065474E"/>
    <w:rsid w:val="00654A6C"/>
    <w:rsid w:val="00654B79"/>
    <w:rsid w:val="00654C74"/>
    <w:rsid w:val="00654E86"/>
    <w:rsid w:val="00655748"/>
    <w:rsid w:val="00656201"/>
    <w:rsid w:val="006567A3"/>
    <w:rsid w:val="00657073"/>
    <w:rsid w:val="006570C5"/>
    <w:rsid w:val="00657150"/>
    <w:rsid w:val="00657223"/>
    <w:rsid w:val="00657EFA"/>
    <w:rsid w:val="00657F9F"/>
    <w:rsid w:val="00660E79"/>
    <w:rsid w:val="006618F6"/>
    <w:rsid w:val="00662238"/>
    <w:rsid w:val="0066311D"/>
    <w:rsid w:val="0066372D"/>
    <w:rsid w:val="00664244"/>
    <w:rsid w:val="0066429A"/>
    <w:rsid w:val="0066457B"/>
    <w:rsid w:val="00664B2C"/>
    <w:rsid w:val="00664BF6"/>
    <w:rsid w:val="00664E05"/>
    <w:rsid w:val="00664E32"/>
    <w:rsid w:val="006650A1"/>
    <w:rsid w:val="00665228"/>
    <w:rsid w:val="0066540F"/>
    <w:rsid w:val="00665A4B"/>
    <w:rsid w:val="00665B24"/>
    <w:rsid w:val="0066606F"/>
    <w:rsid w:val="006663BE"/>
    <w:rsid w:val="006667B7"/>
    <w:rsid w:val="00666A5A"/>
    <w:rsid w:val="00666DBE"/>
    <w:rsid w:val="00667961"/>
    <w:rsid w:val="00667D12"/>
    <w:rsid w:val="00667FDC"/>
    <w:rsid w:val="00670202"/>
    <w:rsid w:val="006707B9"/>
    <w:rsid w:val="0067088C"/>
    <w:rsid w:val="00670CF2"/>
    <w:rsid w:val="00671297"/>
    <w:rsid w:val="00671D86"/>
    <w:rsid w:val="00671FCE"/>
    <w:rsid w:val="00672FF2"/>
    <w:rsid w:val="006731A5"/>
    <w:rsid w:val="00673BB3"/>
    <w:rsid w:val="00673D9F"/>
    <w:rsid w:val="00673FA1"/>
    <w:rsid w:val="00673FE7"/>
    <w:rsid w:val="00674906"/>
    <w:rsid w:val="00675AFE"/>
    <w:rsid w:val="006760CA"/>
    <w:rsid w:val="006760E4"/>
    <w:rsid w:val="00676F39"/>
    <w:rsid w:val="006777F2"/>
    <w:rsid w:val="00677D2F"/>
    <w:rsid w:val="006801AE"/>
    <w:rsid w:val="006801D9"/>
    <w:rsid w:val="006810A3"/>
    <w:rsid w:val="006814AD"/>
    <w:rsid w:val="00681754"/>
    <w:rsid w:val="00681775"/>
    <w:rsid w:val="00681A65"/>
    <w:rsid w:val="00682E73"/>
    <w:rsid w:val="00684FBC"/>
    <w:rsid w:val="006869B4"/>
    <w:rsid w:val="0068703D"/>
    <w:rsid w:val="0068753C"/>
    <w:rsid w:val="0068759C"/>
    <w:rsid w:val="0068795B"/>
    <w:rsid w:val="006902EA"/>
    <w:rsid w:val="00690371"/>
    <w:rsid w:val="00690407"/>
    <w:rsid w:val="00690823"/>
    <w:rsid w:val="006908B8"/>
    <w:rsid w:val="006908D0"/>
    <w:rsid w:val="006908DA"/>
    <w:rsid w:val="00690A89"/>
    <w:rsid w:val="00690E45"/>
    <w:rsid w:val="0069222E"/>
    <w:rsid w:val="006930AC"/>
    <w:rsid w:val="006937C2"/>
    <w:rsid w:val="006939BE"/>
    <w:rsid w:val="006950FB"/>
    <w:rsid w:val="00695B0B"/>
    <w:rsid w:val="00696BE1"/>
    <w:rsid w:val="006974EB"/>
    <w:rsid w:val="0069789D"/>
    <w:rsid w:val="00697AFB"/>
    <w:rsid w:val="006A01E8"/>
    <w:rsid w:val="006A0228"/>
    <w:rsid w:val="006A0254"/>
    <w:rsid w:val="006A096A"/>
    <w:rsid w:val="006A0B0A"/>
    <w:rsid w:val="006A1540"/>
    <w:rsid w:val="006A1971"/>
    <w:rsid w:val="006A25C4"/>
    <w:rsid w:val="006A3061"/>
    <w:rsid w:val="006A312D"/>
    <w:rsid w:val="006A3572"/>
    <w:rsid w:val="006A359D"/>
    <w:rsid w:val="006A39A1"/>
    <w:rsid w:val="006A487E"/>
    <w:rsid w:val="006A4902"/>
    <w:rsid w:val="006A4EDA"/>
    <w:rsid w:val="006A4EDC"/>
    <w:rsid w:val="006A5077"/>
    <w:rsid w:val="006A50F2"/>
    <w:rsid w:val="006A56BD"/>
    <w:rsid w:val="006A5ED7"/>
    <w:rsid w:val="006A73D6"/>
    <w:rsid w:val="006A7BA8"/>
    <w:rsid w:val="006A7D37"/>
    <w:rsid w:val="006B0A00"/>
    <w:rsid w:val="006B12E1"/>
    <w:rsid w:val="006B16BE"/>
    <w:rsid w:val="006B195B"/>
    <w:rsid w:val="006B29E5"/>
    <w:rsid w:val="006B3392"/>
    <w:rsid w:val="006B3537"/>
    <w:rsid w:val="006B3685"/>
    <w:rsid w:val="006B3CF7"/>
    <w:rsid w:val="006B3DCE"/>
    <w:rsid w:val="006B4B5C"/>
    <w:rsid w:val="006B4FB9"/>
    <w:rsid w:val="006B568B"/>
    <w:rsid w:val="006B568E"/>
    <w:rsid w:val="006B5807"/>
    <w:rsid w:val="006B5C27"/>
    <w:rsid w:val="006B5DF2"/>
    <w:rsid w:val="006B6352"/>
    <w:rsid w:val="006B6434"/>
    <w:rsid w:val="006B6CD6"/>
    <w:rsid w:val="006B70AF"/>
    <w:rsid w:val="006B7CB3"/>
    <w:rsid w:val="006B7CE7"/>
    <w:rsid w:val="006B7EE8"/>
    <w:rsid w:val="006C0349"/>
    <w:rsid w:val="006C0585"/>
    <w:rsid w:val="006C08F7"/>
    <w:rsid w:val="006C0CE0"/>
    <w:rsid w:val="006C1373"/>
    <w:rsid w:val="006C17FD"/>
    <w:rsid w:val="006C1BEE"/>
    <w:rsid w:val="006C2B3E"/>
    <w:rsid w:val="006C336D"/>
    <w:rsid w:val="006C3599"/>
    <w:rsid w:val="006C3B75"/>
    <w:rsid w:val="006C4E35"/>
    <w:rsid w:val="006C6084"/>
    <w:rsid w:val="006C6CBD"/>
    <w:rsid w:val="006C7007"/>
    <w:rsid w:val="006C7875"/>
    <w:rsid w:val="006C78CF"/>
    <w:rsid w:val="006D0350"/>
    <w:rsid w:val="006D091B"/>
    <w:rsid w:val="006D0A55"/>
    <w:rsid w:val="006D1120"/>
    <w:rsid w:val="006D1EF4"/>
    <w:rsid w:val="006D20F8"/>
    <w:rsid w:val="006D2CFC"/>
    <w:rsid w:val="006D32A3"/>
    <w:rsid w:val="006D3643"/>
    <w:rsid w:val="006D4BA0"/>
    <w:rsid w:val="006D4C28"/>
    <w:rsid w:val="006D4FB7"/>
    <w:rsid w:val="006D53AF"/>
    <w:rsid w:val="006D54EA"/>
    <w:rsid w:val="006D5F54"/>
    <w:rsid w:val="006D64F8"/>
    <w:rsid w:val="006D68E6"/>
    <w:rsid w:val="006D770B"/>
    <w:rsid w:val="006D78FA"/>
    <w:rsid w:val="006D7A01"/>
    <w:rsid w:val="006D7B1E"/>
    <w:rsid w:val="006D7CE3"/>
    <w:rsid w:val="006E05D6"/>
    <w:rsid w:val="006E062D"/>
    <w:rsid w:val="006E07F7"/>
    <w:rsid w:val="006E0B70"/>
    <w:rsid w:val="006E0C6C"/>
    <w:rsid w:val="006E1001"/>
    <w:rsid w:val="006E2214"/>
    <w:rsid w:val="006E2288"/>
    <w:rsid w:val="006E3403"/>
    <w:rsid w:val="006E39E3"/>
    <w:rsid w:val="006E4538"/>
    <w:rsid w:val="006E45D6"/>
    <w:rsid w:val="006E4A96"/>
    <w:rsid w:val="006E4BD0"/>
    <w:rsid w:val="006E4D57"/>
    <w:rsid w:val="006E4E5D"/>
    <w:rsid w:val="006E4FC2"/>
    <w:rsid w:val="006E534F"/>
    <w:rsid w:val="006E56AB"/>
    <w:rsid w:val="006E5BF8"/>
    <w:rsid w:val="006E76EB"/>
    <w:rsid w:val="006E77B1"/>
    <w:rsid w:val="006E78A4"/>
    <w:rsid w:val="006E7D8B"/>
    <w:rsid w:val="006F0149"/>
    <w:rsid w:val="006F06F1"/>
    <w:rsid w:val="006F0DD8"/>
    <w:rsid w:val="006F1167"/>
    <w:rsid w:val="006F1616"/>
    <w:rsid w:val="006F1644"/>
    <w:rsid w:val="006F1B51"/>
    <w:rsid w:val="006F1D37"/>
    <w:rsid w:val="006F1EA0"/>
    <w:rsid w:val="006F2839"/>
    <w:rsid w:val="006F294B"/>
    <w:rsid w:val="006F2A19"/>
    <w:rsid w:val="006F2B87"/>
    <w:rsid w:val="006F2BCD"/>
    <w:rsid w:val="006F313B"/>
    <w:rsid w:val="006F32E9"/>
    <w:rsid w:val="006F3AC0"/>
    <w:rsid w:val="006F3E94"/>
    <w:rsid w:val="006F4708"/>
    <w:rsid w:val="006F4AD3"/>
    <w:rsid w:val="006F4DC0"/>
    <w:rsid w:val="006F561B"/>
    <w:rsid w:val="006F5BC0"/>
    <w:rsid w:val="006F5E05"/>
    <w:rsid w:val="006F5EEC"/>
    <w:rsid w:val="006F63F6"/>
    <w:rsid w:val="006F6465"/>
    <w:rsid w:val="006F656B"/>
    <w:rsid w:val="006F6630"/>
    <w:rsid w:val="00700C7B"/>
    <w:rsid w:val="0070112F"/>
    <w:rsid w:val="00701E04"/>
    <w:rsid w:val="007020DC"/>
    <w:rsid w:val="00702464"/>
    <w:rsid w:val="0070250D"/>
    <w:rsid w:val="00702CB7"/>
    <w:rsid w:val="00702CE6"/>
    <w:rsid w:val="00702DCE"/>
    <w:rsid w:val="007039FB"/>
    <w:rsid w:val="00704694"/>
    <w:rsid w:val="007048D6"/>
    <w:rsid w:val="00704C69"/>
    <w:rsid w:val="00704D98"/>
    <w:rsid w:val="00704EAB"/>
    <w:rsid w:val="00705900"/>
    <w:rsid w:val="0070643C"/>
    <w:rsid w:val="00707E08"/>
    <w:rsid w:val="007100FD"/>
    <w:rsid w:val="00710326"/>
    <w:rsid w:val="00710516"/>
    <w:rsid w:val="007126CF"/>
    <w:rsid w:val="007128D6"/>
    <w:rsid w:val="00712F5F"/>
    <w:rsid w:val="007133F4"/>
    <w:rsid w:val="0071373D"/>
    <w:rsid w:val="00714665"/>
    <w:rsid w:val="00714FC4"/>
    <w:rsid w:val="00715DDD"/>
    <w:rsid w:val="00715DF7"/>
    <w:rsid w:val="00715F23"/>
    <w:rsid w:val="0071600C"/>
    <w:rsid w:val="0071626D"/>
    <w:rsid w:val="00720006"/>
    <w:rsid w:val="00720534"/>
    <w:rsid w:val="00720616"/>
    <w:rsid w:val="0072167D"/>
    <w:rsid w:val="00721800"/>
    <w:rsid w:val="00721C8E"/>
    <w:rsid w:val="00721E48"/>
    <w:rsid w:val="007224F8"/>
    <w:rsid w:val="007227F2"/>
    <w:rsid w:val="00723428"/>
    <w:rsid w:val="00723BCE"/>
    <w:rsid w:val="00724092"/>
    <w:rsid w:val="00724A2E"/>
    <w:rsid w:val="0072522D"/>
    <w:rsid w:val="007253E9"/>
    <w:rsid w:val="00725586"/>
    <w:rsid w:val="00725863"/>
    <w:rsid w:val="00725B37"/>
    <w:rsid w:val="00725E68"/>
    <w:rsid w:val="00725FD7"/>
    <w:rsid w:val="0072648C"/>
    <w:rsid w:val="00727004"/>
    <w:rsid w:val="007276B2"/>
    <w:rsid w:val="00727826"/>
    <w:rsid w:val="00727862"/>
    <w:rsid w:val="007279F4"/>
    <w:rsid w:val="00727FBE"/>
    <w:rsid w:val="007304E8"/>
    <w:rsid w:val="00731526"/>
    <w:rsid w:val="00732502"/>
    <w:rsid w:val="00732EFC"/>
    <w:rsid w:val="0073350D"/>
    <w:rsid w:val="00733786"/>
    <w:rsid w:val="007337AE"/>
    <w:rsid w:val="00733890"/>
    <w:rsid w:val="00733A44"/>
    <w:rsid w:val="00733E59"/>
    <w:rsid w:val="00734607"/>
    <w:rsid w:val="0073467E"/>
    <w:rsid w:val="0073481A"/>
    <w:rsid w:val="00734A8A"/>
    <w:rsid w:val="00734DB8"/>
    <w:rsid w:val="0073584D"/>
    <w:rsid w:val="00736627"/>
    <w:rsid w:val="00736A27"/>
    <w:rsid w:val="00736D95"/>
    <w:rsid w:val="007372EA"/>
    <w:rsid w:val="00741195"/>
    <w:rsid w:val="007411EF"/>
    <w:rsid w:val="00741365"/>
    <w:rsid w:val="007419F8"/>
    <w:rsid w:val="00742A15"/>
    <w:rsid w:val="007437F1"/>
    <w:rsid w:val="00743D22"/>
    <w:rsid w:val="007448E7"/>
    <w:rsid w:val="0074525F"/>
    <w:rsid w:val="00747086"/>
    <w:rsid w:val="00747265"/>
    <w:rsid w:val="0074793C"/>
    <w:rsid w:val="00747A77"/>
    <w:rsid w:val="007505D2"/>
    <w:rsid w:val="00750A85"/>
    <w:rsid w:val="00750CC5"/>
    <w:rsid w:val="007516F2"/>
    <w:rsid w:val="007523ED"/>
    <w:rsid w:val="007526FC"/>
    <w:rsid w:val="0075285F"/>
    <w:rsid w:val="00753AFE"/>
    <w:rsid w:val="00754699"/>
    <w:rsid w:val="00754A3D"/>
    <w:rsid w:val="00755248"/>
    <w:rsid w:val="00755B15"/>
    <w:rsid w:val="00755FA0"/>
    <w:rsid w:val="00755FDE"/>
    <w:rsid w:val="00756A3D"/>
    <w:rsid w:val="00756EDC"/>
    <w:rsid w:val="0075726F"/>
    <w:rsid w:val="00757936"/>
    <w:rsid w:val="00757B55"/>
    <w:rsid w:val="00760A85"/>
    <w:rsid w:val="00760A98"/>
    <w:rsid w:val="007635A2"/>
    <w:rsid w:val="007635BD"/>
    <w:rsid w:val="007637BB"/>
    <w:rsid w:val="007639CC"/>
    <w:rsid w:val="00763E59"/>
    <w:rsid w:val="007643C9"/>
    <w:rsid w:val="00764687"/>
    <w:rsid w:val="00764D3D"/>
    <w:rsid w:val="00764E87"/>
    <w:rsid w:val="0076603C"/>
    <w:rsid w:val="0076631D"/>
    <w:rsid w:val="0076637E"/>
    <w:rsid w:val="00766B7C"/>
    <w:rsid w:val="00766C00"/>
    <w:rsid w:val="00767708"/>
    <w:rsid w:val="00767DCF"/>
    <w:rsid w:val="00770359"/>
    <w:rsid w:val="00770667"/>
    <w:rsid w:val="00770E48"/>
    <w:rsid w:val="007712CD"/>
    <w:rsid w:val="007712F6"/>
    <w:rsid w:val="00771530"/>
    <w:rsid w:val="007715A1"/>
    <w:rsid w:val="0077298B"/>
    <w:rsid w:val="00772C56"/>
    <w:rsid w:val="00772FE0"/>
    <w:rsid w:val="00774CF9"/>
    <w:rsid w:val="007754CB"/>
    <w:rsid w:val="0077631E"/>
    <w:rsid w:val="00776CAC"/>
    <w:rsid w:val="00776CEA"/>
    <w:rsid w:val="00777BA9"/>
    <w:rsid w:val="00777BEB"/>
    <w:rsid w:val="007803F1"/>
    <w:rsid w:val="007804B1"/>
    <w:rsid w:val="00781336"/>
    <w:rsid w:val="007813AC"/>
    <w:rsid w:val="00781B3B"/>
    <w:rsid w:val="00781B72"/>
    <w:rsid w:val="00781D6F"/>
    <w:rsid w:val="0078222D"/>
    <w:rsid w:val="00782691"/>
    <w:rsid w:val="00783383"/>
    <w:rsid w:val="00783CFF"/>
    <w:rsid w:val="00784EFC"/>
    <w:rsid w:val="00785344"/>
    <w:rsid w:val="00785416"/>
    <w:rsid w:val="0078543F"/>
    <w:rsid w:val="00785B61"/>
    <w:rsid w:val="007862CD"/>
    <w:rsid w:val="007868AD"/>
    <w:rsid w:val="00786DF4"/>
    <w:rsid w:val="00786E80"/>
    <w:rsid w:val="00787B3B"/>
    <w:rsid w:val="007902B7"/>
    <w:rsid w:val="007904E5"/>
    <w:rsid w:val="00790719"/>
    <w:rsid w:val="00792A74"/>
    <w:rsid w:val="00793444"/>
    <w:rsid w:val="007943FF"/>
    <w:rsid w:val="007953EF"/>
    <w:rsid w:val="00795676"/>
    <w:rsid w:val="00795734"/>
    <w:rsid w:val="0079739F"/>
    <w:rsid w:val="007974A5"/>
    <w:rsid w:val="00797848"/>
    <w:rsid w:val="007A000E"/>
    <w:rsid w:val="007A0048"/>
    <w:rsid w:val="007A026D"/>
    <w:rsid w:val="007A0D24"/>
    <w:rsid w:val="007A176B"/>
    <w:rsid w:val="007A1810"/>
    <w:rsid w:val="007A18E1"/>
    <w:rsid w:val="007A24D6"/>
    <w:rsid w:val="007A3B76"/>
    <w:rsid w:val="007A425C"/>
    <w:rsid w:val="007A47E4"/>
    <w:rsid w:val="007A4AE1"/>
    <w:rsid w:val="007A4CA1"/>
    <w:rsid w:val="007A5062"/>
    <w:rsid w:val="007A544D"/>
    <w:rsid w:val="007A59CB"/>
    <w:rsid w:val="007A680D"/>
    <w:rsid w:val="007A6D68"/>
    <w:rsid w:val="007A761B"/>
    <w:rsid w:val="007A7683"/>
    <w:rsid w:val="007A76CE"/>
    <w:rsid w:val="007A7CF4"/>
    <w:rsid w:val="007B1C0E"/>
    <w:rsid w:val="007B241F"/>
    <w:rsid w:val="007B2512"/>
    <w:rsid w:val="007B273F"/>
    <w:rsid w:val="007B3AE3"/>
    <w:rsid w:val="007B3DCD"/>
    <w:rsid w:val="007B4181"/>
    <w:rsid w:val="007B43A5"/>
    <w:rsid w:val="007B469C"/>
    <w:rsid w:val="007B4A11"/>
    <w:rsid w:val="007B5040"/>
    <w:rsid w:val="007B51A1"/>
    <w:rsid w:val="007B540B"/>
    <w:rsid w:val="007B5AFF"/>
    <w:rsid w:val="007B5DD3"/>
    <w:rsid w:val="007B7094"/>
    <w:rsid w:val="007B74AB"/>
    <w:rsid w:val="007C02DC"/>
    <w:rsid w:val="007C031D"/>
    <w:rsid w:val="007C0F0C"/>
    <w:rsid w:val="007C18F1"/>
    <w:rsid w:val="007C25AD"/>
    <w:rsid w:val="007C2712"/>
    <w:rsid w:val="007C2735"/>
    <w:rsid w:val="007C2C05"/>
    <w:rsid w:val="007C32E8"/>
    <w:rsid w:val="007C3563"/>
    <w:rsid w:val="007C40B8"/>
    <w:rsid w:val="007C42EC"/>
    <w:rsid w:val="007C4406"/>
    <w:rsid w:val="007C4CCA"/>
    <w:rsid w:val="007C527F"/>
    <w:rsid w:val="007C542D"/>
    <w:rsid w:val="007C6675"/>
    <w:rsid w:val="007C6FE0"/>
    <w:rsid w:val="007C7250"/>
    <w:rsid w:val="007C78A9"/>
    <w:rsid w:val="007C7F49"/>
    <w:rsid w:val="007D015C"/>
    <w:rsid w:val="007D0819"/>
    <w:rsid w:val="007D0A3D"/>
    <w:rsid w:val="007D0F32"/>
    <w:rsid w:val="007D3788"/>
    <w:rsid w:val="007D3B01"/>
    <w:rsid w:val="007D3CC1"/>
    <w:rsid w:val="007D42BE"/>
    <w:rsid w:val="007D4438"/>
    <w:rsid w:val="007D4746"/>
    <w:rsid w:val="007D4A7E"/>
    <w:rsid w:val="007D4D77"/>
    <w:rsid w:val="007D6104"/>
    <w:rsid w:val="007D63CF"/>
    <w:rsid w:val="007D6B8B"/>
    <w:rsid w:val="007D6C65"/>
    <w:rsid w:val="007D777D"/>
    <w:rsid w:val="007D795D"/>
    <w:rsid w:val="007D7A5C"/>
    <w:rsid w:val="007E11EE"/>
    <w:rsid w:val="007E19B1"/>
    <w:rsid w:val="007E20DF"/>
    <w:rsid w:val="007E2E9A"/>
    <w:rsid w:val="007E350B"/>
    <w:rsid w:val="007E395D"/>
    <w:rsid w:val="007E3AE6"/>
    <w:rsid w:val="007E474C"/>
    <w:rsid w:val="007E50EF"/>
    <w:rsid w:val="007E54ED"/>
    <w:rsid w:val="007E6023"/>
    <w:rsid w:val="007E6A16"/>
    <w:rsid w:val="007E6EFD"/>
    <w:rsid w:val="007E71CD"/>
    <w:rsid w:val="007E730F"/>
    <w:rsid w:val="007E73A8"/>
    <w:rsid w:val="007E7E7A"/>
    <w:rsid w:val="007F0D80"/>
    <w:rsid w:val="007F1D30"/>
    <w:rsid w:val="007F20AF"/>
    <w:rsid w:val="007F2168"/>
    <w:rsid w:val="007F228D"/>
    <w:rsid w:val="007F231F"/>
    <w:rsid w:val="007F27D2"/>
    <w:rsid w:val="007F2C5B"/>
    <w:rsid w:val="007F2F2D"/>
    <w:rsid w:val="007F3A53"/>
    <w:rsid w:val="007F3C77"/>
    <w:rsid w:val="007F52C0"/>
    <w:rsid w:val="007F5987"/>
    <w:rsid w:val="007F5C76"/>
    <w:rsid w:val="007F5CA2"/>
    <w:rsid w:val="007F5F99"/>
    <w:rsid w:val="007F6607"/>
    <w:rsid w:val="007F6A62"/>
    <w:rsid w:val="007F6DCB"/>
    <w:rsid w:val="007F7E0F"/>
    <w:rsid w:val="00800A4E"/>
    <w:rsid w:val="00800DEB"/>
    <w:rsid w:val="00801A35"/>
    <w:rsid w:val="00802B73"/>
    <w:rsid w:val="00803DE9"/>
    <w:rsid w:val="00804202"/>
    <w:rsid w:val="00804710"/>
    <w:rsid w:val="00804D12"/>
    <w:rsid w:val="00806EBD"/>
    <w:rsid w:val="00807F96"/>
    <w:rsid w:val="008101CC"/>
    <w:rsid w:val="0081192E"/>
    <w:rsid w:val="00812027"/>
    <w:rsid w:val="008126BC"/>
    <w:rsid w:val="00812F7C"/>
    <w:rsid w:val="0081374D"/>
    <w:rsid w:val="00813964"/>
    <w:rsid w:val="00814244"/>
    <w:rsid w:val="0081474E"/>
    <w:rsid w:val="008147D7"/>
    <w:rsid w:val="00814815"/>
    <w:rsid w:val="00814F69"/>
    <w:rsid w:val="00815050"/>
    <w:rsid w:val="00815C2A"/>
    <w:rsid w:val="008169C2"/>
    <w:rsid w:val="008206A1"/>
    <w:rsid w:val="00820C6E"/>
    <w:rsid w:val="00820E48"/>
    <w:rsid w:val="00821CDF"/>
    <w:rsid w:val="0082209B"/>
    <w:rsid w:val="00823A1F"/>
    <w:rsid w:val="00823CFE"/>
    <w:rsid w:val="00824F3D"/>
    <w:rsid w:val="00825086"/>
    <w:rsid w:val="00825233"/>
    <w:rsid w:val="00825A98"/>
    <w:rsid w:val="00825ACB"/>
    <w:rsid w:val="00825DAA"/>
    <w:rsid w:val="00826553"/>
    <w:rsid w:val="00826736"/>
    <w:rsid w:val="00826802"/>
    <w:rsid w:val="00826819"/>
    <w:rsid w:val="0082799B"/>
    <w:rsid w:val="00827B92"/>
    <w:rsid w:val="00827CB4"/>
    <w:rsid w:val="0083005B"/>
    <w:rsid w:val="00830714"/>
    <w:rsid w:val="00830C94"/>
    <w:rsid w:val="00830FA0"/>
    <w:rsid w:val="008311AA"/>
    <w:rsid w:val="00831380"/>
    <w:rsid w:val="0083194F"/>
    <w:rsid w:val="00831C26"/>
    <w:rsid w:val="00831DE4"/>
    <w:rsid w:val="008328EE"/>
    <w:rsid w:val="00832BCB"/>
    <w:rsid w:val="0083320C"/>
    <w:rsid w:val="008335FD"/>
    <w:rsid w:val="0083383E"/>
    <w:rsid w:val="00833A64"/>
    <w:rsid w:val="00833BEB"/>
    <w:rsid w:val="00833F95"/>
    <w:rsid w:val="0083471E"/>
    <w:rsid w:val="008347E8"/>
    <w:rsid w:val="008358C6"/>
    <w:rsid w:val="00835A9A"/>
    <w:rsid w:val="00836A3F"/>
    <w:rsid w:val="00836E2F"/>
    <w:rsid w:val="00837253"/>
    <w:rsid w:val="0083735B"/>
    <w:rsid w:val="00840228"/>
    <w:rsid w:val="0084053E"/>
    <w:rsid w:val="00840826"/>
    <w:rsid w:val="00840E0F"/>
    <w:rsid w:val="00840F4D"/>
    <w:rsid w:val="00841178"/>
    <w:rsid w:val="00841E91"/>
    <w:rsid w:val="0084283B"/>
    <w:rsid w:val="008434CF"/>
    <w:rsid w:val="0084369D"/>
    <w:rsid w:val="008439D0"/>
    <w:rsid w:val="00843B2A"/>
    <w:rsid w:val="0084490F"/>
    <w:rsid w:val="00845097"/>
    <w:rsid w:val="00845494"/>
    <w:rsid w:val="0084590E"/>
    <w:rsid w:val="00845DCF"/>
    <w:rsid w:val="00846005"/>
    <w:rsid w:val="00847BF8"/>
    <w:rsid w:val="00851150"/>
    <w:rsid w:val="008513CF"/>
    <w:rsid w:val="00851A18"/>
    <w:rsid w:val="00851ED2"/>
    <w:rsid w:val="00852A33"/>
    <w:rsid w:val="00853744"/>
    <w:rsid w:val="00853756"/>
    <w:rsid w:val="0085410F"/>
    <w:rsid w:val="00854AD8"/>
    <w:rsid w:val="0085536D"/>
    <w:rsid w:val="00855DF4"/>
    <w:rsid w:val="00855F0D"/>
    <w:rsid w:val="00856706"/>
    <w:rsid w:val="0085670A"/>
    <w:rsid w:val="0085692B"/>
    <w:rsid w:val="00857053"/>
    <w:rsid w:val="0085761C"/>
    <w:rsid w:val="008607A4"/>
    <w:rsid w:val="00860B84"/>
    <w:rsid w:val="00860E45"/>
    <w:rsid w:val="00860FDA"/>
    <w:rsid w:val="00861168"/>
    <w:rsid w:val="0086129B"/>
    <w:rsid w:val="008613A2"/>
    <w:rsid w:val="00861521"/>
    <w:rsid w:val="008616A0"/>
    <w:rsid w:val="0086176F"/>
    <w:rsid w:val="00861B67"/>
    <w:rsid w:val="00861FC6"/>
    <w:rsid w:val="008629A6"/>
    <w:rsid w:val="00863556"/>
    <w:rsid w:val="00863755"/>
    <w:rsid w:val="008637EC"/>
    <w:rsid w:val="00863B83"/>
    <w:rsid w:val="00863C15"/>
    <w:rsid w:val="00864019"/>
    <w:rsid w:val="00864B8E"/>
    <w:rsid w:val="00865C8C"/>
    <w:rsid w:val="00865CE3"/>
    <w:rsid w:val="00866DC0"/>
    <w:rsid w:val="00866E95"/>
    <w:rsid w:val="00867262"/>
    <w:rsid w:val="00870776"/>
    <w:rsid w:val="00871191"/>
    <w:rsid w:val="008728FD"/>
    <w:rsid w:val="008729E8"/>
    <w:rsid w:val="00872D56"/>
    <w:rsid w:val="0087349E"/>
    <w:rsid w:val="008738C5"/>
    <w:rsid w:val="00874121"/>
    <w:rsid w:val="00874910"/>
    <w:rsid w:val="00874A36"/>
    <w:rsid w:val="00874AC4"/>
    <w:rsid w:val="008754D3"/>
    <w:rsid w:val="0087619F"/>
    <w:rsid w:val="00876323"/>
    <w:rsid w:val="00876AE8"/>
    <w:rsid w:val="00876EFA"/>
    <w:rsid w:val="00876F97"/>
    <w:rsid w:val="008773BA"/>
    <w:rsid w:val="00877547"/>
    <w:rsid w:val="00877A02"/>
    <w:rsid w:val="00877B60"/>
    <w:rsid w:val="00877BC6"/>
    <w:rsid w:val="00877C0F"/>
    <w:rsid w:val="00877F0D"/>
    <w:rsid w:val="0088095B"/>
    <w:rsid w:val="0088143B"/>
    <w:rsid w:val="00881795"/>
    <w:rsid w:val="00882162"/>
    <w:rsid w:val="008823E2"/>
    <w:rsid w:val="00883244"/>
    <w:rsid w:val="00883759"/>
    <w:rsid w:val="0088388E"/>
    <w:rsid w:val="0088395A"/>
    <w:rsid w:val="00883BDC"/>
    <w:rsid w:val="00883D33"/>
    <w:rsid w:val="00884260"/>
    <w:rsid w:val="008847C3"/>
    <w:rsid w:val="0088502B"/>
    <w:rsid w:val="00885C26"/>
    <w:rsid w:val="00886160"/>
    <w:rsid w:val="00886218"/>
    <w:rsid w:val="008865AF"/>
    <w:rsid w:val="008868F5"/>
    <w:rsid w:val="008875D3"/>
    <w:rsid w:val="00890168"/>
    <w:rsid w:val="00890169"/>
    <w:rsid w:val="00890A97"/>
    <w:rsid w:val="00890C88"/>
    <w:rsid w:val="00891B33"/>
    <w:rsid w:val="00891CD3"/>
    <w:rsid w:val="0089234C"/>
    <w:rsid w:val="00893500"/>
    <w:rsid w:val="00894062"/>
    <w:rsid w:val="00894AC8"/>
    <w:rsid w:val="00894C56"/>
    <w:rsid w:val="0089521E"/>
    <w:rsid w:val="00896458"/>
    <w:rsid w:val="00896575"/>
    <w:rsid w:val="008969C8"/>
    <w:rsid w:val="008975DE"/>
    <w:rsid w:val="00897ECC"/>
    <w:rsid w:val="008A0D7A"/>
    <w:rsid w:val="008A17A3"/>
    <w:rsid w:val="008A17C7"/>
    <w:rsid w:val="008A1E5D"/>
    <w:rsid w:val="008A1E66"/>
    <w:rsid w:val="008A1F20"/>
    <w:rsid w:val="008A2256"/>
    <w:rsid w:val="008A29F9"/>
    <w:rsid w:val="008A3AC9"/>
    <w:rsid w:val="008A4360"/>
    <w:rsid w:val="008A52BE"/>
    <w:rsid w:val="008A5629"/>
    <w:rsid w:val="008A5F59"/>
    <w:rsid w:val="008A60DD"/>
    <w:rsid w:val="008A61F3"/>
    <w:rsid w:val="008A6395"/>
    <w:rsid w:val="008A6413"/>
    <w:rsid w:val="008A67EE"/>
    <w:rsid w:val="008A7065"/>
    <w:rsid w:val="008A7227"/>
    <w:rsid w:val="008A7807"/>
    <w:rsid w:val="008B06D3"/>
    <w:rsid w:val="008B0C3A"/>
    <w:rsid w:val="008B0E4D"/>
    <w:rsid w:val="008B1BC0"/>
    <w:rsid w:val="008B1C80"/>
    <w:rsid w:val="008B1D08"/>
    <w:rsid w:val="008B3172"/>
    <w:rsid w:val="008B3522"/>
    <w:rsid w:val="008B3624"/>
    <w:rsid w:val="008B376C"/>
    <w:rsid w:val="008B43D2"/>
    <w:rsid w:val="008B453E"/>
    <w:rsid w:val="008B46F9"/>
    <w:rsid w:val="008B4C91"/>
    <w:rsid w:val="008B4D85"/>
    <w:rsid w:val="008B4DAD"/>
    <w:rsid w:val="008B4E4B"/>
    <w:rsid w:val="008B4F59"/>
    <w:rsid w:val="008B528A"/>
    <w:rsid w:val="008B54B3"/>
    <w:rsid w:val="008B5B4B"/>
    <w:rsid w:val="008B5B5A"/>
    <w:rsid w:val="008B5C55"/>
    <w:rsid w:val="008B6B93"/>
    <w:rsid w:val="008B6E18"/>
    <w:rsid w:val="008B6F28"/>
    <w:rsid w:val="008B71FC"/>
    <w:rsid w:val="008B7FFE"/>
    <w:rsid w:val="008C023C"/>
    <w:rsid w:val="008C0383"/>
    <w:rsid w:val="008C0F55"/>
    <w:rsid w:val="008C29CF"/>
    <w:rsid w:val="008C31CA"/>
    <w:rsid w:val="008C3340"/>
    <w:rsid w:val="008C3609"/>
    <w:rsid w:val="008C382F"/>
    <w:rsid w:val="008C40EC"/>
    <w:rsid w:val="008C479F"/>
    <w:rsid w:val="008C47EC"/>
    <w:rsid w:val="008C4DC7"/>
    <w:rsid w:val="008C5904"/>
    <w:rsid w:val="008C5981"/>
    <w:rsid w:val="008C5ED3"/>
    <w:rsid w:val="008C5F9F"/>
    <w:rsid w:val="008C6273"/>
    <w:rsid w:val="008C6CC2"/>
    <w:rsid w:val="008C6EBD"/>
    <w:rsid w:val="008C7061"/>
    <w:rsid w:val="008C7458"/>
    <w:rsid w:val="008D04AF"/>
    <w:rsid w:val="008D0CAF"/>
    <w:rsid w:val="008D0E83"/>
    <w:rsid w:val="008D1722"/>
    <w:rsid w:val="008D1EF9"/>
    <w:rsid w:val="008D2431"/>
    <w:rsid w:val="008D2461"/>
    <w:rsid w:val="008D2C95"/>
    <w:rsid w:val="008D2D40"/>
    <w:rsid w:val="008D36CB"/>
    <w:rsid w:val="008D3AAE"/>
    <w:rsid w:val="008D4487"/>
    <w:rsid w:val="008D462E"/>
    <w:rsid w:val="008D49CF"/>
    <w:rsid w:val="008D4D5C"/>
    <w:rsid w:val="008D4F57"/>
    <w:rsid w:val="008D5605"/>
    <w:rsid w:val="008D5C82"/>
    <w:rsid w:val="008D5DE3"/>
    <w:rsid w:val="008D6593"/>
    <w:rsid w:val="008D67C4"/>
    <w:rsid w:val="008D72F1"/>
    <w:rsid w:val="008D739E"/>
    <w:rsid w:val="008E018B"/>
    <w:rsid w:val="008E063B"/>
    <w:rsid w:val="008E0E74"/>
    <w:rsid w:val="008E0F92"/>
    <w:rsid w:val="008E15E8"/>
    <w:rsid w:val="008E1D2B"/>
    <w:rsid w:val="008E2C5B"/>
    <w:rsid w:val="008E3450"/>
    <w:rsid w:val="008E36FB"/>
    <w:rsid w:val="008E394F"/>
    <w:rsid w:val="008E40C7"/>
    <w:rsid w:val="008E43E4"/>
    <w:rsid w:val="008E49A6"/>
    <w:rsid w:val="008E5116"/>
    <w:rsid w:val="008E61F5"/>
    <w:rsid w:val="008E620F"/>
    <w:rsid w:val="008E67C9"/>
    <w:rsid w:val="008E6E0A"/>
    <w:rsid w:val="008E7473"/>
    <w:rsid w:val="008F04E8"/>
    <w:rsid w:val="008F0646"/>
    <w:rsid w:val="008F0762"/>
    <w:rsid w:val="008F0A99"/>
    <w:rsid w:val="008F0BD5"/>
    <w:rsid w:val="008F0BFC"/>
    <w:rsid w:val="008F117C"/>
    <w:rsid w:val="008F1244"/>
    <w:rsid w:val="008F133A"/>
    <w:rsid w:val="008F1CBB"/>
    <w:rsid w:val="008F25C1"/>
    <w:rsid w:val="008F2664"/>
    <w:rsid w:val="008F29A2"/>
    <w:rsid w:val="008F3202"/>
    <w:rsid w:val="008F38CD"/>
    <w:rsid w:val="008F3F09"/>
    <w:rsid w:val="008F4736"/>
    <w:rsid w:val="008F4B95"/>
    <w:rsid w:val="008F4D6C"/>
    <w:rsid w:val="008F5964"/>
    <w:rsid w:val="008F63BB"/>
    <w:rsid w:val="008F65EA"/>
    <w:rsid w:val="008F67DA"/>
    <w:rsid w:val="008F6801"/>
    <w:rsid w:val="008F71A0"/>
    <w:rsid w:val="008F7DDE"/>
    <w:rsid w:val="00901033"/>
    <w:rsid w:val="00901057"/>
    <w:rsid w:val="00901F27"/>
    <w:rsid w:val="0090235D"/>
    <w:rsid w:val="00902721"/>
    <w:rsid w:val="009027FA"/>
    <w:rsid w:val="0090289D"/>
    <w:rsid w:val="0090391B"/>
    <w:rsid w:val="00903D0E"/>
    <w:rsid w:val="00903DA3"/>
    <w:rsid w:val="00903ED8"/>
    <w:rsid w:val="009040A1"/>
    <w:rsid w:val="00904137"/>
    <w:rsid w:val="00904175"/>
    <w:rsid w:val="00904709"/>
    <w:rsid w:val="0090481A"/>
    <w:rsid w:val="009049D2"/>
    <w:rsid w:val="00904CA3"/>
    <w:rsid w:val="00905366"/>
    <w:rsid w:val="0090579F"/>
    <w:rsid w:val="00905878"/>
    <w:rsid w:val="00905BD2"/>
    <w:rsid w:val="00905D4A"/>
    <w:rsid w:val="00906422"/>
    <w:rsid w:val="009064A9"/>
    <w:rsid w:val="009066BD"/>
    <w:rsid w:val="00907574"/>
    <w:rsid w:val="009079F4"/>
    <w:rsid w:val="0091052B"/>
    <w:rsid w:val="00910C81"/>
    <w:rsid w:val="00911279"/>
    <w:rsid w:val="00911327"/>
    <w:rsid w:val="009113C1"/>
    <w:rsid w:val="009113DA"/>
    <w:rsid w:val="00912E51"/>
    <w:rsid w:val="009134D6"/>
    <w:rsid w:val="0091373B"/>
    <w:rsid w:val="00913A3B"/>
    <w:rsid w:val="00913F4A"/>
    <w:rsid w:val="0091482C"/>
    <w:rsid w:val="00914D0A"/>
    <w:rsid w:val="00915A7A"/>
    <w:rsid w:val="00915C1E"/>
    <w:rsid w:val="00916330"/>
    <w:rsid w:val="00916C88"/>
    <w:rsid w:val="009170D7"/>
    <w:rsid w:val="00917256"/>
    <w:rsid w:val="00917C2A"/>
    <w:rsid w:val="00921A12"/>
    <w:rsid w:val="00921C06"/>
    <w:rsid w:val="00921C09"/>
    <w:rsid w:val="009221CB"/>
    <w:rsid w:val="0092293D"/>
    <w:rsid w:val="00923352"/>
    <w:rsid w:val="0092397A"/>
    <w:rsid w:val="00923D2C"/>
    <w:rsid w:val="00923E60"/>
    <w:rsid w:val="00924DBA"/>
    <w:rsid w:val="00925304"/>
    <w:rsid w:val="00925839"/>
    <w:rsid w:val="00925BBF"/>
    <w:rsid w:val="00925D6E"/>
    <w:rsid w:val="00926295"/>
    <w:rsid w:val="0092744F"/>
    <w:rsid w:val="009274A2"/>
    <w:rsid w:val="0093085D"/>
    <w:rsid w:val="009313ED"/>
    <w:rsid w:val="009316C8"/>
    <w:rsid w:val="00931728"/>
    <w:rsid w:val="0093211C"/>
    <w:rsid w:val="00932421"/>
    <w:rsid w:val="00932BBA"/>
    <w:rsid w:val="0093371C"/>
    <w:rsid w:val="009337D9"/>
    <w:rsid w:val="00933D61"/>
    <w:rsid w:val="00934108"/>
    <w:rsid w:val="00934130"/>
    <w:rsid w:val="00934447"/>
    <w:rsid w:val="00934AF0"/>
    <w:rsid w:val="00934DA9"/>
    <w:rsid w:val="00934FFB"/>
    <w:rsid w:val="00935337"/>
    <w:rsid w:val="009354BA"/>
    <w:rsid w:val="00936F52"/>
    <w:rsid w:val="009375F5"/>
    <w:rsid w:val="00940903"/>
    <w:rsid w:val="00940A79"/>
    <w:rsid w:val="00940C53"/>
    <w:rsid w:val="009412A6"/>
    <w:rsid w:val="0094130A"/>
    <w:rsid w:val="00941844"/>
    <w:rsid w:val="00941F54"/>
    <w:rsid w:val="009422FE"/>
    <w:rsid w:val="00942679"/>
    <w:rsid w:val="0094271C"/>
    <w:rsid w:val="0094271F"/>
    <w:rsid w:val="0094302F"/>
    <w:rsid w:val="009430C6"/>
    <w:rsid w:val="009430E8"/>
    <w:rsid w:val="009439A4"/>
    <w:rsid w:val="00943B2B"/>
    <w:rsid w:val="00943D01"/>
    <w:rsid w:val="00943D25"/>
    <w:rsid w:val="00943D75"/>
    <w:rsid w:val="00944E62"/>
    <w:rsid w:val="00945D15"/>
    <w:rsid w:val="00947129"/>
    <w:rsid w:val="00947536"/>
    <w:rsid w:val="00947828"/>
    <w:rsid w:val="0094782B"/>
    <w:rsid w:val="009503DB"/>
    <w:rsid w:val="00950DB5"/>
    <w:rsid w:val="00951279"/>
    <w:rsid w:val="0095186E"/>
    <w:rsid w:val="00951C72"/>
    <w:rsid w:val="009524C5"/>
    <w:rsid w:val="009527BD"/>
    <w:rsid w:val="009529B7"/>
    <w:rsid w:val="009529D0"/>
    <w:rsid w:val="009531CB"/>
    <w:rsid w:val="00953A0C"/>
    <w:rsid w:val="00954672"/>
    <w:rsid w:val="00955265"/>
    <w:rsid w:val="00955416"/>
    <w:rsid w:val="00955800"/>
    <w:rsid w:val="00955CE4"/>
    <w:rsid w:val="00956623"/>
    <w:rsid w:val="00956D50"/>
    <w:rsid w:val="00956DB4"/>
    <w:rsid w:val="00957141"/>
    <w:rsid w:val="00957247"/>
    <w:rsid w:val="00957CEC"/>
    <w:rsid w:val="009603D2"/>
    <w:rsid w:val="00960F20"/>
    <w:rsid w:val="00961848"/>
    <w:rsid w:val="00961A7B"/>
    <w:rsid w:val="00961A9C"/>
    <w:rsid w:val="00961DF7"/>
    <w:rsid w:val="0096209F"/>
    <w:rsid w:val="00962755"/>
    <w:rsid w:val="00962C10"/>
    <w:rsid w:val="00962F88"/>
    <w:rsid w:val="009639C8"/>
    <w:rsid w:val="00963CCB"/>
    <w:rsid w:val="00963D39"/>
    <w:rsid w:val="00964BC6"/>
    <w:rsid w:val="00964E4B"/>
    <w:rsid w:val="009652DF"/>
    <w:rsid w:val="00965492"/>
    <w:rsid w:val="009658AC"/>
    <w:rsid w:val="009659BD"/>
    <w:rsid w:val="009664A4"/>
    <w:rsid w:val="00966AFB"/>
    <w:rsid w:val="00966B85"/>
    <w:rsid w:val="00966CE0"/>
    <w:rsid w:val="00967116"/>
    <w:rsid w:val="009673F9"/>
    <w:rsid w:val="0096788C"/>
    <w:rsid w:val="009678C2"/>
    <w:rsid w:val="00967991"/>
    <w:rsid w:val="009702BC"/>
    <w:rsid w:val="00970974"/>
    <w:rsid w:val="00970A05"/>
    <w:rsid w:val="00970E33"/>
    <w:rsid w:val="00971F33"/>
    <w:rsid w:val="00971FF5"/>
    <w:rsid w:val="0097219B"/>
    <w:rsid w:val="00972896"/>
    <w:rsid w:val="00972B8B"/>
    <w:rsid w:val="009731B0"/>
    <w:rsid w:val="00973206"/>
    <w:rsid w:val="009736D6"/>
    <w:rsid w:val="009736DD"/>
    <w:rsid w:val="0097441D"/>
    <w:rsid w:val="00974D5F"/>
    <w:rsid w:val="00975B2E"/>
    <w:rsid w:val="00976273"/>
    <w:rsid w:val="0097627A"/>
    <w:rsid w:val="0097645B"/>
    <w:rsid w:val="0097657D"/>
    <w:rsid w:val="00976A46"/>
    <w:rsid w:val="00976FA8"/>
    <w:rsid w:val="009775E6"/>
    <w:rsid w:val="00977908"/>
    <w:rsid w:val="009807AF"/>
    <w:rsid w:val="009809D2"/>
    <w:rsid w:val="00980D0D"/>
    <w:rsid w:val="00981862"/>
    <w:rsid w:val="009834C7"/>
    <w:rsid w:val="009839D4"/>
    <w:rsid w:val="00984470"/>
    <w:rsid w:val="00984C98"/>
    <w:rsid w:val="00985146"/>
    <w:rsid w:val="009856D6"/>
    <w:rsid w:val="00985BF5"/>
    <w:rsid w:val="00985CCB"/>
    <w:rsid w:val="00985E46"/>
    <w:rsid w:val="00985EC7"/>
    <w:rsid w:val="00986612"/>
    <w:rsid w:val="00987003"/>
    <w:rsid w:val="009879C6"/>
    <w:rsid w:val="00987EC9"/>
    <w:rsid w:val="00990598"/>
    <w:rsid w:val="0099144E"/>
    <w:rsid w:val="009916DE"/>
    <w:rsid w:val="0099249F"/>
    <w:rsid w:val="00992FA2"/>
    <w:rsid w:val="00993674"/>
    <w:rsid w:val="00993DBE"/>
    <w:rsid w:val="00994246"/>
    <w:rsid w:val="009943FC"/>
    <w:rsid w:val="00994B1C"/>
    <w:rsid w:val="009953A9"/>
    <w:rsid w:val="009954BD"/>
    <w:rsid w:val="00995B6D"/>
    <w:rsid w:val="00995D1A"/>
    <w:rsid w:val="009967E8"/>
    <w:rsid w:val="00996EC1"/>
    <w:rsid w:val="00997941"/>
    <w:rsid w:val="009A049C"/>
    <w:rsid w:val="009A064B"/>
    <w:rsid w:val="009A1267"/>
    <w:rsid w:val="009A14C0"/>
    <w:rsid w:val="009A1D1F"/>
    <w:rsid w:val="009A217F"/>
    <w:rsid w:val="009A22F1"/>
    <w:rsid w:val="009A2512"/>
    <w:rsid w:val="009A3192"/>
    <w:rsid w:val="009A36D6"/>
    <w:rsid w:val="009A3842"/>
    <w:rsid w:val="009A4019"/>
    <w:rsid w:val="009A431B"/>
    <w:rsid w:val="009A4CD2"/>
    <w:rsid w:val="009A4DF0"/>
    <w:rsid w:val="009A52D9"/>
    <w:rsid w:val="009A5599"/>
    <w:rsid w:val="009A57C4"/>
    <w:rsid w:val="009A58B4"/>
    <w:rsid w:val="009A5A7D"/>
    <w:rsid w:val="009A672D"/>
    <w:rsid w:val="009A6816"/>
    <w:rsid w:val="009A6924"/>
    <w:rsid w:val="009A6A09"/>
    <w:rsid w:val="009A77B4"/>
    <w:rsid w:val="009A7964"/>
    <w:rsid w:val="009B067F"/>
    <w:rsid w:val="009B1A27"/>
    <w:rsid w:val="009B1FED"/>
    <w:rsid w:val="009B3202"/>
    <w:rsid w:val="009B35D9"/>
    <w:rsid w:val="009B382F"/>
    <w:rsid w:val="009B4690"/>
    <w:rsid w:val="009B4CCF"/>
    <w:rsid w:val="009B513D"/>
    <w:rsid w:val="009B5224"/>
    <w:rsid w:val="009B550D"/>
    <w:rsid w:val="009B6896"/>
    <w:rsid w:val="009B6987"/>
    <w:rsid w:val="009B7058"/>
    <w:rsid w:val="009B797C"/>
    <w:rsid w:val="009B7DFF"/>
    <w:rsid w:val="009C05A9"/>
    <w:rsid w:val="009C0AB5"/>
    <w:rsid w:val="009C0D41"/>
    <w:rsid w:val="009C0E9D"/>
    <w:rsid w:val="009C1489"/>
    <w:rsid w:val="009C1CBC"/>
    <w:rsid w:val="009C297E"/>
    <w:rsid w:val="009C3DF6"/>
    <w:rsid w:val="009C48DA"/>
    <w:rsid w:val="009C53F5"/>
    <w:rsid w:val="009C5B3D"/>
    <w:rsid w:val="009C632A"/>
    <w:rsid w:val="009C63FA"/>
    <w:rsid w:val="009C6F29"/>
    <w:rsid w:val="009C6F39"/>
    <w:rsid w:val="009D0998"/>
    <w:rsid w:val="009D159A"/>
    <w:rsid w:val="009D1747"/>
    <w:rsid w:val="009D1FC4"/>
    <w:rsid w:val="009D2D2C"/>
    <w:rsid w:val="009D316D"/>
    <w:rsid w:val="009D33F7"/>
    <w:rsid w:val="009D37C2"/>
    <w:rsid w:val="009D461E"/>
    <w:rsid w:val="009D488B"/>
    <w:rsid w:val="009D4CB9"/>
    <w:rsid w:val="009D5236"/>
    <w:rsid w:val="009D539B"/>
    <w:rsid w:val="009D54B9"/>
    <w:rsid w:val="009D5B13"/>
    <w:rsid w:val="009D5F69"/>
    <w:rsid w:val="009D6AE9"/>
    <w:rsid w:val="009D74F5"/>
    <w:rsid w:val="009D766A"/>
    <w:rsid w:val="009D797D"/>
    <w:rsid w:val="009D7F66"/>
    <w:rsid w:val="009E02AD"/>
    <w:rsid w:val="009E041C"/>
    <w:rsid w:val="009E0696"/>
    <w:rsid w:val="009E0EAC"/>
    <w:rsid w:val="009E122A"/>
    <w:rsid w:val="009E14C5"/>
    <w:rsid w:val="009E1649"/>
    <w:rsid w:val="009E200E"/>
    <w:rsid w:val="009E3528"/>
    <w:rsid w:val="009E4DC9"/>
    <w:rsid w:val="009E4F60"/>
    <w:rsid w:val="009E57C0"/>
    <w:rsid w:val="009E5F6E"/>
    <w:rsid w:val="009E5F7E"/>
    <w:rsid w:val="009E6ECA"/>
    <w:rsid w:val="009E707F"/>
    <w:rsid w:val="009F07D9"/>
    <w:rsid w:val="009F08E5"/>
    <w:rsid w:val="009F1569"/>
    <w:rsid w:val="009F167C"/>
    <w:rsid w:val="009F1767"/>
    <w:rsid w:val="009F1940"/>
    <w:rsid w:val="009F226F"/>
    <w:rsid w:val="009F23C6"/>
    <w:rsid w:val="009F292D"/>
    <w:rsid w:val="009F2FDC"/>
    <w:rsid w:val="009F3001"/>
    <w:rsid w:val="009F3044"/>
    <w:rsid w:val="009F32F2"/>
    <w:rsid w:val="009F3812"/>
    <w:rsid w:val="009F3E64"/>
    <w:rsid w:val="009F40B3"/>
    <w:rsid w:val="009F4732"/>
    <w:rsid w:val="009F58D7"/>
    <w:rsid w:val="009F5C96"/>
    <w:rsid w:val="009F6152"/>
    <w:rsid w:val="009F61CA"/>
    <w:rsid w:val="009F62EF"/>
    <w:rsid w:val="009F6DD2"/>
    <w:rsid w:val="009F7D73"/>
    <w:rsid w:val="00A0098A"/>
    <w:rsid w:val="00A00A79"/>
    <w:rsid w:val="00A00D1C"/>
    <w:rsid w:val="00A0160C"/>
    <w:rsid w:val="00A024AA"/>
    <w:rsid w:val="00A02642"/>
    <w:rsid w:val="00A030BB"/>
    <w:rsid w:val="00A034DE"/>
    <w:rsid w:val="00A03987"/>
    <w:rsid w:val="00A03F2D"/>
    <w:rsid w:val="00A051AA"/>
    <w:rsid w:val="00A05562"/>
    <w:rsid w:val="00A05EA6"/>
    <w:rsid w:val="00A05EDE"/>
    <w:rsid w:val="00A06E6E"/>
    <w:rsid w:val="00A07225"/>
    <w:rsid w:val="00A10C33"/>
    <w:rsid w:val="00A10CB9"/>
    <w:rsid w:val="00A10E50"/>
    <w:rsid w:val="00A11C3C"/>
    <w:rsid w:val="00A123EB"/>
    <w:rsid w:val="00A12A5D"/>
    <w:rsid w:val="00A13133"/>
    <w:rsid w:val="00A135F2"/>
    <w:rsid w:val="00A136A9"/>
    <w:rsid w:val="00A15042"/>
    <w:rsid w:val="00A15350"/>
    <w:rsid w:val="00A15603"/>
    <w:rsid w:val="00A15A61"/>
    <w:rsid w:val="00A16656"/>
    <w:rsid w:val="00A169B8"/>
    <w:rsid w:val="00A173E8"/>
    <w:rsid w:val="00A17442"/>
    <w:rsid w:val="00A17A6C"/>
    <w:rsid w:val="00A20C08"/>
    <w:rsid w:val="00A21095"/>
    <w:rsid w:val="00A212FF"/>
    <w:rsid w:val="00A22FBD"/>
    <w:rsid w:val="00A230E3"/>
    <w:rsid w:val="00A23165"/>
    <w:rsid w:val="00A232A7"/>
    <w:rsid w:val="00A23639"/>
    <w:rsid w:val="00A237B2"/>
    <w:rsid w:val="00A23E00"/>
    <w:rsid w:val="00A24C69"/>
    <w:rsid w:val="00A24E3E"/>
    <w:rsid w:val="00A258C5"/>
    <w:rsid w:val="00A25CBF"/>
    <w:rsid w:val="00A25EBF"/>
    <w:rsid w:val="00A25F7D"/>
    <w:rsid w:val="00A26B7B"/>
    <w:rsid w:val="00A26CAD"/>
    <w:rsid w:val="00A26E7C"/>
    <w:rsid w:val="00A27B48"/>
    <w:rsid w:val="00A3108D"/>
    <w:rsid w:val="00A310B7"/>
    <w:rsid w:val="00A31532"/>
    <w:rsid w:val="00A315F7"/>
    <w:rsid w:val="00A31A3E"/>
    <w:rsid w:val="00A31E5E"/>
    <w:rsid w:val="00A3220D"/>
    <w:rsid w:val="00A326BE"/>
    <w:rsid w:val="00A32CFA"/>
    <w:rsid w:val="00A32F29"/>
    <w:rsid w:val="00A3306A"/>
    <w:rsid w:val="00A33357"/>
    <w:rsid w:val="00A339B2"/>
    <w:rsid w:val="00A33C8E"/>
    <w:rsid w:val="00A34A7D"/>
    <w:rsid w:val="00A351EE"/>
    <w:rsid w:val="00A3551E"/>
    <w:rsid w:val="00A35BD1"/>
    <w:rsid w:val="00A3639A"/>
    <w:rsid w:val="00A36F87"/>
    <w:rsid w:val="00A37197"/>
    <w:rsid w:val="00A373D7"/>
    <w:rsid w:val="00A373E7"/>
    <w:rsid w:val="00A37E0D"/>
    <w:rsid w:val="00A404BC"/>
    <w:rsid w:val="00A40690"/>
    <w:rsid w:val="00A40C17"/>
    <w:rsid w:val="00A40EB3"/>
    <w:rsid w:val="00A42196"/>
    <w:rsid w:val="00A43049"/>
    <w:rsid w:val="00A44007"/>
    <w:rsid w:val="00A445FD"/>
    <w:rsid w:val="00A447E7"/>
    <w:rsid w:val="00A4586E"/>
    <w:rsid w:val="00A45D73"/>
    <w:rsid w:val="00A45DAF"/>
    <w:rsid w:val="00A4603A"/>
    <w:rsid w:val="00A46048"/>
    <w:rsid w:val="00A463DC"/>
    <w:rsid w:val="00A4763D"/>
    <w:rsid w:val="00A47737"/>
    <w:rsid w:val="00A4779A"/>
    <w:rsid w:val="00A4789C"/>
    <w:rsid w:val="00A50477"/>
    <w:rsid w:val="00A51527"/>
    <w:rsid w:val="00A5167A"/>
    <w:rsid w:val="00A51C54"/>
    <w:rsid w:val="00A529CE"/>
    <w:rsid w:val="00A5318F"/>
    <w:rsid w:val="00A53537"/>
    <w:rsid w:val="00A540B8"/>
    <w:rsid w:val="00A54175"/>
    <w:rsid w:val="00A553DF"/>
    <w:rsid w:val="00A55E63"/>
    <w:rsid w:val="00A5609A"/>
    <w:rsid w:val="00A561DD"/>
    <w:rsid w:val="00A56F68"/>
    <w:rsid w:val="00A606FC"/>
    <w:rsid w:val="00A60D99"/>
    <w:rsid w:val="00A615AF"/>
    <w:rsid w:val="00A61AEE"/>
    <w:rsid w:val="00A61E29"/>
    <w:rsid w:val="00A637DA"/>
    <w:rsid w:val="00A63E58"/>
    <w:rsid w:val="00A6444F"/>
    <w:rsid w:val="00A64784"/>
    <w:rsid w:val="00A647C2"/>
    <w:rsid w:val="00A651C3"/>
    <w:rsid w:val="00A65CAA"/>
    <w:rsid w:val="00A66076"/>
    <w:rsid w:val="00A66084"/>
    <w:rsid w:val="00A66570"/>
    <w:rsid w:val="00A67438"/>
    <w:rsid w:val="00A67CE6"/>
    <w:rsid w:val="00A67E00"/>
    <w:rsid w:val="00A7037A"/>
    <w:rsid w:val="00A70AF7"/>
    <w:rsid w:val="00A71CB0"/>
    <w:rsid w:val="00A71F3A"/>
    <w:rsid w:val="00A721D7"/>
    <w:rsid w:val="00A72475"/>
    <w:rsid w:val="00A72E3A"/>
    <w:rsid w:val="00A731A2"/>
    <w:rsid w:val="00A73766"/>
    <w:rsid w:val="00A7492E"/>
    <w:rsid w:val="00A75F5C"/>
    <w:rsid w:val="00A76E2F"/>
    <w:rsid w:val="00A77F98"/>
    <w:rsid w:val="00A802D3"/>
    <w:rsid w:val="00A80AFF"/>
    <w:rsid w:val="00A82092"/>
    <w:rsid w:val="00A823DC"/>
    <w:rsid w:val="00A83024"/>
    <w:rsid w:val="00A8318C"/>
    <w:rsid w:val="00A832E2"/>
    <w:rsid w:val="00A839E1"/>
    <w:rsid w:val="00A83F18"/>
    <w:rsid w:val="00A84711"/>
    <w:rsid w:val="00A84909"/>
    <w:rsid w:val="00A849E4"/>
    <w:rsid w:val="00A84A80"/>
    <w:rsid w:val="00A84EA6"/>
    <w:rsid w:val="00A85DA6"/>
    <w:rsid w:val="00A85E72"/>
    <w:rsid w:val="00A85F49"/>
    <w:rsid w:val="00A85FEE"/>
    <w:rsid w:val="00A86311"/>
    <w:rsid w:val="00A86378"/>
    <w:rsid w:val="00A865BB"/>
    <w:rsid w:val="00A8681D"/>
    <w:rsid w:val="00A86A7E"/>
    <w:rsid w:val="00A86CC8"/>
    <w:rsid w:val="00A86EAD"/>
    <w:rsid w:val="00A911A5"/>
    <w:rsid w:val="00A91864"/>
    <w:rsid w:val="00A91FBF"/>
    <w:rsid w:val="00A934EF"/>
    <w:rsid w:val="00A93C59"/>
    <w:rsid w:val="00A93CE2"/>
    <w:rsid w:val="00A93D87"/>
    <w:rsid w:val="00A9414C"/>
    <w:rsid w:val="00A94B26"/>
    <w:rsid w:val="00A94D9E"/>
    <w:rsid w:val="00A95146"/>
    <w:rsid w:val="00A951F8"/>
    <w:rsid w:val="00A95DA1"/>
    <w:rsid w:val="00A96BF2"/>
    <w:rsid w:val="00A97613"/>
    <w:rsid w:val="00A97C5F"/>
    <w:rsid w:val="00AA0097"/>
    <w:rsid w:val="00AA03AF"/>
    <w:rsid w:val="00AA0792"/>
    <w:rsid w:val="00AA09A5"/>
    <w:rsid w:val="00AA0E60"/>
    <w:rsid w:val="00AA1064"/>
    <w:rsid w:val="00AA269B"/>
    <w:rsid w:val="00AA309B"/>
    <w:rsid w:val="00AA31D5"/>
    <w:rsid w:val="00AA3FF2"/>
    <w:rsid w:val="00AA47AD"/>
    <w:rsid w:val="00AA483A"/>
    <w:rsid w:val="00AA6798"/>
    <w:rsid w:val="00AA6916"/>
    <w:rsid w:val="00AA7BF7"/>
    <w:rsid w:val="00AB0EFD"/>
    <w:rsid w:val="00AB1020"/>
    <w:rsid w:val="00AB1057"/>
    <w:rsid w:val="00AB14C6"/>
    <w:rsid w:val="00AB1592"/>
    <w:rsid w:val="00AB1915"/>
    <w:rsid w:val="00AB1B67"/>
    <w:rsid w:val="00AB1E35"/>
    <w:rsid w:val="00AB1EE0"/>
    <w:rsid w:val="00AB2274"/>
    <w:rsid w:val="00AB25AD"/>
    <w:rsid w:val="00AB2818"/>
    <w:rsid w:val="00AB281A"/>
    <w:rsid w:val="00AB35DE"/>
    <w:rsid w:val="00AB3B9B"/>
    <w:rsid w:val="00AB3D09"/>
    <w:rsid w:val="00AB5626"/>
    <w:rsid w:val="00AB596F"/>
    <w:rsid w:val="00AB5E83"/>
    <w:rsid w:val="00AB614F"/>
    <w:rsid w:val="00AB65C1"/>
    <w:rsid w:val="00AB68CF"/>
    <w:rsid w:val="00AB696C"/>
    <w:rsid w:val="00AB7C56"/>
    <w:rsid w:val="00AB7D7B"/>
    <w:rsid w:val="00AC094D"/>
    <w:rsid w:val="00AC14AC"/>
    <w:rsid w:val="00AC15AE"/>
    <w:rsid w:val="00AC1DAC"/>
    <w:rsid w:val="00AC1E19"/>
    <w:rsid w:val="00AC1FCC"/>
    <w:rsid w:val="00AC1FE9"/>
    <w:rsid w:val="00AC2BE0"/>
    <w:rsid w:val="00AC452E"/>
    <w:rsid w:val="00AC4FF5"/>
    <w:rsid w:val="00AC5808"/>
    <w:rsid w:val="00AC5B3B"/>
    <w:rsid w:val="00AC62BF"/>
    <w:rsid w:val="00AC62CB"/>
    <w:rsid w:val="00AC6C89"/>
    <w:rsid w:val="00AC6E5D"/>
    <w:rsid w:val="00AC702A"/>
    <w:rsid w:val="00AC7456"/>
    <w:rsid w:val="00AC7713"/>
    <w:rsid w:val="00AD1E68"/>
    <w:rsid w:val="00AD2104"/>
    <w:rsid w:val="00AD2AE7"/>
    <w:rsid w:val="00AD3423"/>
    <w:rsid w:val="00AD3870"/>
    <w:rsid w:val="00AD3954"/>
    <w:rsid w:val="00AD3FFA"/>
    <w:rsid w:val="00AD4790"/>
    <w:rsid w:val="00AD47EB"/>
    <w:rsid w:val="00AD4B64"/>
    <w:rsid w:val="00AD4CB1"/>
    <w:rsid w:val="00AD56A5"/>
    <w:rsid w:val="00AD585F"/>
    <w:rsid w:val="00AD5B0C"/>
    <w:rsid w:val="00AD6303"/>
    <w:rsid w:val="00AD680B"/>
    <w:rsid w:val="00AD7F43"/>
    <w:rsid w:val="00AE02EF"/>
    <w:rsid w:val="00AE0F07"/>
    <w:rsid w:val="00AE11AE"/>
    <w:rsid w:val="00AE1337"/>
    <w:rsid w:val="00AE167C"/>
    <w:rsid w:val="00AE172B"/>
    <w:rsid w:val="00AE1BDB"/>
    <w:rsid w:val="00AE1EE6"/>
    <w:rsid w:val="00AE23CC"/>
    <w:rsid w:val="00AE2A39"/>
    <w:rsid w:val="00AE36FE"/>
    <w:rsid w:val="00AE3AED"/>
    <w:rsid w:val="00AE3E26"/>
    <w:rsid w:val="00AE3F64"/>
    <w:rsid w:val="00AE43FD"/>
    <w:rsid w:val="00AE4B58"/>
    <w:rsid w:val="00AE51D0"/>
    <w:rsid w:val="00AE6A98"/>
    <w:rsid w:val="00AE77C6"/>
    <w:rsid w:val="00AE7B03"/>
    <w:rsid w:val="00AE7BF2"/>
    <w:rsid w:val="00AE7C69"/>
    <w:rsid w:val="00AE7D2A"/>
    <w:rsid w:val="00AF04C6"/>
    <w:rsid w:val="00AF056C"/>
    <w:rsid w:val="00AF06F7"/>
    <w:rsid w:val="00AF0880"/>
    <w:rsid w:val="00AF0BFE"/>
    <w:rsid w:val="00AF0D82"/>
    <w:rsid w:val="00AF1165"/>
    <w:rsid w:val="00AF1EBD"/>
    <w:rsid w:val="00AF209A"/>
    <w:rsid w:val="00AF2152"/>
    <w:rsid w:val="00AF2404"/>
    <w:rsid w:val="00AF34CB"/>
    <w:rsid w:val="00AF3A82"/>
    <w:rsid w:val="00AF3ADC"/>
    <w:rsid w:val="00AF3B7D"/>
    <w:rsid w:val="00AF4A8E"/>
    <w:rsid w:val="00AF4AF2"/>
    <w:rsid w:val="00AF4D34"/>
    <w:rsid w:val="00AF4F3B"/>
    <w:rsid w:val="00AF51BC"/>
    <w:rsid w:val="00AF52E6"/>
    <w:rsid w:val="00AF5846"/>
    <w:rsid w:val="00AF6CDD"/>
    <w:rsid w:val="00AF6CF2"/>
    <w:rsid w:val="00AF712D"/>
    <w:rsid w:val="00AF71A0"/>
    <w:rsid w:val="00AF726F"/>
    <w:rsid w:val="00AF7560"/>
    <w:rsid w:val="00AF7B83"/>
    <w:rsid w:val="00B0091A"/>
    <w:rsid w:val="00B00C2B"/>
    <w:rsid w:val="00B00D84"/>
    <w:rsid w:val="00B0169A"/>
    <w:rsid w:val="00B01FFD"/>
    <w:rsid w:val="00B0275E"/>
    <w:rsid w:val="00B0286A"/>
    <w:rsid w:val="00B028D8"/>
    <w:rsid w:val="00B0346D"/>
    <w:rsid w:val="00B0463B"/>
    <w:rsid w:val="00B04C90"/>
    <w:rsid w:val="00B05317"/>
    <w:rsid w:val="00B0612A"/>
    <w:rsid w:val="00B06200"/>
    <w:rsid w:val="00B0645E"/>
    <w:rsid w:val="00B066AF"/>
    <w:rsid w:val="00B072CF"/>
    <w:rsid w:val="00B07638"/>
    <w:rsid w:val="00B10330"/>
    <w:rsid w:val="00B10905"/>
    <w:rsid w:val="00B114AE"/>
    <w:rsid w:val="00B11B32"/>
    <w:rsid w:val="00B1223D"/>
    <w:rsid w:val="00B12369"/>
    <w:rsid w:val="00B12604"/>
    <w:rsid w:val="00B12C5E"/>
    <w:rsid w:val="00B12C69"/>
    <w:rsid w:val="00B135FF"/>
    <w:rsid w:val="00B136C0"/>
    <w:rsid w:val="00B13ED9"/>
    <w:rsid w:val="00B13F81"/>
    <w:rsid w:val="00B1468A"/>
    <w:rsid w:val="00B14EB1"/>
    <w:rsid w:val="00B15505"/>
    <w:rsid w:val="00B1562C"/>
    <w:rsid w:val="00B1570F"/>
    <w:rsid w:val="00B15F91"/>
    <w:rsid w:val="00B16561"/>
    <w:rsid w:val="00B174D7"/>
    <w:rsid w:val="00B1777F"/>
    <w:rsid w:val="00B17CFA"/>
    <w:rsid w:val="00B17D00"/>
    <w:rsid w:val="00B202AC"/>
    <w:rsid w:val="00B20997"/>
    <w:rsid w:val="00B223FA"/>
    <w:rsid w:val="00B22C24"/>
    <w:rsid w:val="00B22FA6"/>
    <w:rsid w:val="00B2304F"/>
    <w:rsid w:val="00B239F7"/>
    <w:rsid w:val="00B23DCE"/>
    <w:rsid w:val="00B24EF9"/>
    <w:rsid w:val="00B2564E"/>
    <w:rsid w:val="00B25DA8"/>
    <w:rsid w:val="00B25E8A"/>
    <w:rsid w:val="00B26EF3"/>
    <w:rsid w:val="00B272A0"/>
    <w:rsid w:val="00B27C84"/>
    <w:rsid w:val="00B27E09"/>
    <w:rsid w:val="00B310F2"/>
    <w:rsid w:val="00B31A4B"/>
    <w:rsid w:val="00B31A6A"/>
    <w:rsid w:val="00B322BC"/>
    <w:rsid w:val="00B325E2"/>
    <w:rsid w:val="00B32FDD"/>
    <w:rsid w:val="00B33937"/>
    <w:rsid w:val="00B347E7"/>
    <w:rsid w:val="00B34C4C"/>
    <w:rsid w:val="00B357A7"/>
    <w:rsid w:val="00B357CE"/>
    <w:rsid w:val="00B364AE"/>
    <w:rsid w:val="00B37441"/>
    <w:rsid w:val="00B40A20"/>
    <w:rsid w:val="00B40B49"/>
    <w:rsid w:val="00B4127E"/>
    <w:rsid w:val="00B41A57"/>
    <w:rsid w:val="00B41F27"/>
    <w:rsid w:val="00B41FFC"/>
    <w:rsid w:val="00B42C93"/>
    <w:rsid w:val="00B438D4"/>
    <w:rsid w:val="00B43E87"/>
    <w:rsid w:val="00B44684"/>
    <w:rsid w:val="00B44705"/>
    <w:rsid w:val="00B44912"/>
    <w:rsid w:val="00B44919"/>
    <w:rsid w:val="00B44AFB"/>
    <w:rsid w:val="00B456D0"/>
    <w:rsid w:val="00B457A3"/>
    <w:rsid w:val="00B45925"/>
    <w:rsid w:val="00B45D7D"/>
    <w:rsid w:val="00B4694A"/>
    <w:rsid w:val="00B46E53"/>
    <w:rsid w:val="00B4727C"/>
    <w:rsid w:val="00B474B4"/>
    <w:rsid w:val="00B47ADD"/>
    <w:rsid w:val="00B51118"/>
    <w:rsid w:val="00B511D6"/>
    <w:rsid w:val="00B5142C"/>
    <w:rsid w:val="00B51DB3"/>
    <w:rsid w:val="00B5231E"/>
    <w:rsid w:val="00B540D8"/>
    <w:rsid w:val="00B54369"/>
    <w:rsid w:val="00B54425"/>
    <w:rsid w:val="00B54DB8"/>
    <w:rsid w:val="00B54E73"/>
    <w:rsid w:val="00B57023"/>
    <w:rsid w:val="00B57BDF"/>
    <w:rsid w:val="00B60170"/>
    <w:rsid w:val="00B60A76"/>
    <w:rsid w:val="00B60B93"/>
    <w:rsid w:val="00B60F6E"/>
    <w:rsid w:val="00B610EE"/>
    <w:rsid w:val="00B61FAC"/>
    <w:rsid w:val="00B624AB"/>
    <w:rsid w:val="00B624CD"/>
    <w:rsid w:val="00B62A19"/>
    <w:rsid w:val="00B62FC7"/>
    <w:rsid w:val="00B63295"/>
    <w:rsid w:val="00B63BE8"/>
    <w:rsid w:val="00B63D7A"/>
    <w:rsid w:val="00B642CE"/>
    <w:rsid w:val="00B64628"/>
    <w:rsid w:val="00B64767"/>
    <w:rsid w:val="00B6491A"/>
    <w:rsid w:val="00B64928"/>
    <w:rsid w:val="00B6497B"/>
    <w:rsid w:val="00B64A63"/>
    <w:rsid w:val="00B64DB2"/>
    <w:rsid w:val="00B64E36"/>
    <w:rsid w:val="00B65A2F"/>
    <w:rsid w:val="00B6610E"/>
    <w:rsid w:val="00B66371"/>
    <w:rsid w:val="00B66522"/>
    <w:rsid w:val="00B677EC"/>
    <w:rsid w:val="00B67931"/>
    <w:rsid w:val="00B71AAB"/>
    <w:rsid w:val="00B71B32"/>
    <w:rsid w:val="00B71D31"/>
    <w:rsid w:val="00B71DDE"/>
    <w:rsid w:val="00B72139"/>
    <w:rsid w:val="00B7274C"/>
    <w:rsid w:val="00B72EC9"/>
    <w:rsid w:val="00B73560"/>
    <w:rsid w:val="00B73D59"/>
    <w:rsid w:val="00B73D6C"/>
    <w:rsid w:val="00B74066"/>
    <w:rsid w:val="00B743EC"/>
    <w:rsid w:val="00B747B8"/>
    <w:rsid w:val="00B74A44"/>
    <w:rsid w:val="00B74E70"/>
    <w:rsid w:val="00B75104"/>
    <w:rsid w:val="00B75FDA"/>
    <w:rsid w:val="00B76488"/>
    <w:rsid w:val="00B771E7"/>
    <w:rsid w:val="00B7737B"/>
    <w:rsid w:val="00B77421"/>
    <w:rsid w:val="00B778D6"/>
    <w:rsid w:val="00B80031"/>
    <w:rsid w:val="00B81634"/>
    <w:rsid w:val="00B81FAE"/>
    <w:rsid w:val="00B820BA"/>
    <w:rsid w:val="00B82CC0"/>
    <w:rsid w:val="00B82E12"/>
    <w:rsid w:val="00B83094"/>
    <w:rsid w:val="00B830CB"/>
    <w:rsid w:val="00B8344A"/>
    <w:rsid w:val="00B8367B"/>
    <w:rsid w:val="00B8398F"/>
    <w:rsid w:val="00B8413D"/>
    <w:rsid w:val="00B8419F"/>
    <w:rsid w:val="00B84ABD"/>
    <w:rsid w:val="00B856C6"/>
    <w:rsid w:val="00B85964"/>
    <w:rsid w:val="00B86A19"/>
    <w:rsid w:val="00B872AE"/>
    <w:rsid w:val="00B876D7"/>
    <w:rsid w:val="00B878BC"/>
    <w:rsid w:val="00B879BC"/>
    <w:rsid w:val="00B87C19"/>
    <w:rsid w:val="00B87C98"/>
    <w:rsid w:val="00B9005D"/>
    <w:rsid w:val="00B901DF"/>
    <w:rsid w:val="00B90385"/>
    <w:rsid w:val="00B904B3"/>
    <w:rsid w:val="00B91166"/>
    <w:rsid w:val="00B91952"/>
    <w:rsid w:val="00B93225"/>
    <w:rsid w:val="00B93278"/>
    <w:rsid w:val="00B93590"/>
    <w:rsid w:val="00B9377E"/>
    <w:rsid w:val="00B93A0D"/>
    <w:rsid w:val="00B93E70"/>
    <w:rsid w:val="00B93F3D"/>
    <w:rsid w:val="00B944AB"/>
    <w:rsid w:val="00B9468F"/>
    <w:rsid w:val="00B946CD"/>
    <w:rsid w:val="00B9511A"/>
    <w:rsid w:val="00B95509"/>
    <w:rsid w:val="00B95C39"/>
    <w:rsid w:val="00B962AE"/>
    <w:rsid w:val="00B962DE"/>
    <w:rsid w:val="00B96B6A"/>
    <w:rsid w:val="00B96BA4"/>
    <w:rsid w:val="00BA0011"/>
    <w:rsid w:val="00BA01DD"/>
    <w:rsid w:val="00BA0371"/>
    <w:rsid w:val="00BA0407"/>
    <w:rsid w:val="00BA06AD"/>
    <w:rsid w:val="00BA0E6A"/>
    <w:rsid w:val="00BA1657"/>
    <w:rsid w:val="00BA17AF"/>
    <w:rsid w:val="00BA2073"/>
    <w:rsid w:val="00BA3044"/>
    <w:rsid w:val="00BA395F"/>
    <w:rsid w:val="00BA3E9A"/>
    <w:rsid w:val="00BA3FE5"/>
    <w:rsid w:val="00BA4170"/>
    <w:rsid w:val="00BA4D39"/>
    <w:rsid w:val="00BA5362"/>
    <w:rsid w:val="00BA5F90"/>
    <w:rsid w:val="00BA5FE1"/>
    <w:rsid w:val="00BA6398"/>
    <w:rsid w:val="00BA66EA"/>
    <w:rsid w:val="00BA6C20"/>
    <w:rsid w:val="00BA6F34"/>
    <w:rsid w:val="00BA7035"/>
    <w:rsid w:val="00BA71C7"/>
    <w:rsid w:val="00BA71DE"/>
    <w:rsid w:val="00BA79CC"/>
    <w:rsid w:val="00BB0593"/>
    <w:rsid w:val="00BB0832"/>
    <w:rsid w:val="00BB0BF2"/>
    <w:rsid w:val="00BB0EC9"/>
    <w:rsid w:val="00BB114D"/>
    <w:rsid w:val="00BB229C"/>
    <w:rsid w:val="00BB2582"/>
    <w:rsid w:val="00BB2B34"/>
    <w:rsid w:val="00BB3BB6"/>
    <w:rsid w:val="00BB415E"/>
    <w:rsid w:val="00BB63A9"/>
    <w:rsid w:val="00BB6ACD"/>
    <w:rsid w:val="00BB6DFC"/>
    <w:rsid w:val="00BB7FE9"/>
    <w:rsid w:val="00BC0524"/>
    <w:rsid w:val="00BC0C70"/>
    <w:rsid w:val="00BC1925"/>
    <w:rsid w:val="00BC1F47"/>
    <w:rsid w:val="00BC2631"/>
    <w:rsid w:val="00BC2CDC"/>
    <w:rsid w:val="00BC2DD5"/>
    <w:rsid w:val="00BC329D"/>
    <w:rsid w:val="00BC3677"/>
    <w:rsid w:val="00BC3A49"/>
    <w:rsid w:val="00BC435C"/>
    <w:rsid w:val="00BC50E0"/>
    <w:rsid w:val="00BC5496"/>
    <w:rsid w:val="00BC5D4A"/>
    <w:rsid w:val="00BC5DA5"/>
    <w:rsid w:val="00BC6877"/>
    <w:rsid w:val="00BC7004"/>
    <w:rsid w:val="00BC7C80"/>
    <w:rsid w:val="00BD0227"/>
    <w:rsid w:val="00BD043B"/>
    <w:rsid w:val="00BD078B"/>
    <w:rsid w:val="00BD08AD"/>
    <w:rsid w:val="00BD0B10"/>
    <w:rsid w:val="00BD117D"/>
    <w:rsid w:val="00BD12EC"/>
    <w:rsid w:val="00BD162B"/>
    <w:rsid w:val="00BD1B5D"/>
    <w:rsid w:val="00BD1EFB"/>
    <w:rsid w:val="00BD20F6"/>
    <w:rsid w:val="00BD228E"/>
    <w:rsid w:val="00BD29A2"/>
    <w:rsid w:val="00BD2D34"/>
    <w:rsid w:val="00BD3230"/>
    <w:rsid w:val="00BD3560"/>
    <w:rsid w:val="00BD37AF"/>
    <w:rsid w:val="00BD4519"/>
    <w:rsid w:val="00BD4C79"/>
    <w:rsid w:val="00BD573A"/>
    <w:rsid w:val="00BD61A1"/>
    <w:rsid w:val="00BD6742"/>
    <w:rsid w:val="00BD6956"/>
    <w:rsid w:val="00BD6B4C"/>
    <w:rsid w:val="00BD7130"/>
    <w:rsid w:val="00BD7407"/>
    <w:rsid w:val="00BD7744"/>
    <w:rsid w:val="00BD7D87"/>
    <w:rsid w:val="00BD7EFD"/>
    <w:rsid w:val="00BE020E"/>
    <w:rsid w:val="00BE054C"/>
    <w:rsid w:val="00BE0960"/>
    <w:rsid w:val="00BE0A47"/>
    <w:rsid w:val="00BE0ABE"/>
    <w:rsid w:val="00BE0F64"/>
    <w:rsid w:val="00BE190F"/>
    <w:rsid w:val="00BE1F1B"/>
    <w:rsid w:val="00BE27E2"/>
    <w:rsid w:val="00BE2EC4"/>
    <w:rsid w:val="00BE3939"/>
    <w:rsid w:val="00BE5E93"/>
    <w:rsid w:val="00BE6127"/>
    <w:rsid w:val="00BE7023"/>
    <w:rsid w:val="00BE7085"/>
    <w:rsid w:val="00BE717C"/>
    <w:rsid w:val="00BE722B"/>
    <w:rsid w:val="00BE7231"/>
    <w:rsid w:val="00BE74A9"/>
    <w:rsid w:val="00BF05A0"/>
    <w:rsid w:val="00BF09E6"/>
    <w:rsid w:val="00BF150A"/>
    <w:rsid w:val="00BF23BF"/>
    <w:rsid w:val="00BF2A23"/>
    <w:rsid w:val="00BF2CBE"/>
    <w:rsid w:val="00BF30C9"/>
    <w:rsid w:val="00BF39E3"/>
    <w:rsid w:val="00BF3AA8"/>
    <w:rsid w:val="00BF3ADE"/>
    <w:rsid w:val="00BF3AE1"/>
    <w:rsid w:val="00BF3B93"/>
    <w:rsid w:val="00BF42D4"/>
    <w:rsid w:val="00BF4319"/>
    <w:rsid w:val="00BF4C4B"/>
    <w:rsid w:val="00BF4DB5"/>
    <w:rsid w:val="00BF4E6C"/>
    <w:rsid w:val="00BF54B3"/>
    <w:rsid w:val="00BF5642"/>
    <w:rsid w:val="00BF5A04"/>
    <w:rsid w:val="00BF656E"/>
    <w:rsid w:val="00BF6AF9"/>
    <w:rsid w:val="00BF6D5F"/>
    <w:rsid w:val="00BF70DA"/>
    <w:rsid w:val="00C000F5"/>
    <w:rsid w:val="00C00215"/>
    <w:rsid w:val="00C0077F"/>
    <w:rsid w:val="00C012BD"/>
    <w:rsid w:val="00C0140D"/>
    <w:rsid w:val="00C01542"/>
    <w:rsid w:val="00C025D2"/>
    <w:rsid w:val="00C03AB8"/>
    <w:rsid w:val="00C03B6A"/>
    <w:rsid w:val="00C03B76"/>
    <w:rsid w:val="00C03BB8"/>
    <w:rsid w:val="00C04097"/>
    <w:rsid w:val="00C041D4"/>
    <w:rsid w:val="00C053B9"/>
    <w:rsid w:val="00C05828"/>
    <w:rsid w:val="00C064B4"/>
    <w:rsid w:val="00C06C07"/>
    <w:rsid w:val="00C06C13"/>
    <w:rsid w:val="00C06FD7"/>
    <w:rsid w:val="00C07111"/>
    <w:rsid w:val="00C073AB"/>
    <w:rsid w:val="00C077C2"/>
    <w:rsid w:val="00C07840"/>
    <w:rsid w:val="00C10428"/>
    <w:rsid w:val="00C10A5F"/>
    <w:rsid w:val="00C10CBE"/>
    <w:rsid w:val="00C111DD"/>
    <w:rsid w:val="00C117AD"/>
    <w:rsid w:val="00C11C66"/>
    <w:rsid w:val="00C122F6"/>
    <w:rsid w:val="00C12556"/>
    <w:rsid w:val="00C12A30"/>
    <w:rsid w:val="00C12AE6"/>
    <w:rsid w:val="00C12DAB"/>
    <w:rsid w:val="00C12EC8"/>
    <w:rsid w:val="00C134BB"/>
    <w:rsid w:val="00C13F12"/>
    <w:rsid w:val="00C13F85"/>
    <w:rsid w:val="00C1497D"/>
    <w:rsid w:val="00C15152"/>
    <w:rsid w:val="00C15259"/>
    <w:rsid w:val="00C154BF"/>
    <w:rsid w:val="00C154FE"/>
    <w:rsid w:val="00C15CC3"/>
    <w:rsid w:val="00C16791"/>
    <w:rsid w:val="00C16F20"/>
    <w:rsid w:val="00C173C8"/>
    <w:rsid w:val="00C20087"/>
    <w:rsid w:val="00C20C37"/>
    <w:rsid w:val="00C2114D"/>
    <w:rsid w:val="00C21221"/>
    <w:rsid w:val="00C214FF"/>
    <w:rsid w:val="00C218F6"/>
    <w:rsid w:val="00C21F13"/>
    <w:rsid w:val="00C2294B"/>
    <w:rsid w:val="00C22AAB"/>
    <w:rsid w:val="00C22E4D"/>
    <w:rsid w:val="00C23066"/>
    <w:rsid w:val="00C239EF"/>
    <w:rsid w:val="00C24495"/>
    <w:rsid w:val="00C25638"/>
    <w:rsid w:val="00C260F2"/>
    <w:rsid w:val="00C26964"/>
    <w:rsid w:val="00C269A5"/>
    <w:rsid w:val="00C27363"/>
    <w:rsid w:val="00C2757E"/>
    <w:rsid w:val="00C277F5"/>
    <w:rsid w:val="00C2787C"/>
    <w:rsid w:val="00C27AF0"/>
    <w:rsid w:val="00C30705"/>
    <w:rsid w:val="00C3173A"/>
    <w:rsid w:val="00C31E5B"/>
    <w:rsid w:val="00C31ED2"/>
    <w:rsid w:val="00C3229E"/>
    <w:rsid w:val="00C32A6B"/>
    <w:rsid w:val="00C33038"/>
    <w:rsid w:val="00C331A6"/>
    <w:rsid w:val="00C333E4"/>
    <w:rsid w:val="00C33B50"/>
    <w:rsid w:val="00C33C7A"/>
    <w:rsid w:val="00C34A3A"/>
    <w:rsid w:val="00C34FBC"/>
    <w:rsid w:val="00C352FC"/>
    <w:rsid w:val="00C354B1"/>
    <w:rsid w:val="00C3586D"/>
    <w:rsid w:val="00C35897"/>
    <w:rsid w:val="00C35B4C"/>
    <w:rsid w:val="00C363C3"/>
    <w:rsid w:val="00C366AE"/>
    <w:rsid w:val="00C36A66"/>
    <w:rsid w:val="00C36AC9"/>
    <w:rsid w:val="00C40B40"/>
    <w:rsid w:val="00C413C6"/>
    <w:rsid w:val="00C41972"/>
    <w:rsid w:val="00C41AA3"/>
    <w:rsid w:val="00C41E0F"/>
    <w:rsid w:val="00C4378C"/>
    <w:rsid w:val="00C43E46"/>
    <w:rsid w:val="00C44CC5"/>
    <w:rsid w:val="00C44F18"/>
    <w:rsid w:val="00C44F41"/>
    <w:rsid w:val="00C4590F"/>
    <w:rsid w:val="00C46022"/>
    <w:rsid w:val="00C46C94"/>
    <w:rsid w:val="00C46EBF"/>
    <w:rsid w:val="00C476C5"/>
    <w:rsid w:val="00C477BA"/>
    <w:rsid w:val="00C47D88"/>
    <w:rsid w:val="00C47DCB"/>
    <w:rsid w:val="00C47E03"/>
    <w:rsid w:val="00C50081"/>
    <w:rsid w:val="00C500E8"/>
    <w:rsid w:val="00C5015A"/>
    <w:rsid w:val="00C5036E"/>
    <w:rsid w:val="00C51A7A"/>
    <w:rsid w:val="00C53049"/>
    <w:rsid w:val="00C5350E"/>
    <w:rsid w:val="00C54859"/>
    <w:rsid w:val="00C560A3"/>
    <w:rsid w:val="00C562E6"/>
    <w:rsid w:val="00C56ABF"/>
    <w:rsid w:val="00C56ADA"/>
    <w:rsid w:val="00C57212"/>
    <w:rsid w:val="00C57FC7"/>
    <w:rsid w:val="00C60AE4"/>
    <w:rsid w:val="00C60BD2"/>
    <w:rsid w:val="00C60D26"/>
    <w:rsid w:val="00C61101"/>
    <w:rsid w:val="00C6116F"/>
    <w:rsid w:val="00C6137E"/>
    <w:rsid w:val="00C618C8"/>
    <w:rsid w:val="00C61D53"/>
    <w:rsid w:val="00C61E79"/>
    <w:rsid w:val="00C62695"/>
    <w:rsid w:val="00C63524"/>
    <w:rsid w:val="00C636C1"/>
    <w:rsid w:val="00C63A70"/>
    <w:rsid w:val="00C63AFA"/>
    <w:rsid w:val="00C63F6E"/>
    <w:rsid w:val="00C641D9"/>
    <w:rsid w:val="00C644C4"/>
    <w:rsid w:val="00C64D7A"/>
    <w:rsid w:val="00C65A1D"/>
    <w:rsid w:val="00C65AE8"/>
    <w:rsid w:val="00C666F8"/>
    <w:rsid w:val="00C66ADE"/>
    <w:rsid w:val="00C67601"/>
    <w:rsid w:val="00C67642"/>
    <w:rsid w:val="00C677CF"/>
    <w:rsid w:val="00C67BD2"/>
    <w:rsid w:val="00C7027C"/>
    <w:rsid w:val="00C7032C"/>
    <w:rsid w:val="00C70D1C"/>
    <w:rsid w:val="00C714CE"/>
    <w:rsid w:val="00C71C6B"/>
    <w:rsid w:val="00C7263B"/>
    <w:rsid w:val="00C7373C"/>
    <w:rsid w:val="00C74409"/>
    <w:rsid w:val="00C7513C"/>
    <w:rsid w:val="00C753C4"/>
    <w:rsid w:val="00C758D9"/>
    <w:rsid w:val="00C75957"/>
    <w:rsid w:val="00C75A12"/>
    <w:rsid w:val="00C769FE"/>
    <w:rsid w:val="00C774B2"/>
    <w:rsid w:val="00C77AB3"/>
    <w:rsid w:val="00C77BD2"/>
    <w:rsid w:val="00C77EEF"/>
    <w:rsid w:val="00C77FE4"/>
    <w:rsid w:val="00C80442"/>
    <w:rsid w:val="00C80C9A"/>
    <w:rsid w:val="00C82007"/>
    <w:rsid w:val="00C822D7"/>
    <w:rsid w:val="00C827D8"/>
    <w:rsid w:val="00C82E86"/>
    <w:rsid w:val="00C84723"/>
    <w:rsid w:val="00C858A8"/>
    <w:rsid w:val="00C8644D"/>
    <w:rsid w:val="00C86B7D"/>
    <w:rsid w:val="00C86D45"/>
    <w:rsid w:val="00C87134"/>
    <w:rsid w:val="00C873FD"/>
    <w:rsid w:val="00C87D25"/>
    <w:rsid w:val="00C90100"/>
    <w:rsid w:val="00C90183"/>
    <w:rsid w:val="00C903A9"/>
    <w:rsid w:val="00C903ED"/>
    <w:rsid w:val="00C90C29"/>
    <w:rsid w:val="00C9120D"/>
    <w:rsid w:val="00C91E7D"/>
    <w:rsid w:val="00C92729"/>
    <w:rsid w:val="00C928FC"/>
    <w:rsid w:val="00C92E7E"/>
    <w:rsid w:val="00C93462"/>
    <w:rsid w:val="00C9362C"/>
    <w:rsid w:val="00C939B1"/>
    <w:rsid w:val="00C93D1D"/>
    <w:rsid w:val="00C93F0E"/>
    <w:rsid w:val="00C94170"/>
    <w:rsid w:val="00C945EF"/>
    <w:rsid w:val="00C946C0"/>
    <w:rsid w:val="00C94B57"/>
    <w:rsid w:val="00C950B1"/>
    <w:rsid w:val="00C951C3"/>
    <w:rsid w:val="00C95359"/>
    <w:rsid w:val="00C954D2"/>
    <w:rsid w:val="00C9550A"/>
    <w:rsid w:val="00C96365"/>
    <w:rsid w:val="00C9684B"/>
    <w:rsid w:val="00C9736B"/>
    <w:rsid w:val="00C97706"/>
    <w:rsid w:val="00C9772E"/>
    <w:rsid w:val="00C97F68"/>
    <w:rsid w:val="00CA00C4"/>
    <w:rsid w:val="00CA0508"/>
    <w:rsid w:val="00CA06EC"/>
    <w:rsid w:val="00CA1563"/>
    <w:rsid w:val="00CA1BDF"/>
    <w:rsid w:val="00CA1DFB"/>
    <w:rsid w:val="00CA20F6"/>
    <w:rsid w:val="00CA2EB3"/>
    <w:rsid w:val="00CA3ABB"/>
    <w:rsid w:val="00CA3E7E"/>
    <w:rsid w:val="00CA4663"/>
    <w:rsid w:val="00CA4D14"/>
    <w:rsid w:val="00CA67FD"/>
    <w:rsid w:val="00CA6E9B"/>
    <w:rsid w:val="00CA7D05"/>
    <w:rsid w:val="00CB00F6"/>
    <w:rsid w:val="00CB16AB"/>
    <w:rsid w:val="00CB17A7"/>
    <w:rsid w:val="00CB1DE4"/>
    <w:rsid w:val="00CB24A9"/>
    <w:rsid w:val="00CB2BCC"/>
    <w:rsid w:val="00CB3128"/>
    <w:rsid w:val="00CB4110"/>
    <w:rsid w:val="00CB4863"/>
    <w:rsid w:val="00CB4E24"/>
    <w:rsid w:val="00CB50C1"/>
    <w:rsid w:val="00CB511A"/>
    <w:rsid w:val="00CB5413"/>
    <w:rsid w:val="00CB66ED"/>
    <w:rsid w:val="00CB6C59"/>
    <w:rsid w:val="00CB6CE5"/>
    <w:rsid w:val="00CB6DAA"/>
    <w:rsid w:val="00CB6F9B"/>
    <w:rsid w:val="00CB7B86"/>
    <w:rsid w:val="00CB7CF5"/>
    <w:rsid w:val="00CB7F32"/>
    <w:rsid w:val="00CC0469"/>
    <w:rsid w:val="00CC0901"/>
    <w:rsid w:val="00CC17FE"/>
    <w:rsid w:val="00CC1F1A"/>
    <w:rsid w:val="00CC21A4"/>
    <w:rsid w:val="00CC227B"/>
    <w:rsid w:val="00CC2C65"/>
    <w:rsid w:val="00CC317E"/>
    <w:rsid w:val="00CC3A00"/>
    <w:rsid w:val="00CC3CD1"/>
    <w:rsid w:val="00CC5320"/>
    <w:rsid w:val="00CC56F4"/>
    <w:rsid w:val="00CC5CFE"/>
    <w:rsid w:val="00CC5EC9"/>
    <w:rsid w:val="00CC637A"/>
    <w:rsid w:val="00CD04D5"/>
    <w:rsid w:val="00CD115D"/>
    <w:rsid w:val="00CD1778"/>
    <w:rsid w:val="00CD18A7"/>
    <w:rsid w:val="00CD388C"/>
    <w:rsid w:val="00CD3970"/>
    <w:rsid w:val="00CD3FA3"/>
    <w:rsid w:val="00CD59BF"/>
    <w:rsid w:val="00CD6203"/>
    <w:rsid w:val="00CD6207"/>
    <w:rsid w:val="00CD7116"/>
    <w:rsid w:val="00CD739F"/>
    <w:rsid w:val="00CE0192"/>
    <w:rsid w:val="00CE0616"/>
    <w:rsid w:val="00CE279B"/>
    <w:rsid w:val="00CE28A5"/>
    <w:rsid w:val="00CE2C88"/>
    <w:rsid w:val="00CE2C8B"/>
    <w:rsid w:val="00CE2D36"/>
    <w:rsid w:val="00CE3AAD"/>
    <w:rsid w:val="00CE3DB4"/>
    <w:rsid w:val="00CE3DC5"/>
    <w:rsid w:val="00CE432E"/>
    <w:rsid w:val="00CE447B"/>
    <w:rsid w:val="00CE522D"/>
    <w:rsid w:val="00CE5357"/>
    <w:rsid w:val="00CE5427"/>
    <w:rsid w:val="00CE5654"/>
    <w:rsid w:val="00CE59D7"/>
    <w:rsid w:val="00CE6110"/>
    <w:rsid w:val="00CE6B81"/>
    <w:rsid w:val="00CE6FA5"/>
    <w:rsid w:val="00CE71CE"/>
    <w:rsid w:val="00CE7541"/>
    <w:rsid w:val="00CE7BF6"/>
    <w:rsid w:val="00CF0240"/>
    <w:rsid w:val="00CF04C2"/>
    <w:rsid w:val="00CF0D12"/>
    <w:rsid w:val="00CF0F76"/>
    <w:rsid w:val="00CF11B5"/>
    <w:rsid w:val="00CF1E03"/>
    <w:rsid w:val="00CF1E35"/>
    <w:rsid w:val="00CF2C4C"/>
    <w:rsid w:val="00CF2D1D"/>
    <w:rsid w:val="00CF370F"/>
    <w:rsid w:val="00CF41BE"/>
    <w:rsid w:val="00CF4701"/>
    <w:rsid w:val="00CF4FA2"/>
    <w:rsid w:val="00CF569C"/>
    <w:rsid w:val="00CF7052"/>
    <w:rsid w:val="00CF74A6"/>
    <w:rsid w:val="00CF7DA0"/>
    <w:rsid w:val="00D00308"/>
    <w:rsid w:val="00D003F6"/>
    <w:rsid w:val="00D00800"/>
    <w:rsid w:val="00D00BE0"/>
    <w:rsid w:val="00D01974"/>
    <w:rsid w:val="00D01FD5"/>
    <w:rsid w:val="00D022F1"/>
    <w:rsid w:val="00D02A59"/>
    <w:rsid w:val="00D02CE9"/>
    <w:rsid w:val="00D039FF"/>
    <w:rsid w:val="00D04934"/>
    <w:rsid w:val="00D04B44"/>
    <w:rsid w:val="00D05221"/>
    <w:rsid w:val="00D0569B"/>
    <w:rsid w:val="00D05B28"/>
    <w:rsid w:val="00D069C7"/>
    <w:rsid w:val="00D06DBB"/>
    <w:rsid w:val="00D06FFA"/>
    <w:rsid w:val="00D07766"/>
    <w:rsid w:val="00D07956"/>
    <w:rsid w:val="00D1037C"/>
    <w:rsid w:val="00D1078F"/>
    <w:rsid w:val="00D10AC4"/>
    <w:rsid w:val="00D11284"/>
    <w:rsid w:val="00D116FD"/>
    <w:rsid w:val="00D12F27"/>
    <w:rsid w:val="00D1314F"/>
    <w:rsid w:val="00D13917"/>
    <w:rsid w:val="00D14578"/>
    <w:rsid w:val="00D1504D"/>
    <w:rsid w:val="00D15E88"/>
    <w:rsid w:val="00D16116"/>
    <w:rsid w:val="00D162B9"/>
    <w:rsid w:val="00D16799"/>
    <w:rsid w:val="00D16D49"/>
    <w:rsid w:val="00D16DD0"/>
    <w:rsid w:val="00D17148"/>
    <w:rsid w:val="00D173BF"/>
    <w:rsid w:val="00D22208"/>
    <w:rsid w:val="00D22D72"/>
    <w:rsid w:val="00D22D94"/>
    <w:rsid w:val="00D2307D"/>
    <w:rsid w:val="00D234D8"/>
    <w:rsid w:val="00D23DC2"/>
    <w:rsid w:val="00D23E9C"/>
    <w:rsid w:val="00D24832"/>
    <w:rsid w:val="00D24D98"/>
    <w:rsid w:val="00D24DA7"/>
    <w:rsid w:val="00D251B1"/>
    <w:rsid w:val="00D26740"/>
    <w:rsid w:val="00D26C6E"/>
    <w:rsid w:val="00D27107"/>
    <w:rsid w:val="00D271BA"/>
    <w:rsid w:val="00D27804"/>
    <w:rsid w:val="00D2788E"/>
    <w:rsid w:val="00D27898"/>
    <w:rsid w:val="00D30150"/>
    <w:rsid w:val="00D3080B"/>
    <w:rsid w:val="00D30AAE"/>
    <w:rsid w:val="00D31ACF"/>
    <w:rsid w:val="00D325DF"/>
    <w:rsid w:val="00D326DA"/>
    <w:rsid w:val="00D33483"/>
    <w:rsid w:val="00D3374F"/>
    <w:rsid w:val="00D33822"/>
    <w:rsid w:val="00D33AE0"/>
    <w:rsid w:val="00D34B2A"/>
    <w:rsid w:val="00D37342"/>
    <w:rsid w:val="00D37457"/>
    <w:rsid w:val="00D37C68"/>
    <w:rsid w:val="00D37DDF"/>
    <w:rsid w:val="00D40931"/>
    <w:rsid w:val="00D40ADD"/>
    <w:rsid w:val="00D4144C"/>
    <w:rsid w:val="00D41A0E"/>
    <w:rsid w:val="00D41D3B"/>
    <w:rsid w:val="00D41DD4"/>
    <w:rsid w:val="00D42330"/>
    <w:rsid w:val="00D42A2E"/>
    <w:rsid w:val="00D42A45"/>
    <w:rsid w:val="00D4347E"/>
    <w:rsid w:val="00D4363E"/>
    <w:rsid w:val="00D44265"/>
    <w:rsid w:val="00D444D2"/>
    <w:rsid w:val="00D455B0"/>
    <w:rsid w:val="00D4623A"/>
    <w:rsid w:val="00D46640"/>
    <w:rsid w:val="00D46845"/>
    <w:rsid w:val="00D51033"/>
    <w:rsid w:val="00D513FD"/>
    <w:rsid w:val="00D5182D"/>
    <w:rsid w:val="00D5206C"/>
    <w:rsid w:val="00D5249A"/>
    <w:rsid w:val="00D527E9"/>
    <w:rsid w:val="00D52E6E"/>
    <w:rsid w:val="00D539DA"/>
    <w:rsid w:val="00D539E0"/>
    <w:rsid w:val="00D53C49"/>
    <w:rsid w:val="00D55114"/>
    <w:rsid w:val="00D551A7"/>
    <w:rsid w:val="00D55D8C"/>
    <w:rsid w:val="00D564BD"/>
    <w:rsid w:val="00D56F33"/>
    <w:rsid w:val="00D57E7B"/>
    <w:rsid w:val="00D600C9"/>
    <w:rsid w:val="00D60115"/>
    <w:rsid w:val="00D60757"/>
    <w:rsid w:val="00D60941"/>
    <w:rsid w:val="00D61261"/>
    <w:rsid w:val="00D61CFE"/>
    <w:rsid w:val="00D62549"/>
    <w:rsid w:val="00D629F0"/>
    <w:rsid w:val="00D65076"/>
    <w:rsid w:val="00D65CCF"/>
    <w:rsid w:val="00D66BC9"/>
    <w:rsid w:val="00D6721E"/>
    <w:rsid w:val="00D67882"/>
    <w:rsid w:val="00D679F0"/>
    <w:rsid w:val="00D67A25"/>
    <w:rsid w:val="00D67A45"/>
    <w:rsid w:val="00D704CB"/>
    <w:rsid w:val="00D7066A"/>
    <w:rsid w:val="00D70834"/>
    <w:rsid w:val="00D71448"/>
    <w:rsid w:val="00D7169E"/>
    <w:rsid w:val="00D71CB7"/>
    <w:rsid w:val="00D721DC"/>
    <w:rsid w:val="00D7263E"/>
    <w:rsid w:val="00D72763"/>
    <w:rsid w:val="00D7393B"/>
    <w:rsid w:val="00D73DE9"/>
    <w:rsid w:val="00D7402C"/>
    <w:rsid w:val="00D74C06"/>
    <w:rsid w:val="00D74F70"/>
    <w:rsid w:val="00D7547F"/>
    <w:rsid w:val="00D759E2"/>
    <w:rsid w:val="00D76B86"/>
    <w:rsid w:val="00D771D0"/>
    <w:rsid w:val="00D774C6"/>
    <w:rsid w:val="00D775CE"/>
    <w:rsid w:val="00D8065F"/>
    <w:rsid w:val="00D80C8C"/>
    <w:rsid w:val="00D80F2B"/>
    <w:rsid w:val="00D816EA"/>
    <w:rsid w:val="00D82330"/>
    <w:rsid w:val="00D839D0"/>
    <w:rsid w:val="00D840A2"/>
    <w:rsid w:val="00D84B6E"/>
    <w:rsid w:val="00D85CFB"/>
    <w:rsid w:val="00D86180"/>
    <w:rsid w:val="00D863E8"/>
    <w:rsid w:val="00D869A0"/>
    <w:rsid w:val="00D86A53"/>
    <w:rsid w:val="00D87901"/>
    <w:rsid w:val="00D9049D"/>
    <w:rsid w:val="00D90FA2"/>
    <w:rsid w:val="00D9144F"/>
    <w:rsid w:val="00D91D4A"/>
    <w:rsid w:val="00D91E52"/>
    <w:rsid w:val="00D92ABB"/>
    <w:rsid w:val="00D92B11"/>
    <w:rsid w:val="00D93F27"/>
    <w:rsid w:val="00D94028"/>
    <w:rsid w:val="00D94449"/>
    <w:rsid w:val="00D949D0"/>
    <w:rsid w:val="00D952CD"/>
    <w:rsid w:val="00D956A0"/>
    <w:rsid w:val="00D95951"/>
    <w:rsid w:val="00D95A4C"/>
    <w:rsid w:val="00D96273"/>
    <w:rsid w:val="00D969FD"/>
    <w:rsid w:val="00D979DD"/>
    <w:rsid w:val="00D97C5F"/>
    <w:rsid w:val="00D97E3A"/>
    <w:rsid w:val="00DA1F10"/>
    <w:rsid w:val="00DA1F7B"/>
    <w:rsid w:val="00DA3142"/>
    <w:rsid w:val="00DA32BD"/>
    <w:rsid w:val="00DA33F8"/>
    <w:rsid w:val="00DA3AF1"/>
    <w:rsid w:val="00DA3E28"/>
    <w:rsid w:val="00DA41D0"/>
    <w:rsid w:val="00DA42B9"/>
    <w:rsid w:val="00DA466B"/>
    <w:rsid w:val="00DA49A6"/>
    <w:rsid w:val="00DA4E64"/>
    <w:rsid w:val="00DA4EEA"/>
    <w:rsid w:val="00DA56C2"/>
    <w:rsid w:val="00DA58D9"/>
    <w:rsid w:val="00DA5B28"/>
    <w:rsid w:val="00DA6F5C"/>
    <w:rsid w:val="00DA71F4"/>
    <w:rsid w:val="00DA71FA"/>
    <w:rsid w:val="00DA7624"/>
    <w:rsid w:val="00DA7C3B"/>
    <w:rsid w:val="00DB06F5"/>
    <w:rsid w:val="00DB0BAF"/>
    <w:rsid w:val="00DB10E6"/>
    <w:rsid w:val="00DB19B4"/>
    <w:rsid w:val="00DB29DA"/>
    <w:rsid w:val="00DB2DD6"/>
    <w:rsid w:val="00DB2F2E"/>
    <w:rsid w:val="00DB3148"/>
    <w:rsid w:val="00DB37C5"/>
    <w:rsid w:val="00DB3AAA"/>
    <w:rsid w:val="00DB3D55"/>
    <w:rsid w:val="00DB447C"/>
    <w:rsid w:val="00DB4CF7"/>
    <w:rsid w:val="00DB5CB9"/>
    <w:rsid w:val="00DB64DA"/>
    <w:rsid w:val="00DB66AE"/>
    <w:rsid w:val="00DB7D8F"/>
    <w:rsid w:val="00DC01C1"/>
    <w:rsid w:val="00DC01FC"/>
    <w:rsid w:val="00DC03E9"/>
    <w:rsid w:val="00DC0CB7"/>
    <w:rsid w:val="00DC0EED"/>
    <w:rsid w:val="00DC1206"/>
    <w:rsid w:val="00DC1551"/>
    <w:rsid w:val="00DC16E9"/>
    <w:rsid w:val="00DC40A2"/>
    <w:rsid w:val="00DC4116"/>
    <w:rsid w:val="00DC53D0"/>
    <w:rsid w:val="00DC57D8"/>
    <w:rsid w:val="00DC5AEF"/>
    <w:rsid w:val="00DC6269"/>
    <w:rsid w:val="00DC6C50"/>
    <w:rsid w:val="00DC7073"/>
    <w:rsid w:val="00DC7A29"/>
    <w:rsid w:val="00DD021E"/>
    <w:rsid w:val="00DD11C8"/>
    <w:rsid w:val="00DD129F"/>
    <w:rsid w:val="00DD1F79"/>
    <w:rsid w:val="00DD25F1"/>
    <w:rsid w:val="00DD2885"/>
    <w:rsid w:val="00DD2DA4"/>
    <w:rsid w:val="00DD2EB5"/>
    <w:rsid w:val="00DD307C"/>
    <w:rsid w:val="00DD37EC"/>
    <w:rsid w:val="00DD394D"/>
    <w:rsid w:val="00DD5DB3"/>
    <w:rsid w:val="00DD614C"/>
    <w:rsid w:val="00DD6A55"/>
    <w:rsid w:val="00DD6B41"/>
    <w:rsid w:val="00DD6C3D"/>
    <w:rsid w:val="00DD71BF"/>
    <w:rsid w:val="00DD7663"/>
    <w:rsid w:val="00DE0065"/>
    <w:rsid w:val="00DE04FA"/>
    <w:rsid w:val="00DE0985"/>
    <w:rsid w:val="00DE0B4E"/>
    <w:rsid w:val="00DE2088"/>
    <w:rsid w:val="00DE3008"/>
    <w:rsid w:val="00DE316B"/>
    <w:rsid w:val="00DE33B9"/>
    <w:rsid w:val="00DE3708"/>
    <w:rsid w:val="00DE390A"/>
    <w:rsid w:val="00DE3DAA"/>
    <w:rsid w:val="00DE46A9"/>
    <w:rsid w:val="00DE49DF"/>
    <w:rsid w:val="00DE63C4"/>
    <w:rsid w:val="00DE6501"/>
    <w:rsid w:val="00DE6F6C"/>
    <w:rsid w:val="00DE742D"/>
    <w:rsid w:val="00DE7A28"/>
    <w:rsid w:val="00DE7B5A"/>
    <w:rsid w:val="00DF0240"/>
    <w:rsid w:val="00DF0A9B"/>
    <w:rsid w:val="00DF0B0C"/>
    <w:rsid w:val="00DF0B51"/>
    <w:rsid w:val="00DF1039"/>
    <w:rsid w:val="00DF292D"/>
    <w:rsid w:val="00DF353C"/>
    <w:rsid w:val="00DF35B4"/>
    <w:rsid w:val="00DF36F6"/>
    <w:rsid w:val="00DF3D11"/>
    <w:rsid w:val="00DF5E55"/>
    <w:rsid w:val="00DF642C"/>
    <w:rsid w:val="00DF752E"/>
    <w:rsid w:val="00DF7FCF"/>
    <w:rsid w:val="00E004CA"/>
    <w:rsid w:val="00E010FA"/>
    <w:rsid w:val="00E01303"/>
    <w:rsid w:val="00E014C2"/>
    <w:rsid w:val="00E017D7"/>
    <w:rsid w:val="00E01BBC"/>
    <w:rsid w:val="00E01C1E"/>
    <w:rsid w:val="00E01C3D"/>
    <w:rsid w:val="00E01CCC"/>
    <w:rsid w:val="00E02A50"/>
    <w:rsid w:val="00E032D8"/>
    <w:rsid w:val="00E033B4"/>
    <w:rsid w:val="00E033F0"/>
    <w:rsid w:val="00E03577"/>
    <w:rsid w:val="00E03991"/>
    <w:rsid w:val="00E03CB7"/>
    <w:rsid w:val="00E03FDA"/>
    <w:rsid w:val="00E03FFB"/>
    <w:rsid w:val="00E04AC0"/>
    <w:rsid w:val="00E04EAD"/>
    <w:rsid w:val="00E0589A"/>
    <w:rsid w:val="00E05DE2"/>
    <w:rsid w:val="00E0742D"/>
    <w:rsid w:val="00E0796E"/>
    <w:rsid w:val="00E07ABC"/>
    <w:rsid w:val="00E10A7D"/>
    <w:rsid w:val="00E10B27"/>
    <w:rsid w:val="00E10FB2"/>
    <w:rsid w:val="00E1106C"/>
    <w:rsid w:val="00E113CB"/>
    <w:rsid w:val="00E11435"/>
    <w:rsid w:val="00E11DD6"/>
    <w:rsid w:val="00E11F3F"/>
    <w:rsid w:val="00E11FA5"/>
    <w:rsid w:val="00E1219B"/>
    <w:rsid w:val="00E12679"/>
    <w:rsid w:val="00E12826"/>
    <w:rsid w:val="00E12BFD"/>
    <w:rsid w:val="00E1340B"/>
    <w:rsid w:val="00E134A4"/>
    <w:rsid w:val="00E1362A"/>
    <w:rsid w:val="00E13CD0"/>
    <w:rsid w:val="00E14572"/>
    <w:rsid w:val="00E148AD"/>
    <w:rsid w:val="00E14B86"/>
    <w:rsid w:val="00E15125"/>
    <w:rsid w:val="00E1580A"/>
    <w:rsid w:val="00E15AC7"/>
    <w:rsid w:val="00E15F16"/>
    <w:rsid w:val="00E16C3A"/>
    <w:rsid w:val="00E170D8"/>
    <w:rsid w:val="00E17191"/>
    <w:rsid w:val="00E1721C"/>
    <w:rsid w:val="00E1760C"/>
    <w:rsid w:val="00E20660"/>
    <w:rsid w:val="00E20960"/>
    <w:rsid w:val="00E20A76"/>
    <w:rsid w:val="00E21398"/>
    <w:rsid w:val="00E213B4"/>
    <w:rsid w:val="00E214A0"/>
    <w:rsid w:val="00E21717"/>
    <w:rsid w:val="00E225C7"/>
    <w:rsid w:val="00E2290D"/>
    <w:rsid w:val="00E22D4F"/>
    <w:rsid w:val="00E22E2A"/>
    <w:rsid w:val="00E239B6"/>
    <w:rsid w:val="00E2421E"/>
    <w:rsid w:val="00E24E3E"/>
    <w:rsid w:val="00E24F45"/>
    <w:rsid w:val="00E252C3"/>
    <w:rsid w:val="00E259DC"/>
    <w:rsid w:val="00E26213"/>
    <w:rsid w:val="00E265BE"/>
    <w:rsid w:val="00E276BC"/>
    <w:rsid w:val="00E27A5E"/>
    <w:rsid w:val="00E3042C"/>
    <w:rsid w:val="00E30476"/>
    <w:rsid w:val="00E31640"/>
    <w:rsid w:val="00E317B5"/>
    <w:rsid w:val="00E31E1E"/>
    <w:rsid w:val="00E325FC"/>
    <w:rsid w:val="00E33BD6"/>
    <w:rsid w:val="00E34383"/>
    <w:rsid w:val="00E3446B"/>
    <w:rsid w:val="00E34546"/>
    <w:rsid w:val="00E35668"/>
    <w:rsid w:val="00E35999"/>
    <w:rsid w:val="00E359D3"/>
    <w:rsid w:val="00E35AB0"/>
    <w:rsid w:val="00E35B0B"/>
    <w:rsid w:val="00E36BB6"/>
    <w:rsid w:val="00E36D2B"/>
    <w:rsid w:val="00E373C6"/>
    <w:rsid w:val="00E3767D"/>
    <w:rsid w:val="00E377E3"/>
    <w:rsid w:val="00E40008"/>
    <w:rsid w:val="00E40B94"/>
    <w:rsid w:val="00E413A1"/>
    <w:rsid w:val="00E41844"/>
    <w:rsid w:val="00E41963"/>
    <w:rsid w:val="00E41EF4"/>
    <w:rsid w:val="00E43844"/>
    <w:rsid w:val="00E43ACA"/>
    <w:rsid w:val="00E43C0C"/>
    <w:rsid w:val="00E441EC"/>
    <w:rsid w:val="00E45567"/>
    <w:rsid w:val="00E455E0"/>
    <w:rsid w:val="00E45F73"/>
    <w:rsid w:val="00E46061"/>
    <w:rsid w:val="00E461D8"/>
    <w:rsid w:val="00E463DC"/>
    <w:rsid w:val="00E464E0"/>
    <w:rsid w:val="00E46B7C"/>
    <w:rsid w:val="00E46CBA"/>
    <w:rsid w:val="00E4760E"/>
    <w:rsid w:val="00E47833"/>
    <w:rsid w:val="00E47AF9"/>
    <w:rsid w:val="00E51242"/>
    <w:rsid w:val="00E51993"/>
    <w:rsid w:val="00E52596"/>
    <w:rsid w:val="00E52A03"/>
    <w:rsid w:val="00E52A43"/>
    <w:rsid w:val="00E5362D"/>
    <w:rsid w:val="00E5392F"/>
    <w:rsid w:val="00E53D81"/>
    <w:rsid w:val="00E54989"/>
    <w:rsid w:val="00E549AF"/>
    <w:rsid w:val="00E551D3"/>
    <w:rsid w:val="00E55CE9"/>
    <w:rsid w:val="00E55F08"/>
    <w:rsid w:val="00E5665B"/>
    <w:rsid w:val="00E566A0"/>
    <w:rsid w:val="00E56741"/>
    <w:rsid w:val="00E5697F"/>
    <w:rsid w:val="00E56B59"/>
    <w:rsid w:val="00E56ED0"/>
    <w:rsid w:val="00E56F28"/>
    <w:rsid w:val="00E57DFE"/>
    <w:rsid w:val="00E57F2B"/>
    <w:rsid w:val="00E603B3"/>
    <w:rsid w:val="00E6068A"/>
    <w:rsid w:val="00E607C1"/>
    <w:rsid w:val="00E607DA"/>
    <w:rsid w:val="00E60D73"/>
    <w:rsid w:val="00E6106F"/>
    <w:rsid w:val="00E61158"/>
    <w:rsid w:val="00E6160E"/>
    <w:rsid w:val="00E61749"/>
    <w:rsid w:val="00E62039"/>
    <w:rsid w:val="00E621DD"/>
    <w:rsid w:val="00E62517"/>
    <w:rsid w:val="00E62A79"/>
    <w:rsid w:val="00E62EE9"/>
    <w:rsid w:val="00E62F32"/>
    <w:rsid w:val="00E63381"/>
    <w:rsid w:val="00E63FDD"/>
    <w:rsid w:val="00E6407F"/>
    <w:rsid w:val="00E64931"/>
    <w:rsid w:val="00E64C69"/>
    <w:rsid w:val="00E64E51"/>
    <w:rsid w:val="00E66216"/>
    <w:rsid w:val="00E677FB"/>
    <w:rsid w:val="00E67BCE"/>
    <w:rsid w:val="00E67EF9"/>
    <w:rsid w:val="00E67F45"/>
    <w:rsid w:val="00E707F7"/>
    <w:rsid w:val="00E708DF"/>
    <w:rsid w:val="00E71669"/>
    <w:rsid w:val="00E72079"/>
    <w:rsid w:val="00E72FD4"/>
    <w:rsid w:val="00E734E6"/>
    <w:rsid w:val="00E73FCC"/>
    <w:rsid w:val="00E74219"/>
    <w:rsid w:val="00E75087"/>
    <w:rsid w:val="00E75370"/>
    <w:rsid w:val="00E7552C"/>
    <w:rsid w:val="00E755C8"/>
    <w:rsid w:val="00E75868"/>
    <w:rsid w:val="00E759D0"/>
    <w:rsid w:val="00E75CB7"/>
    <w:rsid w:val="00E75EFC"/>
    <w:rsid w:val="00E75F1B"/>
    <w:rsid w:val="00E762C8"/>
    <w:rsid w:val="00E76A3F"/>
    <w:rsid w:val="00E76B5A"/>
    <w:rsid w:val="00E77478"/>
    <w:rsid w:val="00E77AF8"/>
    <w:rsid w:val="00E77FA6"/>
    <w:rsid w:val="00E802DA"/>
    <w:rsid w:val="00E80399"/>
    <w:rsid w:val="00E80E03"/>
    <w:rsid w:val="00E814A4"/>
    <w:rsid w:val="00E819DF"/>
    <w:rsid w:val="00E81B1A"/>
    <w:rsid w:val="00E81B9A"/>
    <w:rsid w:val="00E8284A"/>
    <w:rsid w:val="00E82DC9"/>
    <w:rsid w:val="00E83C90"/>
    <w:rsid w:val="00E84895"/>
    <w:rsid w:val="00E85D80"/>
    <w:rsid w:val="00E85F92"/>
    <w:rsid w:val="00E86201"/>
    <w:rsid w:val="00E86629"/>
    <w:rsid w:val="00E86859"/>
    <w:rsid w:val="00E86C2D"/>
    <w:rsid w:val="00E87046"/>
    <w:rsid w:val="00E870F4"/>
    <w:rsid w:val="00E877C6"/>
    <w:rsid w:val="00E87902"/>
    <w:rsid w:val="00E87A5A"/>
    <w:rsid w:val="00E87E3B"/>
    <w:rsid w:val="00E900F7"/>
    <w:rsid w:val="00E90254"/>
    <w:rsid w:val="00E90816"/>
    <w:rsid w:val="00E90C8C"/>
    <w:rsid w:val="00E911D3"/>
    <w:rsid w:val="00E9195D"/>
    <w:rsid w:val="00E91ED4"/>
    <w:rsid w:val="00E92220"/>
    <w:rsid w:val="00E929A9"/>
    <w:rsid w:val="00E9302B"/>
    <w:rsid w:val="00E938FB"/>
    <w:rsid w:val="00E93BDA"/>
    <w:rsid w:val="00E93E19"/>
    <w:rsid w:val="00E94007"/>
    <w:rsid w:val="00E942CA"/>
    <w:rsid w:val="00E946F3"/>
    <w:rsid w:val="00E94942"/>
    <w:rsid w:val="00E94A35"/>
    <w:rsid w:val="00E94FD5"/>
    <w:rsid w:val="00E95745"/>
    <w:rsid w:val="00E958C2"/>
    <w:rsid w:val="00E95DDB"/>
    <w:rsid w:val="00E96326"/>
    <w:rsid w:val="00E96C6B"/>
    <w:rsid w:val="00E96CBA"/>
    <w:rsid w:val="00E9721D"/>
    <w:rsid w:val="00E97470"/>
    <w:rsid w:val="00E9759A"/>
    <w:rsid w:val="00E97B60"/>
    <w:rsid w:val="00E97E71"/>
    <w:rsid w:val="00EA0C2A"/>
    <w:rsid w:val="00EA0F69"/>
    <w:rsid w:val="00EA195D"/>
    <w:rsid w:val="00EA24CF"/>
    <w:rsid w:val="00EA2792"/>
    <w:rsid w:val="00EA3A39"/>
    <w:rsid w:val="00EA42A1"/>
    <w:rsid w:val="00EA447C"/>
    <w:rsid w:val="00EA4BB3"/>
    <w:rsid w:val="00EA4D5C"/>
    <w:rsid w:val="00EA4F47"/>
    <w:rsid w:val="00EA5019"/>
    <w:rsid w:val="00EA5782"/>
    <w:rsid w:val="00EA5978"/>
    <w:rsid w:val="00EA5B15"/>
    <w:rsid w:val="00EA7002"/>
    <w:rsid w:val="00EA72FC"/>
    <w:rsid w:val="00EA751B"/>
    <w:rsid w:val="00EB00E1"/>
    <w:rsid w:val="00EB045D"/>
    <w:rsid w:val="00EB05B9"/>
    <w:rsid w:val="00EB134F"/>
    <w:rsid w:val="00EB2776"/>
    <w:rsid w:val="00EB2F75"/>
    <w:rsid w:val="00EB3166"/>
    <w:rsid w:val="00EB3FE9"/>
    <w:rsid w:val="00EB41D9"/>
    <w:rsid w:val="00EB4B0C"/>
    <w:rsid w:val="00EB55D3"/>
    <w:rsid w:val="00EB594F"/>
    <w:rsid w:val="00EB5B53"/>
    <w:rsid w:val="00EB5C68"/>
    <w:rsid w:val="00EB5C79"/>
    <w:rsid w:val="00EB5E58"/>
    <w:rsid w:val="00EB5F5A"/>
    <w:rsid w:val="00EB604B"/>
    <w:rsid w:val="00EB6434"/>
    <w:rsid w:val="00EB675C"/>
    <w:rsid w:val="00EB6CCE"/>
    <w:rsid w:val="00EB7793"/>
    <w:rsid w:val="00EB7B87"/>
    <w:rsid w:val="00EB7F06"/>
    <w:rsid w:val="00EC0AAD"/>
    <w:rsid w:val="00EC0C61"/>
    <w:rsid w:val="00EC2F63"/>
    <w:rsid w:val="00EC3288"/>
    <w:rsid w:val="00EC35BA"/>
    <w:rsid w:val="00EC4235"/>
    <w:rsid w:val="00EC43FB"/>
    <w:rsid w:val="00EC46BF"/>
    <w:rsid w:val="00EC475B"/>
    <w:rsid w:val="00EC4F0E"/>
    <w:rsid w:val="00EC5689"/>
    <w:rsid w:val="00EC5C24"/>
    <w:rsid w:val="00EC5FCF"/>
    <w:rsid w:val="00EC65D3"/>
    <w:rsid w:val="00EC6619"/>
    <w:rsid w:val="00EC74C7"/>
    <w:rsid w:val="00EC7650"/>
    <w:rsid w:val="00EC78BA"/>
    <w:rsid w:val="00ED0A04"/>
    <w:rsid w:val="00ED0EA9"/>
    <w:rsid w:val="00ED1450"/>
    <w:rsid w:val="00ED2425"/>
    <w:rsid w:val="00ED27A3"/>
    <w:rsid w:val="00ED2D53"/>
    <w:rsid w:val="00ED30FA"/>
    <w:rsid w:val="00ED327B"/>
    <w:rsid w:val="00ED4134"/>
    <w:rsid w:val="00ED431B"/>
    <w:rsid w:val="00ED43E4"/>
    <w:rsid w:val="00ED4628"/>
    <w:rsid w:val="00ED5025"/>
    <w:rsid w:val="00ED5B53"/>
    <w:rsid w:val="00ED5BDC"/>
    <w:rsid w:val="00ED79F9"/>
    <w:rsid w:val="00ED7A7B"/>
    <w:rsid w:val="00EE026C"/>
    <w:rsid w:val="00EE0460"/>
    <w:rsid w:val="00EE04CA"/>
    <w:rsid w:val="00EE108D"/>
    <w:rsid w:val="00EE126E"/>
    <w:rsid w:val="00EE175D"/>
    <w:rsid w:val="00EE2761"/>
    <w:rsid w:val="00EE2E78"/>
    <w:rsid w:val="00EE32FB"/>
    <w:rsid w:val="00EE350E"/>
    <w:rsid w:val="00EE4B00"/>
    <w:rsid w:val="00EE548B"/>
    <w:rsid w:val="00EE630A"/>
    <w:rsid w:val="00EE6530"/>
    <w:rsid w:val="00EE6560"/>
    <w:rsid w:val="00EE6D86"/>
    <w:rsid w:val="00EE7522"/>
    <w:rsid w:val="00EF0AA4"/>
    <w:rsid w:val="00EF0B66"/>
    <w:rsid w:val="00EF0DEC"/>
    <w:rsid w:val="00EF132F"/>
    <w:rsid w:val="00EF2005"/>
    <w:rsid w:val="00EF223F"/>
    <w:rsid w:val="00EF23B1"/>
    <w:rsid w:val="00EF359F"/>
    <w:rsid w:val="00EF35EB"/>
    <w:rsid w:val="00EF3617"/>
    <w:rsid w:val="00EF37A6"/>
    <w:rsid w:val="00EF4BAC"/>
    <w:rsid w:val="00EF558E"/>
    <w:rsid w:val="00EF597B"/>
    <w:rsid w:val="00EF5B65"/>
    <w:rsid w:val="00EF5C87"/>
    <w:rsid w:val="00EF5E78"/>
    <w:rsid w:val="00EF6532"/>
    <w:rsid w:val="00EF66A0"/>
    <w:rsid w:val="00EF6A06"/>
    <w:rsid w:val="00F00668"/>
    <w:rsid w:val="00F009DC"/>
    <w:rsid w:val="00F0148F"/>
    <w:rsid w:val="00F02680"/>
    <w:rsid w:val="00F029B4"/>
    <w:rsid w:val="00F02AEA"/>
    <w:rsid w:val="00F02BC6"/>
    <w:rsid w:val="00F02CC6"/>
    <w:rsid w:val="00F03001"/>
    <w:rsid w:val="00F03A66"/>
    <w:rsid w:val="00F03BF9"/>
    <w:rsid w:val="00F03C28"/>
    <w:rsid w:val="00F042F5"/>
    <w:rsid w:val="00F048BF"/>
    <w:rsid w:val="00F049F8"/>
    <w:rsid w:val="00F04D0A"/>
    <w:rsid w:val="00F05F36"/>
    <w:rsid w:val="00F0613A"/>
    <w:rsid w:val="00F061A0"/>
    <w:rsid w:val="00F06239"/>
    <w:rsid w:val="00F06296"/>
    <w:rsid w:val="00F06A1A"/>
    <w:rsid w:val="00F07435"/>
    <w:rsid w:val="00F103B6"/>
    <w:rsid w:val="00F106DE"/>
    <w:rsid w:val="00F10D42"/>
    <w:rsid w:val="00F11564"/>
    <w:rsid w:val="00F116F0"/>
    <w:rsid w:val="00F11A5A"/>
    <w:rsid w:val="00F11CFD"/>
    <w:rsid w:val="00F120B7"/>
    <w:rsid w:val="00F123D8"/>
    <w:rsid w:val="00F12A03"/>
    <w:rsid w:val="00F12AE7"/>
    <w:rsid w:val="00F12FC2"/>
    <w:rsid w:val="00F13407"/>
    <w:rsid w:val="00F136C2"/>
    <w:rsid w:val="00F13BE3"/>
    <w:rsid w:val="00F140FF"/>
    <w:rsid w:val="00F14F63"/>
    <w:rsid w:val="00F156FB"/>
    <w:rsid w:val="00F15C4F"/>
    <w:rsid w:val="00F15E34"/>
    <w:rsid w:val="00F1652F"/>
    <w:rsid w:val="00F1693B"/>
    <w:rsid w:val="00F16CDF"/>
    <w:rsid w:val="00F16EA5"/>
    <w:rsid w:val="00F17A6A"/>
    <w:rsid w:val="00F2016A"/>
    <w:rsid w:val="00F20230"/>
    <w:rsid w:val="00F203A0"/>
    <w:rsid w:val="00F205BB"/>
    <w:rsid w:val="00F21125"/>
    <w:rsid w:val="00F21BD5"/>
    <w:rsid w:val="00F21FD1"/>
    <w:rsid w:val="00F2236A"/>
    <w:rsid w:val="00F2257E"/>
    <w:rsid w:val="00F226CC"/>
    <w:rsid w:val="00F228C3"/>
    <w:rsid w:val="00F229E5"/>
    <w:rsid w:val="00F22EA2"/>
    <w:rsid w:val="00F2310B"/>
    <w:rsid w:val="00F23541"/>
    <w:rsid w:val="00F24167"/>
    <w:rsid w:val="00F249C9"/>
    <w:rsid w:val="00F24B1C"/>
    <w:rsid w:val="00F2500E"/>
    <w:rsid w:val="00F2541F"/>
    <w:rsid w:val="00F2550A"/>
    <w:rsid w:val="00F26C49"/>
    <w:rsid w:val="00F26DD3"/>
    <w:rsid w:val="00F27535"/>
    <w:rsid w:val="00F27CE1"/>
    <w:rsid w:val="00F27EDB"/>
    <w:rsid w:val="00F3113F"/>
    <w:rsid w:val="00F3157C"/>
    <w:rsid w:val="00F31871"/>
    <w:rsid w:val="00F31AC3"/>
    <w:rsid w:val="00F31E01"/>
    <w:rsid w:val="00F32899"/>
    <w:rsid w:val="00F32F49"/>
    <w:rsid w:val="00F33836"/>
    <w:rsid w:val="00F33BEB"/>
    <w:rsid w:val="00F33ED7"/>
    <w:rsid w:val="00F34A39"/>
    <w:rsid w:val="00F34A41"/>
    <w:rsid w:val="00F350EF"/>
    <w:rsid w:val="00F3551D"/>
    <w:rsid w:val="00F3614F"/>
    <w:rsid w:val="00F36464"/>
    <w:rsid w:val="00F364DD"/>
    <w:rsid w:val="00F36F77"/>
    <w:rsid w:val="00F37186"/>
    <w:rsid w:val="00F377BB"/>
    <w:rsid w:val="00F37933"/>
    <w:rsid w:val="00F37B29"/>
    <w:rsid w:val="00F37E15"/>
    <w:rsid w:val="00F40C12"/>
    <w:rsid w:val="00F40C5D"/>
    <w:rsid w:val="00F4169B"/>
    <w:rsid w:val="00F42D77"/>
    <w:rsid w:val="00F42FBD"/>
    <w:rsid w:val="00F43B95"/>
    <w:rsid w:val="00F43F97"/>
    <w:rsid w:val="00F44013"/>
    <w:rsid w:val="00F449CD"/>
    <w:rsid w:val="00F45116"/>
    <w:rsid w:val="00F45826"/>
    <w:rsid w:val="00F46C49"/>
    <w:rsid w:val="00F47A44"/>
    <w:rsid w:val="00F512CA"/>
    <w:rsid w:val="00F51D2B"/>
    <w:rsid w:val="00F51D76"/>
    <w:rsid w:val="00F520E4"/>
    <w:rsid w:val="00F52EB8"/>
    <w:rsid w:val="00F53314"/>
    <w:rsid w:val="00F5374E"/>
    <w:rsid w:val="00F53E85"/>
    <w:rsid w:val="00F54268"/>
    <w:rsid w:val="00F546A5"/>
    <w:rsid w:val="00F547E1"/>
    <w:rsid w:val="00F54BC0"/>
    <w:rsid w:val="00F54F30"/>
    <w:rsid w:val="00F54FC1"/>
    <w:rsid w:val="00F55910"/>
    <w:rsid w:val="00F56568"/>
    <w:rsid w:val="00F56CA9"/>
    <w:rsid w:val="00F57935"/>
    <w:rsid w:val="00F57A1C"/>
    <w:rsid w:val="00F57EC8"/>
    <w:rsid w:val="00F602F7"/>
    <w:rsid w:val="00F60709"/>
    <w:rsid w:val="00F6104B"/>
    <w:rsid w:val="00F61ABA"/>
    <w:rsid w:val="00F62086"/>
    <w:rsid w:val="00F6250E"/>
    <w:rsid w:val="00F62B0A"/>
    <w:rsid w:val="00F639CE"/>
    <w:rsid w:val="00F646B7"/>
    <w:rsid w:val="00F64876"/>
    <w:rsid w:val="00F65397"/>
    <w:rsid w:val="00F65F3B"/>
    <w:rsid w:val="00F661CB"/>
    <w:rsid w:val="00F66938"/>
    <w:rsid w:val="00F66CE9"/>
    <w:rsid w:val="00F67073"/>
    <w:rsid w:val="00F6727D"/>
    <w:rsid w:val="00F70033"/>
    <w:rsid w:val="00F7026E"/>
    <w:rsid w:val="00F70C2F"/>
    <w:rsid w:val="00F70C9B"/>
    <w:rsid w:val="00F71D52"/>
    <w:rsid w:val="00F724AF"/>
    <w:rsid w:val="00F72703"/>
    <w:rsid w:val="00F72BFF"/>
    <w:rsid w:val="00F73983"/>
    <w:rsid w:val="00F73FD4"/>
    <w:rsid w:val="00F743DA"/>
    <w:rsid w:val="00F743E8"/>
    <w:rsid w:val="00F74C19"/>
    <w:rsid w:val="00F74F01"/>
    <w:rsid w:val="00F7532D"/>
    <w:rsid w:val="00F75525"/>
    <w:rsid w:val="00F755A3"/>
    <w:rsid w:val="00F757BF"/>
    <w:rsid w:val="00F7686C"/>
    <w:rsid w:val="00F77505"/>
    <w:rsid w:val="00F77C9E"/>
    <w:rsid w:val="00F80B9B"/>
    <w:rsid w:val="00F81333"/>
    <w:rsid w:val="00F8139E"/>
    <w:rsid w:val="00F816A0"/>
    <w:rsid w:val="00F8299A"/>
    <w:rsid w:val="00F83C57"/>
    <w:rsid w:val="00F83F77"/>
    <w:rsid w:val="00F84311"/>
    <w:rsid w:val="00F846F2"/>
    <w:rsid w:val="00F847F1"/>
    <w:rsid w:val="00F84AD0"/>
    <w:rsid w:val="00F84CB9"/>
    <w:rsid w:val="00F84DAA"/>
    <w:rsid w:val="00F84DF9"/>
    <w:rsid w:val="00F8540D"/>
    <w:rsid w:val="00F854DE"/>
    <w:rsid w:val="00F85CEA"/>
    <w:rsid w:val="00F86423"/>
    <w:rsid w:val="00F86798"/>
    <w:rsid w:val="00F868BE"/>
    <w:rsid w:val="00F86ADA"/>
    <w:rsid w:val="00F86B51"/>
    <w:rsid w:val="00F86EDB"/>
    <w:rsid w:val="00F870EC"/>
    <w:rsid w:val="00F87339"/>
    <w:rsid w:val="00F876EB"/>
    <w:rsid w:val="00F877FB"/>
    <w:rsid w:val="00F9081F"/>
    <w:rsid w:val="00F91707"/>
    <w:rsid w:val="00F917D1"/>
    <w:rsid w:val="00F91B3E"/>
    <w:rsid w:val="00F9235C"/>
    <w:rsid w:val="00F924C3"/>
    <w:rsid w:val="00F92E03"/>
    <w:rsid w:val="00F93261"/>
    <w:rsid w:val="00F944D3"/>
    <w:rsid w:val="00F94866"/>
    <w:rsid w:val="00F94899"/>
    <w:rsid w:val="00F9539A"/>
    <w:rsid w:val="00F955EC"/>
    <w:rsid w:val="00F9600C"/>
    <w:rsid w:val="00F9671A"/>
    <w:rsid w:val="00F96B38"/>
    <w:rsid w:val="00F97033"/>
    <w:rsid w:val="00F97283"/>
    <w:rsid w:val="00FA078D"/>
    <w:rsid w:val="00FA0C34"/>
    <w:rsid w:val="00FA12B6"/>
    <w:rsid w:val="00FA13BD"/>
    <w:rsid w:val="00FA1C15"/>
    <w:rsid w:val="00FA264F"/>
    <w:rsid w:val="00FA3752"/>
    <w:rsid w:val="00FA41B7"/>
    <w:rsid w:val="00FA4915"/>
    <w:rsid w:val="00FA4B19"/>
    <w:rsid w:val="00FA4D58"/>
    <w:rsid w:val="00FA4D93"/>
    <w:rsid w:val="00FA5031"/>
    <w:rsid w:val="00FA5FB2"/>
    <w:rsid w:val="00FA6625"/>
    <w:rsid w:val="00FA6DD5"/>
    <w:rsid w:val="00FB069C"/>
    <w:rsid w:val="00FB0F68"/>
    <w:rsid w:val="00FB12C1"/>
    <w:rsid w:val="00FB1B4A"/>
    <w:rsid w:val="00FB20B0"/>
    <w:rsid w:val="00FB3BCB"/>
    <w:rsid w:val="00FB3BDF"/>
    <w:rsid w:val="00FB476D"/>
    <w:rsid w:val="00FB47A7"/>
    <w:rsid w:val="00FB48A0"/>
    <w:rsid w:val="00FB4D0D"/>
    <w:rsid w:val="00FB517F"/>
    <w:rsid w:val="00FB5487"/>
    <w:rsid w:val="00FB5A9E"/>
    <w:rsid w:val="00FB5CF1"/>
    <w:rsid w:val="00FB6255"/>
    <w:rsid w:val="00FB6C5F"/>
    <w:rsid w:val="00FB6FAE"/>
    <w:rsid w:val="00FB70DE"/>
    <w:rsid w:val="00FB7A8E"/>
    <w:rsid w:val="00FB7C75"/>
    <w:rsid w:val="00FC0A0B"/>
    <w:rsid w:val="00FC1EA2"/>
    <w:rsid w:val="00FC2355"/>
    <w:rsid w:val="00FC284E"/>
    <w:rsid w:val="00FC30F7"/>
    <w:rsid w:val="00FC38B1"/>
    <w:rsid w:val="00FC3E80"/>
    <w:rsid w:val="00FC4A9C"/>
    <w:rsid w:val="00FC4D84"/>
    <w:rsid w:val="00FC5170"/>
    <w:rsid w:val="00FC521E"/>
    <w:rsid w:val="00FC580F"/>
    <w:rsid w:val="00FC5A6C"/>
    <w:rsid w:val="00FC5C2F"/>
    <w:rsid w:val="00FC601B"/>
    <w:rsid w:val="00FC61E9"/>
    <w:rsid w:val="00FC65A3"/>
    <w:rsid w:val="00FC6F24"/>
    <w:rsid w:val="00FC77B1"/>
    <w:rsid w:val="00FC78C3"/>
    <w:rsid w:val="00FC7BBE"/>
    <w:rsid w:val="00FD0489"/>
    <w:rsid w:val="00FD0789"/>
    <w:rsid w:val="00FD0A71"/>
    <w:rsid w:val="00FD0EC3"/>
    <w:rsid w:val="00FD1589"/>
    <w:rsid w:val="00FD17E6"/>
    <w:rsid w:val="00FD1A20"/>
    <w:rsid w:val="00FD20E5"/>
    <w:rsid w:val="00FD21FA"/>
    <w:rsid w:val="00FD36FA"/>
    <w:rsid w:val="00FD378E"/>
    <w:rsid w:val="00FD3D2C"/>
    <w:rsid w:val="00FD4711"/>
    <w:rsid w:val="00FD4780"/>
    <w:rsid w:val="00FD5054"/>
    <w:rsid w:val="00FD520E"/>
    <w:rsid w:val="00FD5666"/>
    <w:rsid w:val="00FD5790"/>
    <w:rsid w:val="00FD6BC9"/>
    <w:rsid w:val="00FD6E5A"/>
    <w:rsid w:val="00FE06BB"/>
    <w:rsid w:val="00FE071C"/>
    <w:rsid w:val="00FE083A"/>
    <w:rsid w:val="00FE0BD4"/>
    <w:rsid w:val="00FE0F61"/>
    <w:rsid w:val="00FE12BE"/>
    <w:rsid w:val="00FE2131"/>
    <w:rsid w:val="00FE26AA"/>
    <w:rsid w:val="00FE2A2B"/>
    <w:rsid w:val="00FE2A82"/>
    <w:rsid w:val="00FE377B"/>
    <w:rsid w:val="00FE3B4C"/>
    <w:rsid w:val="00FE4302"/>
    <w:rsid w:val="00FE518F"/>
    <w:rsid w:val="00FE5196"/>
    <w:rsid w:val="00FE53DE"/>
    <w:rsid w:val="00FE5596"/>
    <w:rsid w:val="00FE610C"/>
    <w:rsid w:val="00FE761D"/>
    <w:rsid w:val="00FE7F46"/>
    <w:rsid w:val="00FF09B6"/>
    <w:rsid w:val="00FF0F5E"/>
    <w:rsid w:val="00FF1F66"/>
    <w:rsid w:val="00FF2A0C"/>
    <w:rsid w:val="00FF2FF7"/>
    <w:rsid w:val="00FF31B4"/>
    <w:rsid w:val="00FF33C7"/>
    <w:rsid w:val="00FF34DD"/>
    <w:rsid w:val="00FF3E07"/>
    <w:rsid w:val="00FF441F"/>
    <w:rsid w:val="00FF4F50"/>
    <w:rsid w:val="00FF507A"/>
    <w:rsid w:val="00FF527B"/>
    <w:rsid w:val="00FF5D46"/>
    <w:rsid w:val="00FF65B0"/>
    <w:rsid w:val="00FF6DDA"/>
    <w:rsid w:val="00FF705F"/>
    <w:rsid w:val="00FF7209"/>
    <w:rsid w:val="00FF73E3"/>
    <w:rsid w:val="00FF7827"/>
    <w:rsid w:val="00FF7A46"/>
    <w:rsid w:val="00FF7D5D"/>
    <w:rsid w:val="00FF7E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DC3A"/>
  <w15:chartTrackingRefBased/>
  <w15:docId w15:val="{65093E3A-D48E-4FB2-A75E-0039E417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B7"/>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qFormat/>
    <w:rsid w:val="00D31ACF"/>
    <w:pPr>
      <w:keepNext/>
      <w:widowControl w:val="0"/>
      <w:tabs>
        <w:tab w:val="left" w:pos="567"/>
      </w:tabs>
      <w:spacing w:beforeLines="200" w:before="200" w:after="240"/>
      <w:outlineLvl w:val="0"/>
    </w:pPr>
    <w:rPr>
      <w:b/>
      <w:caps/>
      <w:snapToGrid w:val="0"/>
      <w:kern w:val="28"/>
    </w:rPr>
  </w:style>
  <w:style w:type="paragraph" w:styleId="Heading2">
    <w:name w:val="heading 2"/>
    <w:basedOn w:val="Normal"/>
    <w:next w:val="BodyText"/>
    <w:link w:val="Heading2Char"/>
    <w:qFormat/>
    <w:rsid w:val="00D31ACF"/>
    <w:pPr>
      <w:keepNext/>
      <w:widowControl w:val="0"/>
      <w:tabs>
        <w:tab w:val="left" w:pos="567"/>
      </w:tabs>
      <w:spacing w:before="120" w:after="240"/>
      <w:outlineLvl w:val="1"/>
    </w:pPr>
    <w:rPr>
      <w:b/>
      <w:snapToGrid w:val="0"/>
    </w:rPr>
  </w:style>
  <w:style w:type="paragraph" w:styleId="Heading3">
    <w:name w:val="heading 3"/>
    <w:basedOn w:val="Normal"/>
    <w:next w:val="Normal"/>
    <w:link w:val="Heading3Char"/>
    <w:qFormat/>
    <w:rsid w:val="006F656B"/>
    <w:pPr>
      <w:keepNext/>
      <w:widowControl w:val="0"/>
      <w:spacing w:after="240"/>
      <w:outlineLvl w:val="2"/>
    </w:pPr>
    <w:rPr>
      <w:i/>
      <w:snapToGrid w:val="0"/>
    </w:rPr>
  </w:style>
  <w:style w:type="paragraph" w:styleId="Heading4">
    <w:name w:val="heading 4"/>
    <w:basedOn w:val="Normal"/>
    <w:next w:val="Normal"/>
    <w:link w:val="Heading4Char"/>
    <w:uiPriority w:val="99"/>
    <w:qFormat/>
    <w:rsid w:val="00943D01"/>
    <w:pPr>
      <w:keepNext/>
      <w:keepLines/>
      <w:widowControl w:val="0"/>
      <w:tabs>
        <w:tab w:val="left" w:pos="567"/>
      </w:tabs>
      <w:spacing w:after="312" w:line="312" w:lineRule="auto"/>
      <w:jc w:val="both"/>
      <w:outlineLvl w:val="3"/>
    </w:pPr>
    <w:rPr>
      <w:rFonts w:cs="Arial"/>
      <w:i/>
      <w:iCs/>
      <w:szCs w:val="22"/>
      <w:lang w:eastAsia="en-GB"/>
    </w:rPr>
  </w:style>
  <w:style w:type="paragraph" w:styleId="Heading5">
    <w:name w:val="heading 5"/>
    <w:basedOn w:val="Normal"/>
    <w:next w:val="Normal"/>
    <w:link w:val="Heading5Char"/>
    <w:uiPriority w:val="9"/>
    <w:unhideWhenUsed/>
    <w:qFormat/>
    <w:rsid w:val="001A3EA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D01"/>
    <w:rPr>
      <w:rFonts w:ascii="Tahoma" w:hAnsi="Tahoma" w:cs="Tahoma"/>
      <w:sz w:val="16"/>
      <w:szCs w:val="16"/>
    </w:rPr>
  </w:style>
  <w:style w:type="character" w:customStyle="1" w:styleId="BalloonTextChar">
    <w:name w:val="Balloon Text Char"/>
    <w:basedOn w:val="DefaultParagraphFont"/>
    <w:link w:val="BalloonText"/>
    <w:uiPriority w:val="99"/>
    <w:semiHidden/>
    <w:rsid w:val="00943D01"/>
    <w:rPr>
      <w:rFonts w:ascii="Tahoma" w:eastAsia="Times New Roman" w:hAnsi="Tahoma" w:cs="Tahoma"/>
      <w:sz w:val="16"/>
      <w:szCs w:val="16"/>
    </w:rPr>
  </w:style>
  <w:style w:type="paragraph" w:styleId="BodyText">
    <w:name w:val="Body Text"/>
    <w:basedOn w:val="Normal"/>
    <w:link w:val="BodyTextChar"/>
    <w:qFormat/>
    <w:rsid w:val="00733890"/>
    <w:pPr>
      <w:numPr>
        <w:numId w:val="1"/>
      </w:numPr>
      <w:tabs>
        <w:tab w:val="left" w:pos="1134"/>
        <w:tab w:val="left" w:pos="1701"/>
        <w:tab w:val="left" w:pos="2268"/>
      </w:tabs>
      <w:spacing w:after="240"/>
      <w:jc w:val="both"/>
    </w:pPr>
    <w:rPr>
      <w:snapToGrid w:val="0"/>
    </w:rPr>
  </w:style>
  <w:style w:type="character" w:customStyle="1" w:styleId="BodyTextChar">
    <w:name w:val="Body Text Char"/>
    <w:basedOn w:val="DefaultParagraphFont"/>
    <w:link w:val="BodyText"/>
    <w:rsid w:val="00733890"/>
    <w:rPr>
      <w:rFonts w:ascii="Times New Roman" w:hAnsi="Times New Roman" w:cs="Times New Roman"/>
      <w:snapToGrid w:val="0"/>
      <w:sz w:val="24"/>
      <w:szCs w:val="24"/>
    </w:rPr>
  </w:style>
  <w:style w:type="paragraph" w:customStyle="1" w:styleId="BodyTextnonum">
    <w:name w:val="Body Text no num"/>
    <w:basedOn w:val="BodyText"/>
    <w:uiPriority w:val="99"/>
    <w:rsid w:val="00943D01"/>
    <w:pPr>
      <w:numPr>
        <w:numId w:val="0"/>
      </w:numPr>
      <w:tabs>
        <w:tab w:val="left" w:pos="567"/>
      </w:tabs>
      <w:ind w:left="567"/>
    </w:pPr>
  </w:style>
  <w:style w:type="paragraph" w:customStyle="1" w:styleId="Citations">
    <w:name w:val="Citations"/>
    <w:basedOn w:val="Normal"/>
    <w:rsid w:val="001C1F15"/>
    <w:pPr>
      <w:tabs>
        <w:tab w:val="left" w:pos="567"/>
        <w:tab w:val="left" w:pos="1134"/>
        <w:tab w:val="left" w:pos="1701"/>
        <w:tab w:val="left" w:pos="2268"/>
      </w:tabs>
      <w:spacing w:after="240"/>
      <w:ind w:left="1134" w:right="567"/>
      <w:contextualSpacing/>
      <w:jc w:val="both"/>
    </w:pPr>
  </w:style>
  <w:style w:type="character" w:styleId="CommentReference">
    <w:name w:val="annotation reference"/>
    <w:basedOn w:val="DefaultParagraphFont"/>
    <w:uiPriority w:val="99"/>
    <w:semiHidden/>
    <w:unhideWhenUsed/>
    <w:rsid w:val="00943D01"/>
    <w:rPr>
      <w:sz w:val="16"/>
      <w:szCs w:val="16"/>
    </w:rPr>
  </w:style>
  <w:style w:type="paragraph" w:styleId="CommentText">
    <w:name w:val="annotation text"/>
    <w:basedOn w:val="Normal"/>
    <w:link w:val="CommentTextChar"/>
    <w:uiPriority w:val="99"/>
    <w:semiHidden/>
    <w:unhideWhenUsed/>
    <w:rsid w:val="00943D01"/>
    <w:rPr>
      <w:sz w:val="20"/>
      <w:szCs w:val="20"/>
    </w:rPr>
  </w:style>
  <w:style w:type="character" w:customStyle="1" w:styleId="CommentTextChar">
    <w:name w:val="Comment Text Char"/>
    <w:basedOn w:val="DefaultParagraphFont"/>
    <w:link w:val="CommentText"/>
    <w:uiPriority w:val="99"/>
    <w:semiHidden/>
    <w:rsid w:val="00943D0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43D01"/>
    <w:rPr>
      <w:b/>
      <w:bCs/>
    </w:rPr>
  </w:style>
  <w:style w:type="character" w:customStyle="1" w:styleId="CommentSubjectChar">
    <w:name w:val="Comment Subject Char"/>
    <w:basedOn w:val="CommentTextChar"/>
    <w:link w:val="CommentSubject"/>
    <w:uiPriority w:val="99"/>
    <w:semiHidden/>
    <w:rsid w:val="00943D01"/>
    <w:rPr>
      <w:rFonts w:ascii="Arial" w:eastAsia="Times New Roman" w:hAnsi="Arial" w:cs="Times New Roman"/>
      <w:b/>
      <w:bCs/>
      <w:sz w:val="20"/>
      <w:szCs w:val="20"/>
    </w:rPr>
  </w:style>
  <w:style w:type="paragraph" w:styleId="DocumentMap">
    <w:name w:val="Document Map"/>
    <w:basedOn w:val="Normal"/>
    <w:link w:val="DocumentMapChar"/>
    <w:uiPriority w:val="99"/>
    <w:semiHidden/>
    <w:unhideWhenUsed/>
    <w:rsid w:val="00943D01"/>
    <w:rPr>
      <w:rFonts w:ascii="Tahoma" w:hAnsi="Tahoma" w:cs="Tahoma"/>
      <w:sz w:val="16"/>
      <w:szCs w:val="16"/>
    </w:rPr>
  </w:style>
  <w:style w:type="character" w:customStyle="1" w:styleId="DocumentMapChar">
    <w:name w:val="Document Map Char"/>
    <w:basedOn w:val="DefaultParagraphFont"/>
    <w:link w:val="DocumentMap"/>
    <w:uiPriority w:val="99"/>
    <w:semiHidden/>
    <w:rsid w:val="00943D01"/>
    <w:rPr>
      <w:rFonts w:ascii="Tahoma" w:eastAsia="Times New Roman" w:hAnsi="Tahoma" w:cs="Tahoma"/>
      <w:sz w:val="16"/>
      <w:szCs w:val="16"/>
    </w:rPr>
  </w:style>
  <w:style w:type="paragraph" w:styleId="Footer">
    <w:name w:val="footer"/>
    <w:basedOn w:val="Normal"/>
    <w:link w:val="FooterChar"/>
    <w:rsid w:val="00943D01"/>
    <w:pPr>
      <w:tabs>
        <w:tab w:val="center" w:pos="4320"/>
        <w:tab w:val="right" w:pos="8640"/>
      </w:tabs>
    </w:pPr>
  </w:style>
  <w:style w:type="character" w:customStyle="1" w:styleId="FooterChar">
    <w:name w:val="Footer Char"/>
    <w:basedOn w:val="DefaultParagraphFont"/>
    <w:link w:val="Footer"/>
    <w:uiPriority w:val="99"/>
    <w:rsid w:val="00943D01"/>
    <w:rPr>
      <w:rFonts w:ascii="Arial" w:eastAsia="Times New Roman" w:hAnsi="Arial" w:cs="Times New Roman"/>
      <w:szCs w:val="24"/>
    </w:rPr>
  </w:style>
  <w:style w:type="character" w:styleId="FootnoteReference">
    <w:name w:val="footnote reference"/>
    <w:basedOn w:val="DefaultParagraphFont"/>
    <w:rsid w:val="00943D01"/>
    <w:rPr>
      <w:vertAlign w:val="superscript"/>
    </w:rPr>
  </w:style>
  <w:style w:type="paragraph" w:styleId="FootnoteText">
    <w:name w:val="footnote text"/>
    <w:aliases w:val="Footnote text,fn,Footnotes,Footnote ak,Note de bas de page Car1,Note de bas de page Car Car,Car Car Car,Car Car1,Footnote Text Char2 Char,Footnote Text Char Char Char1,f,Schriftart: 9 pt,Schriftart: 10 pt"/>
    <w:basedOn w:val="Normal"/>
    <w:link w:val="FootnoteTextChar"/>
    <w:qFormat/>
    <w:rsid w:val="00943D01"/>
    <w:pPr>
      <w:tabs>
        <w:tab w:val="left" w:pos="567"/>
      </w:tabs>
      <w:spacing w:after="120"/>
      <w:ind w:left="567" w:hanging="567"/>
      <w:jc w:val="both"/>
    </w:pPr>
    <w:rPr>
      <w:sz w:val="20"/>
      <w:szCs w:val="20"/>
      <w:lang w:eastAsia="en-GB"/>
    </w:rPr>
  </w:style>
  <w:style w:type="character" w:customStyle="1" w:styleId="FootnoteTextChar">
    <w:name w:val="Footnote Text Char"/>
    <w:aliases w:val="Footnote text Char,fn Char,Footnotes Char,Footnote ak Char,Note de bas de page Car1 Char,Note de bas de page Car Car Char,Car Car Car Char,Car Car1 Char,Footnote Text Char2 Char Char,Footnote Text Char Char Char1 Char,f Char"/>
    <w:basedOn w:val="DefaultParagraphFont"/>
    <w:link w:val="FootnoteText"/>
    <w:rsid w:val="00943D01"/>
    <w:rPr>
      <w:rFonts w:ascii="Arial" w:eastAsia="Times New Roman" w:hAnsi="Arial" w:cs="Times New Roman"/>
      <w:sz w:val="20"/>
      <w:szCs w:val="20"/>
      <w:lang w:eastAsia="en-GB"/>
    </w:rPr>
  </w:style>
  <w:style w:type="paragraph" w:styleId="Header">
    <w:name w:val="header"/>
    <w:basedOn w:val="Normal"/>
    <w:link w:val="HeaderChar"/>
    <w:unhideWhenUsed/>
    <w:rsid w:val="00943D01"/>
    <w:pPr>
      <w:tabs>
        <w:tab w:val="center" w:pos="4680"/>
        <w:tab w:val="right" w:pos="9360"/>
      </w:tabs>
    </w:pPr>
  </w:style>
  <w:style w:type="character" w:customStyle="1" w:styleId="HeaderChar">
    <w:name w:val="Header Char"/>
    <w:basedOn w:val="DefaultParagraphFont"/>
    <w:link w:val="Header"/>
    <w:uiPriority w:val="99"/>
    <w:rsid w:val="00943D01"/>
    <w:rPr>
      <w:rFonts w:ascii="Arial" w:eastAsia="Times New Roman" w:hAnsi="Arial" w:cs="Times New Roman"/>
      <w:szCs w:val="24"/>
    </w:rPr>
  </w:style>
  <w:style w:type="character" w:customStyle="1" w:styleId="Heading1Char">
    <w:name w:val="Heading 1 Char"/>
    <w:basedOn w:val="DefaultParagraphFont"/>
    <w:link w:val="Heading1"/>
    <w:rsid w:val="00D31ACF"/>
    <w:rPr>
      <w:rFonts w:ascii="Times New Roman" w:hAnsi="Times New Roman" w:cs="Times New Roman"/>
      <w:b/>
      <w:caps/>
      <w:snapToGrid w:val="0"/>
      <w:kern w:val="28"/>
      <w:sz w:val="24"/>
      <w:szCs w:val="24"/>
    </w:rPr>
  </w:style>
  <w:style w:type="character" w:customStyle="1" w:styleId="Heading2Char">
    <w:name w:val="Heading 2 Char"/>
    <w:basedOn w:val="DefaultParagraphFont"/>
    <w:link w:val="Heading2"/>
    <w:rsid w:val="00D31ACF"/>
    <w:rPr>
      <w:rFonts w:ascii="Times New Roman" w:hAnsi="Times New Roman" w:cs="Times New Roman"/>
      <w:b/>
      <w:snapToGrid w:val="0"/>
      <w:sz w:val="24"/>
      <w:szCs w:val="24"/>
    </w:rPr>
  </w:style>
  <w:style w:type="character" w:customStyle="1" w:styleId="Heading3Char">
    <w:name w:val="Heading 3 Char"/>
    <w:basedOn w:val="DefaultParagraphFont"/>
    <w:link w:val="Heading3"/>
    <w:rsid w:val="006F656B"/>
    <w:rPr>
      <w:rFonts w:ascii="Times New Roman" w:hAnsi="Times New Roman" w:cs="Times New Roman"/>
      <w:i/>
      <w:snapToGrid w:val="0"/>
      <w:sz w:val="24"/>
      <w:szCs w:val="24"/>
    </w:rPr>
  </w:style>
  <w:style w:type="character" w:customStyle="1" w:styleId="Heading4Char">
    <w:name w:val="Heading 4 Char"/>
    <w:basedOn w:val="DefaultParagraphFont"/>
    <w:link w:val="Heading4"/>
    <w:uiPriority w:val="99"/>
    <w:rsid w:val="00943D01"/>
    <w:rPr>
      <w:rFonts w:ascii="Arial" w:eastAsia="Times New Roman" w:hAnsi="Arial" w:cs="Arial"/>
      <w:i/>
      <w:iCs/>
      <w:lang w:eastAsia="en-GB"/>
    </w:rPr>
  </w:style>
  <w:style w:type="character" w:styleId="Hyperlink">
    <w:name w:val="Hyperlink"/>
    <w:basedOn w:val="DefaultParagraphFont"/>
    <w:uiPriority w:val="99"/>
    <w:unhideWhenUsed/>
    <w:rsid w:val="00943D01"/>
    <w:rPr>
      <w:color w:val="0000FF"/>
      <w:u w:val="single"/>
    </w:rPr>
  </w:style>
  <w:style w:type="paragraph" w:styleId="ListParagraph">
    <w:name w:val="List Paragraph"/>
    <w:basedOn w:val="Normal"/>
    <w:uiPriority w:val="34"/>
    <w:qFormat/>
    <w:rsid w:val="00943D01"/>
    <w:pPr>
      <w:ind w:left="720"/>
      <w:contextualSpacing/>
    </w:pPr>
  </w:style>
  <w:style w:type="character" w:customStyle="1" w:styleId="mandelbrotrefrag">
    <w:name w:val="mandelbrot_refrag"/>
    <w:basedOn w:val="DefaultParagraphFont"/>
    <w:rsid w:val="00943D01"/>
  </w:style>
  <w:style w:type="character" w:customStyle="1" w:styleId="outputecliaff">
    <w:name w:val="outputecliaff"/>
    <w:basedOn w:val="DefaultParagraphFont"/>
    <w:rsid w:val="00943D01"/>
  </w:style>
  <w:style w:type="character" w:styleId="PageNumber">
    <w:name w:val="page number"/>
    <w:basedOn w:val="DefaultParagraphFont"/>
    <w:rsid w:val="00943D01"/>
  </w:style>
  <w:style w:type="character" w:customStyle="1" w:styleId="searchword">
    <w:name w:val="searchword"/>
    <w:basedOn w:val="DefaultParagraphFont"/>
    <w:rsid w:val="00943D01"/>
  </w:style>
  <w:style w:type="paragraph" w:styleId="TOC1">
    <w:name w:val="toc 1"/>
    <w:basedOn w:val="Normal"/>
    <w:next w:val="Normal"/>
    <w:autoRedefine/>
    <w:rsid w:val="00943D01"/>
    <w:pPr>
      <w:tabs>
        <w:tab w:val="left" w:pos="720"/>
        <w:tab w:val="right" w:leader="dot" w:pos="8364"/>
      </w:tabs>
      <w:jc w:val="center"/>
    </w:pPr>
  </w:style>
  <w:style w:type="paragraph" w:styleId="TOC2">
    <w:name w:val="toc 2"/>
    <w:basedOn w:val="Normal"/>
    <w:next w:val="Normal"/>
    <w:autoRedefine/>
    <w:rsid w:val="00943D01"/>
    <w:pPr>
      <w:tabs>
        <w:tab w:val="right" w:leader="dot" w:pos="8364"/>
      </w:tabs>
      <w:ind w:left="720"/>
    </w:pPr>
  </w:style>
  <w:style w:type="paragraph" w:styleId="TOC3">
    <w:name w:val="toc 3"/>
    <w:basedOn w:val="Normal"/>
    <w:next w:val="Normal"/>
    <w:autoRedefine/>
    <w:rsid w:val="00943D01"/>
    <w:pPr>
      <w:tabs>
        <w:tab w:val="right" w:leader="dot" w:pos="8364"/>
      </w:tabs>
      <w:ind w:left="720"/>
    </w:pPr>
  </w:style>
  <w:style w:type="paragraph" w:styleId="TOC4">
    <w:name w:val="toc 4"/>
    <w:basedOn w:val="Normal"/>
    <w:next w:val="Normal"/>
    <w:autoRedefine/>
    <w:semiHidden/>
    <w:rsid w:val="00943D01"/>
    <w:pPr>
      <w:ind w:left="720"/>
    </w:pPr>
  </w:style>
  <w:style w:type="paragraph" w:customStyle="1" w:styleId="CoverDesc">
    <w:name w:val="CoverDesc"/>
    <w:basedOn w:val="Normal"/>
    <w:rsid w:val="004309B7"/>
    <w:pPr>
      <w:jc w:val="center"/>
    </w:pPr>
    <w:rPr>
      <w:b/>
      <w:sz w:val="36"/>
      <w:szCs w:val="20"/>
    </w:rPr>
  </w:style>
  <w:style w:type="paragraph" w:customStyle="1" w:styleId="CoverMain">
    <w:name w:val="CoverMain"/>
    <w:basedOn w:val="Normal"/>
    <w:rsid w:val="004309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rsid w:val="004309B7"/>
    <w:pPr>
      <w:jc w:val="right"/>
    </w:pPr>
    <w:rPr>
      <w:szCs w:val="20"/>
      <w:u w:val="single"/>
    </w:rPr>
  </w:style>
  <w:style w:type="paragraph" w:customStyle="1" w:styleId="ParaHeading">
    <w:name w:val="ParaHeading"/>
    <w:basedOn w:val="Normal"/>
    <w:next w:val="ParaLevel1"/>
    <w:rsid w:val="004309B7"/>
    <w:pPr>
      <w:keepNext/>
      <w:spacing w:before="240" w:after="240" w:line="480" w:lineRule="auto"/>
    </w:pPr>
    <w:rPr>
      <w:szCs w:val="20"/>
    </w:rPr>
  </w:style>
  <w:style w:type="paragraph" w:customStyle="1" w:styleId="ParaLevel1">
    <w:name w:val="ParaLevel1"/>
    <w:basedOn w:val="Normal"/>
    <w:rsid w:val="004309B7"/>
    <w:pPr>
      <w:numPr>
        <w:numId w:val="2"/>
      </w:numPr>
      <w:suppressAutoHyphens/>
      <w:spacing w:before="240" w:after="240" w:line="480" w:lineRule="auto"/>
      <w:jc w:val="both"/>
      <w:outlineLvl w:val="0"/>
    </w:pPr>
    <w:rPr>
      <w:szCs w:val="20"/>
    </w:rPr>
  </w:style>
  <w:style w:type="paragraph" w:customStyle="1" w:styleId="ParaLevel2">
    <w:name w:val="ParaLevel2"/>
    <w:basedOn w:val="Normal"/>
    <w:rsid w:val="004309B7"/>
    <w:pPr>
      <w:numPr>
        <w:ilvl w:val="1"/>
        <w:numId w:val="2"/>
      </w:numPr>
      <w:suppressAutoHyphens/>
      <w:spacing w:before="240" w:after="240" w:line="480" w:lineRule="auto"/>
      <w:jc w:val="both"/>
      <w:outlineLvl w:val="1"/>
    </w:pPr>
    <w:rPr>
      <w:szCs w:val="20"/>
    </w:rPr>
  </w:style>
  <w:style w:type="paragraph" w:customStyle="1" w:styleId="ParaLevel3">
    <w:name w:val="ParaLevel3"/>
    <w:basedOn w:val="Normal"/>
    <w:rsid w:val="004309B7"/>
    <w:pPr>
      <w:numPr>
        <w:ilvl w:val="2"/>
        <w:numId w:val="2"/>
      </w:numPr>
      <w:suppressAutoHyphens/>
      <w:spacing w:before="240" w:after="240" w:line="480" w:lineRule="auto"/>
      <w:jc w:val="both"/>
      <w:outlineLvl w:val="2"/>
    </w:pPr>
    <w:rPr>
      <w:szCs w:val="20"/>
    </w:rPr>
  </w:style>
  <w:style w:type="paragraph" w:customStyle="1" w:styleId="ParaLevel4">
    <w:name w:val="ParaLevel4"/>
    <w:basedOn w:val="Normal"/>
    <w:rsid w:val="004309B7"/>
    <w:pPr>
      <w:numPr>
        <w:ilvl w:val="3"/>
        <w:numId w:val="2"/>
      </w:numPr>
      <w:tabs>
        <w:tab w:val="clear" w:pos="3207"/>
        <w:tab w:val="num" w:pos="2836"/>
      </w:tabs>
      <w:suppressAutoHyphens/>
      <w:spacing w:before="240" w:after="240" w:line="480" w:lineRule="auto"/>
      <w:jc w:val="both"/>
      <w:outlineLvl w:val="3"/>
    </w:pPr>
    <w:rPr>
      <w:szCs w:val="20"/>
    </w:rPr>
  </w:style>
  <w:style w:type="paragraph" w:customStyle="1" w:styleId="ParaLevel5">
    <w:name w:val="ParaLevel5"/>
    <w:basedOn w:val="Normal"/>
    <w:rsid w:val="004309B7"/>
    <w:pPr>
      <w:numPr>
        <w:ilvl w:val="4"/>
        <w:numId w:val="2"/>
      </w:numPr>
      <w:suppressAutoHyphens/>
      <w:spacing w:before="240" w:after="240" w:line="480" w:lineRule="auto"/>
      <w:jc w:val="both"/>
      <w:outlineLvl w:val="4"/>
    </w:pPr>
    <w:rPr>
      <w:szCs w:val="20"/>
    </w:rPr>
  </w:style>
  <w:style w:type="paragraph" w:customStyle="1" w:styleId="ParaLevel6">
    <w:name w:val="ParaLevel6"/>
    <w:basedOn w:val="Normal"/>
    <w:rsid w:val="004309B7"/>
    <w:pPr>
      <w:numPr>
        <w:ilvl w:val="5"/>
        <w:numId w:val="2"/>
      </w:numPr>
      <w:tabs>
        <w:tab w:val="clear" w:pos="4625"/>
        <w:tab w:val="num" w:pos="4254"/>
      </w:tabs>
      <w:suppressAutoHyphens/>
      <w:spacing w:before="240" w:after="240" w:line="480" w:lineRule="auto"/>
      <w:jc w:val="both"/>
      <w:outlineLvl w:val="5"/>
    </w:pPr>
    <w:rPr>
      <w:szCs w:val="20"/>
    </w:rPr>
  </w:style>
  <w:style w:type="paragraph" w:customStyle="1" w:styleId="ParaLevel7">
    <w:name w:val="ParaLevel7"/>
    <w:basedOn w:val="Normal"/>
    <w:rsid w:val="004309B7"/>
    <w:pPr>
      <w:numPr>
        <w:ilvl w:val="6"/>
        <w:numId w:val="2"/>
      </w:numPr>
      <w:suppressAutoHyphens/>
      <w:spacing w:before="240" w:after="240" w:line="480" w:lineRule="auto"/>
      <w:jc w:val="both"/>
      <w:outlineLvl w:val="6"/>
    </w:pPr>
    <w:rPr>
      <w:szCs w:val="20"/>
    </w:rPr>
  </w:style>
  <w:style w:type="paragraph" w:customStyle="1" w:styleId="ParaLevel8">
    <w:name w:val="ParaLevel8"/>
    <w:basedOn w:val="Normal"/>
    <w:rsid w:val="004309B7"/>
    <w:pPr>
      <w:numPr>
        <w:ilvl w:val="7"/>
        <w:numId w:val="2"/>
      </w:numPr>
      <w:tabs>
        <w:tab w:val="clear" w:pos="6043"/>
        <w:tab w:val="num" w:pos="5672"/>
      </w:tabs>
      <w:suppressAutoHyphens/>
      <w:spacing w:before="240" w:after="240" w:line="480" w:lineRule="auto"/>
      <w:jc w:val="both"/>
      <w:outlineLvl w:val="7"/>
    </w:pPr>
    <w:rPr>
      <w:szCs w:val="20"/>
    </w:rPr>
  </w:style>
  <w:style w:type="paragraph" w:customStyle="1" w:styleId="ParaLevel9">
    <w:name w:val="ParaLevel9"/>
    <w:basedOn w:val="Normal"/>
    <w:rsid w:val="004309B7"/>
    <w:pPr>
      <w:numPr>
        <w:ilvl w:val="8"/>
        <w:numId w:val="2"/>
      </w:numPr>
      <w:suppressAutoHyphens/>
      <w:spacing w:before="240" w:after="240" w:line="480" w:lineRule="auto"/>
      <w:jc w:val="both"/>
      <w:outlineLvl w:val="8"/>
    </w:pPr>
    <w:rPr>
      <w:szCs w:val="20"/>
    </w:rPr>
  </w:style>
  <w:style w:type="paragraph" w:customStyle="1" w:styleId="eMailBlock">
    <w:name w:val="eMailBlock"/>
    <w:basedOn w:val="Title"/>
    <w:rsid w:val="004309B7"/>
    <w:pPr>
      <w:pBdr>
        <w:top w:val="single" w:sz="6" w:space="1" w:color="auto"/>
        <w:left w:val="single" w:sz="6" w:space="1" w:color="auto"/>
        <w:bottom w:val="single" w:sz="6" w:space="1" w:color="auto"/>
        <w:right w:val="single" w:sz="6" w:space="1" w:color="auto"/>
      </w:pBdr>
      <w:contextualSpacing w:val="0"/>
      <w:jc w:val="center"/>
    </w:pPr>
    <w:rPr>
      <w:rFonts w:ascii="Times New Roman" w:eastAsia="Times New Roman" w:hAnsi="Times New Roman" w:cs="Times New Roman"/>
      <w:b/>
      <w:spacing w:val="0"/>
      <w:kern w:val="0"/>
      <w:sz w:val="26"/>
      <w:szCs w:val="24"/>
    </w:rPr>
  </w:style>
  <w:style w:type="paragraph" w:styleId="Title">
    <w:name w:val="Title"/>
    <w:basedOn w:val="Normal"/>
    <w:next w:val="Normal"/>
    <w:link w:val="TitleChar"/>
    <w:uiPriority w:val="10"/>
    <w:qFormat/>
    <w:rsid w:val="004309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9B7"/>
    <w:rPr>
      <w:rFonts w:asciiTheme="majorHAnsi" w:eastAsiaTheme="majorEastAsia" w:hAnsiTheme="majorHAnsi" w:cstheme="majorBidi"/>
      <w:spacing w:val="-10"/>
      <w:kern w:val="28"/>
      <w:sz w:val="56"/>
      <w:szCs w:val="56"/>
    </w:rPr>
  </w:style>
  <w:style w:type="numbering" w:customStyle="1" w:styleId="Style1">
    <w:name w:val="Style1"/>
    <w:uiPriority w:val="99"/>
    <w:rsid w:val="004309B7"/>
    <w:pPr>
      <w:numPr>
        <w:numId w:val="3"/>
      </w:numPr>
    </w:pPr>
  </w:style>
  <w:style w:type="paragraph" w:styleId="Quote">
    <w:name w:val="Quote"/>
    <w:basedOn w:val="Normal"/>
    <w:next w:val="Normal"/>
    <w:link w:val="QuoteChar"/>
    <w:uiPriority w:val="29"/>
    <w:qFormat/>
    <w:rsid w:val="004309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9B7"/>
    <w:rPr>
      <w:rFonts w:ascii="Times New Roman" w:hAnsi="Times New Roman" w:cs="Times New Roman"/>
      <w:i/>
      <w:iCs/>
      <w:color w:val="404040" w:themeColor="text1" w:themeTint="BF"/>
      <w:sz w:val="24"/>
      <w:szCs w:val="24"/>
    </w:rPr>
  </w:style>
  <w:style w:type="character" w:styleId="UnresolvedMention">
    <w:name w:val="Unresolved Mention"/>
    <w:basedOn w:val="DefaultParagraphFont"/>
    <w:uiPriority w:val="99"/>
    <w:semiHidden/>
    <w:unhideWhenUsed/>
    <w:rsid w:val="00E83C90"/>
    <w:rPr>
      <w:color w:val="605E5C"/>
      <w:shd w:val="clear" w:color="auto" w:fill="E1DFDD"/>
    </w:rPr>
  </w:style>
  <w:style w:type="character" w:customStyle="1" w:styleId="Heading5Char">
    <w:name w:val="Heading 5 Char"/>
    <w:basedOn w:val="DefaultParagraphFont"/>
    <w:link w:val="Heading5"/>
    <w:uiPriority w:val="9"/>
    <w:rsid w:val="001A3EAD"/>
    <w:rPr>
      <w:rFonts w:asciiTheme="majorHAnsi" w:eastAsiaTheme="majorEastAsia" w:hAnsiTheme="majorHAnsi" w:cstheme="majorBidi"/>
      <w:color w:val="2E74B5" w:themeColor="accent1" w:themeShade="BF"/>
      <w:sz w:val="24"/>
      <w:szCs w:val="24"/>
    </w:rPr>
  </w:style>
  <w:style w:type="character" w:customStyle="1" w:styleId="coitalic">
    <w:name w:val="co_italic"/>
    <w:basedOn w:val="DefaultParagraphFont"/>
    <w:rsid w:val="00A839E1"/>
  </w:style>
  <w:style w:type="character" w:customStyle="1" w:styleId="costarpage">
    <w:name w:val="co_starpage"/>
    <w:basedOn w:val="DefaultParagraphFont"/>
    <w:rsid w:val="00A8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127786">
      <w:bodyDiv w:val="1"/>
      <w:marLeft w:val="0"/>
      <w:marRight w:val="0"/>
      <w:marTop w:val="0"/>
      <w:marBottom w:val="0"/>
      <w:divBdr>
        <w:top w:val="none" w:sz="0" w:space="0" w:color="auto"/>
        <w:left w:val="none" w:sz="0" w:space="0" w:color="auto"/>
        <w:bottom w:val="none" w:sz="0" w:space="0" w:color="auto"/>
        <w:right w:val="none" w:sz="0" w:space="0" w:color="auto"/>
      </w:divBdr>
    </w:div>
    <w:div w:id="895361403">
      <w:bodyDiv w:val="1"/>
      <w:marLeft w:val="0"/>
      <w:marRight w:val="0"/>
      <w:marTop w:val="0"/>
      <w:marBottom w:val="0"/>
      <w:divBdr>
        <w:top w:val="none" w:sz="0" w:space="0" w:color="auto"/>
        <w:left w:val="none" w:sz="0" w:space="0" w:color="auto"/>
        <w:bottom w:val="none" w:sz="0" w:space="0" w:color="auto"/>
        <w:right w:val="none" w:sz="0" w:space="0" w:color="auto"/>
      </w:divBdr>
      <w:divsChild>
        <w:div w:id="1277449975">
          <w:marLeft w:val="0"/>
          <w:marRight w:val="0"/>
          <w:marTop w:val="0"/>
          <w:marBottom w:val="0"/>
          <w:divBdr>
            <w:top w:val="none" w:sz="0" w:space="0" w:color="auto"/>
            <w:left w:val="none" w:sz="0" w:space="0" w:color="auto"/>
            <w:bottom w:val="none" w:sz="0" w:space="0" w:color="auto"/>
            <w:right w:val="none" w:sz="0" w:space="0" w:color="auto"/>
          </w:divBdr>
        </w:div>
        <w:div w:id="1495533656">
          <w:marLeft w:val="0"/>
          <w:marRight w:val="0"/>
          <w:marTop w:val="0"/>
          <w:marBottom w:val="0"/>
          <w:divBdr>
            <w:top w:val="none" w:sz="0" w:space="0" w:color="auto"/>
            <w:left w:val="none" w:sz="0" w:space="0" w:color="auto"/>
            <w:bottom w:val="none" w:sz="0" w:space="0" w:color="auto"/>
            <w:right w:val="none" w:sz="0" w:space="0" w:color="auto"/>
          </w:divBdr>
        </w:div>
      </w:divsChild>
    </w:div>
    <w:div w:id="9442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9A8C-E403-411A-A7E0-54E1F779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28808</Words>
  <Characters>164210</Characters>
  <Application>Microsoft Office Word</Application>
  <DocSecurity>4</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192633</CharactersWithSpaces>
  <SharedDoc>false</SharedDoc>
  <HLinks>
    <vt:vector size="6" baseType="variant">
      <vt:variant>
        <vt:i4>3866626</vt:i4>
      </vt:variant>
      <vt:variant>
        <vt:i4>9</vt:i4>
      </vt:variant>
      <vt:variant>
        <vt:i4>0</vt:i4>
      </vt:variant>
      <vt:variant>
        <vt:i4>5</vt:i4>
      </vt:variant>
      <vt:variant>
        <vt:lpwstr>mailto:feral.suleyman@justice.gov.uk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MrsJustice.Falk@justice.gov.uk</dc:creator>
  <cp:keywords/>
  <dc:description/>
  <cp:lastModifiedBy>Saleem, Supriya (RCJ)</cp:lastModifiedBy>
  <cp:revision>2</cp:revision>
  <cp:lastPrinted>2022-11-04T17:49:00Z</cp:lastPrinted>
  <dcterms:created xsi:type="dcterms:W3CDTF">2022-11-16T11:19:00Z</dcterms:created>
  <dcterms:modified xsi:type="dcterms:W3CDTF">2022-11-16T11:19:00Z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CCaseNum">
    <vt:lpwstr>CR-2012-007914</vt:lpwstr>
  </property>
  <property fmtid="{D5CDD505-2E9C-101B-9397-08002B2CF9AE}" pid="3" name="NCJudgeDate">
    <vt:lpwstr>18/11/2022</vt:lpwstr>
  </property>
</Properties>
</file>