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975F1" w14:textId="77777777" w:rsidR="00167DBD" w:rsidRDefault="00167DBD" w:rsidP="000D37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rPr>
          <w:b w:val="0"/>
          <w:bCs/>
        </w:rPr>
      </w:pPr>
      <w:bookmarkStart w:id="0" w:name="_GoBack"/>
      <w:bookmarkEnd w:id="0"/>
    </w:p>
    <w:p w14:paraId="7E7E7949" w14:textId="77777777" w:rsidR="00167DBD" w:rsidRDefault="00167DBD" w:rsidP="00167D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C026F">
        <w:rPr>
          <w:noProof/>
          <w:u w:val="none"/>
          <w:lang w:eastAsia="en-GB"/>
        </w:rPr>
        <w:drawing>
          <wp:inline distT="0" distB="0" distL="0" distR="0" wp14:anchorId="6D31C7F4" wp14:editId="29D0DB52">
            <wp:extent cx="971550" cy="962025"/>
            <wp:effectExtent l="0" t="0" r="0" b="9525"/>
            <wp:docPr id="3" name="Picture 3" descr="C:\Users\QKI64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KI64Q\OneDrive - Ministry of Justice\JudgmentTemplate\Templates\\crest.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54FFE472" w14:textId="77777777" w:rsidR="00167DBD" w:rsidRPr="00B91426" w:rsidRDefault="00167DBD" w:rsidP="00167DB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val="0"/>
          <w:bCs/>
        </w:rPr>
      </w:pPr>
      <w:r>
        <w:rPr>
          <w:b w:val="0"/>
          <w:bCs/>
        </w:rPr>
        <w:t>Neutral Citation [2019] EWHC 2551 (Ch)</w:t>
      </w:r>
      <w:r w:rsidRPr="00167DBD">
        <w:rPr>
          <w:b w:val="0"/>
          <w:bCs/>
          <w:u w:val="none"/>
        </w:rPr>
        <w:t xml:space="preserve">                                          </w:t>
      </w:r>
      <w:r>
        <w:rPr>
          <w:b w:val="0"/>
          <w:bCs/>
        </w:rPr>
        <w:t>Claim No.: HC-2013-000211</w:t>
      </w:r>
    </w:p>
    <w:p w14:paraId="77EBDE39"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EB937BB" w14:textId="3E99033B" w:rsidR="000E78C3" w:rsidRDefault="00166C1A">
      <w:pPr>
        <w:rPr>
          <w:b/>
          <w:spacing w:val="-3"/>
          <w:u w:val="single"/>
        </w:rPr>
      </w:pPr>
      <w:r>
        <w:rPr>
          <w:b/>
          <w:spacing w:val="-3"/>
          <w:u w:val="single"/>
        </w:rPr>
        <w:t>BUSINESS AND PROPERTY COURTS OF ENGLAND AND WALES</w:t>
      </w:r>
      <w:r w:rsidR="00BA08E4">
        <w:rPr>
          <w:b/>
          <w:spacing w:val="-3"/>
          <w:u w:val="single"/>
        </w:rPr>
        <w:t xml:space="preserve"> (ChD)</w:t>
      </w:r>
    </w:p>
    <w:p w14:paraId="7C3C5C9B" w14:textId="30C017EE" w:rsidR="000E78C3" w:rsidRDefault="00BA08E4">
      <w:pPr>
        <w:rPr>
          <w:b/>
          <w:spacing w:val="-3"/>
          <w:u w:val="single"/>
        </w:rPr>
      </w:pPr>
      <w:r>
        <w:rPr>
          <w:b/>
          <w:spacing w:val="-3"/>
          <w:u w:val="single"/>
        </w:rPr>
        <w:t xml:space="preserve">BUSINESS LIST </w:t>
      </w:r>
    </w:p>
    <w:p w14:paraId="32B98E63" w14:textId="77777777" w:rsidR="000E78C3" w:rsidRDefault="00166C1A">
      <w:pPr>
        <w:pStyle w:val="CoverText"/>
      </w:pPr>
      <w:r>
        <w:t>Rolls Building</w:t>
      </w:r>
    </w:p>
    <w:p w14:paraId="13982AFC" w14:textId="77777777" w:rsidR="00167DBD" w:rsidRDefault="00167DBD">
      <w:pPr>
        <w:pStyle w:val="CoverText"/>
      </w:pPr>
      <w:r>
        <w:t>7 Rolls Buildings</w:t>
      </w:r>
    </w:p>
    <w:p w14:paraId="4FB5AFCE" w14:textId="77777777" w:rsidR="000E78C3" w:rsidRDefault="00166C1A">
      <w:pPr>
        <w:pStyle w:val="CoverText"/>
      </w:pPr>
      <w:r>
        <w:t>Fetter Lane</w:t>
      </w:r>
    </w:p>
    <w:p w14:paraId="08265CC3" w14:textId="77777777" w:rsidR="000E78C3" w:rsidRDefault="00166C1A">
      <w:pPr>
        <w:pStyle w:val="CoverText"/>
      </w:pPr>
      <w:r>
        <w:t>London EC4A 1NL</w:t>
      </w:r>
    </w:p>
    <w:p w14:paraId="42C16009" w14:textId="77777777" w:rsidR="000E78C3" w:rsidRDefault="000E78C3">
      <w:pPr>
        <w:jc w:val="right"/>
        <w:rPr>
          <w:spacing w:val="-3"/>
          <w:u w:val="single"/>
        </w:rPr>
      </w:pPr>
    </w:p>
    <w:p w14:paraId="0F8DFFC8" w14:textId="77777777" w:rsidR="000E78C3" w:rsidRDefault="00166C1A">
      <w:pPr>
        <w:pStyle w:val="CoverText"/>
      </w:pPr>
      <w:r>
        <w:t xml:space="preserve">Date: </w:t>
      </w:r>
      <w:r w:rsidR="00167DBD">
        <w:t>2 October 2019</w:t>
      </w:r>
    </w:p>
    <w:p w14:paraId="559A4C35" w14:textId="77777777" w:rsidR="000E78C3" w:rsidRDefault="000E78C3">
      <w:pPr>
        <w:rPr>
          <w:spacing w:val="-3"/>
        </w:rPr>
      </w:pPr>
    </w:p>
    <w:p w14:paraId="1B6A8212" w14:textId="77777777" w:rsidR="000E78C3" w:rsidRDefault="00166C1A">
      <w:pPr>
        <w:jc w:val="center"/>
      </w:pPr>
      <w:r>
        <w:rPr>
          <w:b/>
          <w:spacing w:val="-3"/>
        </w:rPr>
        <w:t>Before</w:t>
      </w:r>
      <w:r>
        <w:rPr>
          <w:spacing w:val="-3"/>
        </w:rPr>
        <w:t>:</w:t>
      </w:r>
    </w:p>
    <w:p w14:paraId="600CA6D5" w14:textId="77777777" w:rsidR="000E78C3" w:rsidRDefault="000E78C3">
      <w:pPr>
        <w:jc w:val="center"/>
        <w:rPr>
          <w:spacing w:val="-3"/>
        </w:rPr>
      </w:pPr>
    </w:p>
    <w:p w14:paraId="60691F5B"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MARCUS SMITH</w:t>
      </w:r>
    </w:p>
    <w:p w14:paraId="3BE4C811" w14:textId="77777777" w:rsidR="000E78C3" w:rsidRDefault="00166C1A">
      <w:pPr>
        <w:jc w:val="center"/>
        <w:rPr>
          <w:spacing w:val="-3"/>
        </w:rPr>
      </w:pPr>
      <w:r>
        <w:rPr>
          <w:spacing w:val="-3"/>
        </w:rPr>
        <w:t>- - - - - - - - - - - - - - - - - - - - -</w:t>
      </w:r>
    </w:p>
    <w:p w14:paraId="52DBFE21" w14:textId="77777777" w:rsidR="000E78C3" w:rsidRDefault="000E78C3">
      <w:pPr>
        <w:rPr>
          <w:b/>
          <w:spacing w:val="-3"/>
        </w:rPr>
      </w:pPr>
    </w:p>
    <w:tbl>
      <w:tblPr>
        <w:tblW w:w="9126" w:type="dxa"/>
        <w:jc w:val="center"/>
        <w:tblLayout w:type="fixed"/>
        <w:tblCellMar>
          <w:left w:w="10" w:type="dxa"/>
          <w:right w:w="10" w:type="dxa"/>
        </w:tblCellMar>
        <w:tblLook w:val="04A0" w:firstRow="1" w:lastRow="0" w:firstColumn="1" w:lastColumn="0" w:noHBand="0" w:noVBand="1"/>
      </w:tblPr>
      <w:tblGrid>
        <w:gridCol w:w="1776"/>
        <w:gridCol w:w="5293"/>
        <w:gridCol w:w="2057"/>
      </w:tblGrid>
      <w:tr w:rsidR="000E78C3" w14:paraId="74ED01BC" w14:textId="77777777">
        <w:trPr>
          <w:jc w:val="center"/>
        </w:trPr>
        <w:tc>
          <w:tcPr>
            <w:tcW w:w="1776" w:type="dxa"/>
            <w:shd w:val="clear" w:color="auto" w:fill="auto"/>
            <w:tcMar>
              <w:top w:w="0" w:type="dxa"/>
              <w:left w:w="108" w:type="dxa"/>
              <w:bottom w:w="0" w:type="dxa"/>
              <w:right w:w="108" w:type="dxa"/>
            </w:tcMar>
          </w:tcPr>
          <w:p w14:paraId="5CB11C8A"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11A0D132" w14:textId="77777777" w:rsidR="000E78C3" w:rsidRDefault="00EC7115">
            <w:pPr>
              <w:ind w:left="360"/>
              <w:jc w:val="center"/>
              <w:rPr>
                <w:b/>
                <w:spacing w:val="-3"/>
              </w:rPr>
            </w:pPr>
            <w:r>
              <w:rPr>
                <w:b/>
                <w:spacing w:val="-3"/>
              </w:rPr>
              <w:t>THE HIGH COMMISSIONER FOR PAKISTAN IN THE UNITED KINGDOM</w:t>
            </w:r>
          </w:p>
        </w:tc>
        <w:tc>
          <w:tcPr>
            <w:tcW w:w="2057" w:type="dxa"/>
            <w:shd w:val="clear" w:color="auto" w:fill="auto"/>
            <w:tcMar>
              <w:top w:w="0" w:type="dxa"/>
              <w:left w:w="108" w:type="dxa"/>
              <w:bottom w:w="0" w:type="dxa"/>
              <w:right w:w="108" w:type="dxa"/>
            </w:tcMar>
          </w:tcPr>
          <w:p w14:paraId="618636B1"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41457B95" w14:textId="77777777">
        <w:trPr>
          <w:jc w:val="center"/>
        </w:trPr>
        <w:tc>
          <w:tcPr>
            <w:tcW w:w="1776" w:type="dxa"/>
            <w:shd w:val="clear" w:color="auto" w:fill="auto"/>
            <w:tcMar>
              <w:top w:w="0" w:type="dxa"/>
              <w:left w:w="108" w:type="dxa"/>
              <w:bottom w:w="0" w:type="dxa"/>
              <w:right w:w="108" w:type="dxa"/>
            </w:tcMar>
          </w:tcPr>
          <w:p w14:paraId="4368768B"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1998860B" w14:textId="77777777" w:rsidR="000E78C3" w:rsidRDefault="000E78C3">
            <w:pPr>
              <w:rPr>
                <w:b/>
                <w:spacing w:val="-3"/>
              </w:rPr>
            </w:pPr>
          </w:p>
        </w:tc>
        <w:tc>
          <w:tcPr>
            <w:tcW w:w="2057" w:type="dxa"/>
            <w:shd w:val="clear" w:color="auto" w:fill="auto"/>
            <w:tcMar>
              <w:top w:w="0" w:type="dxa"/>
              <w:left w:w="108" w:type="dxa"/>
              <w:bottom w:w="0" w:type="dxa"/>
              <w:right w:w="108" w:type="dxa"/>
            </w:tcMar>
          </w:tcPr>
          <w:p w14:paraId="0B5B1BC8"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Claimant</w:t>
            </w:r>
          </w:p>
        </w:tc>
      </w:tr>
      <w:tr w:rsidR="000E78C3" w14:paraId="2B9D8FD2" w14:textId="77777777">
        <w:trPr>
          <w:jc w:val="center"/>
        </w:trPr>
        <w:tc>
          <w:tcPr>
            <w:tcW w:w="1776" w:type="dxa"/>
            <w:shd w:val="clear" w:color="auto" w:fill="auto"/>
            <w:tcMar>
              <w:top w:w="0" w:type="dxa"/>
              <w:left w:w="108" w:type="dxa"/>
              <w:bottom w:w="0" w:type="dxa"/>
              <w:right w:w="108" w:type="dxa"/>
            </w:tcMar>
          </w:tcPr>
          <w:p w14:paraId="21A2D840"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7F4ECFE9" w14:textId="77777777" w:rsidR="000E78C3" w:rsidRDefault="00166C1A">
            <w:pPr>
              <w:jc w:val="center"/>
              <w:rPr>
                <w:b/>
                <w:spacing w:val="-3"/>
              </w:rPr>
            </w:pPr>
            <w:r>
              <w:rPr>
                <w:b/>
                <w:spacing w:val="-3"/>
              </w:rPr>
              <w:t>- and -</w:t>
            </w:r>
          </w:p>
        </w:tc>
        <w:tc>
          <w:tcPr>
            <w:tcW w:w="2057" w:type="dxa"/>
            <w:shd w:val="clear" w:color="auto" w:fill="auto"/>
            <w:tcMar>
              <w:top w:w="0" w:type="dxa"/>
              <w:left w:w="108" w:type="dxa"/>
              <w:bottom w:w="0" w:type="dxa"/>
              <w:right w:w="108" w:type="dxa"/>
            </w:tcMar>
          </w:tcPr>
          <w:p w14:paraId="0D8B147C"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26E2F655" w14:textId="77777777">
        <w:trPr>
          <w:jc w:val="center"/>
        </w:trPr>
        <w:tc>
          <w:tcPr>
            <w:tcW w:w="1776" w:type="dxa"/>
            <w:shd w:val="clear" w:color="auto" w:fill="auto"/>
            <w:tcMar>
              <w:top w:w="0" w:type="dxa"/>
              <w:left w:w="108" w:type="dxa"/>
              <w:bottom w:w="0" w:type="dxa"/>
              <w:right w:w="108" w:type="dxa"/>
            </w:tcMar>
          </w:tcPr>
          <w:p w14:paraId="56A33CA9" w14:textId="77777777" w:rsidR="000E78C3" w:rsidRDefault="000E78C3">
            <w:pPr>
              <w:rPr>
                <w:b/>
                <w:spacing w:val="-3"/>
              </w:rPr>
            </w:pPr>
          </w:p>
        </w:tc>
        <w:tc>
          <w:tcPr>
            <w:tcW w:w="5293" w:type="dxa"/>
            <w:shd w:val="clear" w:color="auto" w:fill="auto"/>
            <w:tcMar>
              <w:top w:w="0" w:type="dxa"/>
              <w:left w:w="108" w:type="dxa"/>
              <w:bottom w:w="0" w:type="dxa"/>
              <w:right w:w="108" w:type="dxa"/>
            </w:tcMar>
          </w:tcPr>
          <w:p w14:paraId="4F5B0346" w14:textId="77777777" w:rsidR="000E78C3" w:rsidRDefault="000E78C3">
            <w:pPr>
              <w:rPr>
                <w:b/>
                <w:spacing w:val="-3"/>
              </w:rPr>
            </w:pPr>
          </w:p>
        </w:tc>
        <w:tc>
          <w:tcPr>
            <w:tcW w:w="2057" w:type="dxa"/>
            <w:shd w:val="clear" w:color="auto" w:fill="auto"/>
            <w:tcMar>
              <w:top w:w="0" w:type="dxa"/>
              <w:left w:w="108" w:type="dxa"/>
              <w:bottom w:w="0" w:type="dxa"/>
              <w:right w:w="108" w:type="dxa"/>
            </w:tcMar>
          </w:tcPr>
          <w:p w14:paraId="71997323"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0E78C3" w14:paraId="1290C3C0" w14:textId="77777777">
        <w:trPr>
          <w:jc w:val="center"/>
        </w:trPr>
        <w:tc>
          <w:tcPr>
            <w:tcW w:w="1776" w:type="dxa"/>
            <w:shd w:val="clear" w:color="auto" w:fill="auto"/>
            <w:tcMar>
              <w:top w:w="0" w:type="dxa"/>
              <w:left w:w="108" w:type="dxa"/>
              <w:bottom w:w="0" w:type="dxa"/>
              <w:right w:w="108" w:type="dxa"/>
            </w:tcMar>
          </w:tcPr>
          <w:p w14:paraId="6C10F504" w14:textId="77777777" w:rsidR="000E78C3" w:rsidRDefault="000E78C3">
            <w:pPr>
              <w:rPr>
                <w:spacing w:val="-3"/>
              </w:rPr>
            </w:pPr>
          </w:p>
        </w:tc>
        <w:tc>
          <w:tcPr>
            <w:tcW w:w="5293" w:type="dxa"/>
            <w:shd w:val="clear" w:color="auto" w:fill="auto"/>
            <w:tcMar>
              <w:top w:w="0" w:type="dxa"/>
              <w:left w:w="108" w:type="dxa"/>
              <w:bottom w:w="0" w:type="dxa"/>
              <w:right w:w="108" w:type="dxa"/>
            </w:tcMar>
          </w:tcPr>
          <w:p w14:paraId="619487FF" w14:textId="77777777" w:rsidR="000E78C3" w:rsidRDefault="001460C3" w:rsidP="00EC7115">
            <w:pPr>
              <w:jc w:val="center"/>
              <w:rPr>
                <w:b/>
                <w:spacing w:val="-3"/>
              </w:rPr>
            </w:pPr>
            <w:r>
              <w:rPr>
                <w:b/>
                <w:spacing w:val="-3"/>
              </w:rPr>
              <w:t xml:space="preserve">(1) </w:t>
            </w:r>
            <w:r w:rsidRPr="003C4D0F">
              <w:rPr>
                <w:b/>
                <w:strike/>
                <w:spacing w:val="-3"/>
              </w:rPr>
              <w:t xml:space="preserve">PRINCE MUKARRAM JAH, HIS EXALTED HIGHNESS </w:t>
            </w:r>
            <w:r w:rsidR="00BD3371" w:rsidRPr="003C4D0F">
              <w:rPr>
                <w:b/>
                <w:strike/>
                <w:spacing w:val="-3"/>
              </w:rPr>
              <w:t>THE 8</w:t>
            </w:r>
            <w:r w:rsidR="00BD3371" w:rsidRPr="003C4D0F">
              <w:rPr>
                <w:b/>
                <w:strike/>
                <w:spacing w:val="-3"/>
                <w:vertAlign w:val="superscript"/>
              </w:rPr>
              <w:t>th</w:t>
            </w:r>
            <w:r w:rsidR="00BD3371" w:rsidRPr="003C4D0F">
              <w:rPr>
                <w:b/>
                <w:strike/>
                <w:spacing w:val="-3"/>
              </w:rPr>
              <w:t xml:space="preserve"> NIZAM OF HYDERABAD</w:t>
            </w:r>
          </w:p>
        </w:tc>
        <w:tc>
          <w:tcPr>
            <w:tcW w:w="2057" w:type="dxa"/>
            <w:shd w:val="clear" w:color="auto" w:fill="auto"/>
            <w:tcMar>
              <w:top w:w="0" w:type="dxa"/>
              <w:left w:w="108" w:type="dxa"/>
              <w:bottom w:w="0" w:type="dxa"/>
              <w:right w:w="108" w:type="dxa"/>
            </w:tcMar>
          </w:tcPr>
          <w:p w14:paraId="1A32310F"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0E78C3" w14:paraId="03E44202" w14:textId="77777777">
        <w:trPr>
          <w:jc w:val="center"/>
        </w:trPr>
        <w:tc>
          <w:tcPr>
            <w:tcW w:w="1776" w:type="dxa"/>
            <w:shd w:val="clear" w:color="auto" w:fill="auto"/>
            <w:tcMar>
              <w:top w:w="0" w:type="dxa"/>
              <w:left w:w="108" w:type="dxa"/>
              <w:bottom w:w="0" w:type="dxa"/>
              <w:right w:w="108" w:type="dxa"/>
            </w:tcMar>
          </w:tcPr>
          <w:p w14:paraId="56B2522C" w14:textId="77777777" w:rsidR="000E78C3" w:rsidRDefault="000E78C3">
            <w:pPr>
              <w:rPr>
                <w:spacing w:val="-3"/>
              </w:rPr>
            </w:pPr>
          </w:p>
        </w:tc>
        <w:tc>
          <w:tcPr>
            <w:tcW w:w="5293" w:type="dxa"/>
            <w:shd w:val="clear" w:color="auto" w:fill="auto"/>
            <w:tcMar>
              <w:top w:w="0" w:type="dxa"/>
              <w:left w:w="108" w:type="dxa"/>
              <w:bottom w:w="0" w:type="dxa"/>
              <w:right w:w="108" w:type="dxa"/>
            </w:tcMar>
          </w:tcPr>
          <w:p w14:paraId="12074F62" w14:textId="77777777" w:rsidR="000E78C3" w:rsidRDefault="00BD3371" w:rsidP="00BD3371">
            <w:pPr>
              <w:jc w:val="center"/>
              <w:rPr>
                <w:b/>
                <w:spacing w:val="-3"/>
              </w:rPr>
            </w:pPr>
            <w:r>
              <w:rPr>
                <w:b/>
                <w:spacing w:val="-3"/>
              </w:rPr>
              <w:t xml:space="preserve">(2) </w:t>
            </w:r>
            <w:r w:rsidR="00CA531A">
              <w:rPr>
                <w:b/>
                <w:spacing w:val="-3"/>
              </w:rPr>
              <w:t>PRINCE MUFFAKHAM JAH</w:t>
            </w:r>
          </w:p>
        </w:tc>
        <w:tc>
          <w:tcPr>
            <w:tcW w:w="2057" w:type="dxa"/>
            <w:shd w:val="clear" w:color="auto" w:fill="auto"/>
            <w:tcMar>
              <w:top w:w="0" w:type="dxa"/>
              <w:left w:w="108" w:type="dxa"/>
              <w:bottom w:w="0" w:type="dxa"/>
              <w:right w:w="108" w:type="dxa"/>
            </w:tcMar>
          </w:tcPr>
          <w:p w14:paraId="3D7D1D92"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CA531A" w14:paraId="03EA382B" w14:textId="77777777">
        <w:trPr>
          <w:jc w:val="center"/>
        </w:trPr>
        <w:tc>
          <w:tcPr>
            <w:tcW w:w="1776" w:type="dxa"/>
            <w:shd w:val="clear" w:color="auto" w:fill="auto"/>
            <w:tcMar>
              <w:top w:w="0" w:type="dxa"/>
              <w:left w:w="108" w:type="dxa"/>
              <w:bottom w:w="0" w:type="dxa"/>
              <w:right w:w="108" w:type="dxa"/>
            </w:tcMar>
          </w:tcPr>
          <w:p w14:paraId="66C503A4" w14:textId="77777777" w:rsidR="00CA531A" w:rsidRDefault="00CA531A">
            <w:pPr>
              <w:rPr>
                <w:spacing w:val="-3"/>
              </w:rPr>
            </w:pPr>
          </w:p>
        </w:tc>
        <w:tc>
          <w:tcPr>
            <w:tcW w:w="5293" w:type="dxa"/>
            <w:shd w:val="clear" w:color="auto" w:fill="auto"/>
            <w:tcMar>
              <w:top w:w="0" w:type="dxa"/>
              <w:left w:w="108" w:type="dxa"/>
              <w:bottom w:w="0" w:type="dxa"/>
              <w:right w:w="108" w:type="dxa"/>
            </w:tcMar>
          </w:tcPr>
          <w:p w14:paraId="2F299E45" w14:textId="77777777" w:rsidR="00CA531A" w:rsidRDefault="00CA531A" w:rsidP="00BD3371">
            <w:pPr>
              <w:jc w:val="center"/>
              <w:rPr>
                <w:b/>
                <w:spacing w:val="-3"/>
              </w:rPr>
            </w:pPr>
            <w:r>
              <w:rPr>
                <w:b/>
                <w:spacing w:val="-3"/>
              </w:rPr>
              <w:t>(3) SHANNON CONSULTING</w:t>
            </w:r>
          </w:p>
        </w:tc>
        <w:tc>
          <w:tcPr>
            <w:tcW w:w="2057" w:type="dxa"/>
            <w:shd w:val="clear" w:color="auto" w:fill="auto"/>
            <w:tcMar>
              <w:top w:w="0" w:type="dxa"/>
              <w:left w:w="108" w:type="dxa"/>
              <w:bottom w:w="0" w:type="dxa"/>
              <w:right w:w="108" w:type="dxa"/>
            </w:tcMar>
          </w:tcPr>
          <w:p w14:paraId="6AA981EC" w14:textId="77777777" w:rsidR="00CA531A" w:rsidRDefault="00CA53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CA531A" w14:paraId="7105DBFB" w14:textId="77777777">
        <w:trPr>
          <w:jc w:val="center"/>
        </w:trPr>
        <w:tc>
          <w:tcPr>
            <w:tcW w:w="1776" w:type="dxa"/>
            <w:shd w:val="clear" w:color="auto" w:fill="auto"/>
            <w:tcMar>
              <w:top w:w="0" w:type="dxa"/>
              <w:left w:w="108" w:type="dxa"/>
              <w:bottom w:w="0" w:type="dxa"/>
              <w:right w:w="108" w:type="dxa"/>
            </w:tcMar>
          </w:tcPr>
          <w:p w14:paraId="4B797FA5" w14:textId="77777777" w:rsidR="00CA531A" w:rsidRDefault="00CA531A">
            <w:pPr>
              <w:rPr>
                <w:spacing w:val="-3"/>
              </w:rPr>
            </w:pPr>
          </w:p>
        </w:tc>
        <w:tc>
          <w:tcPr>
            <w:tcW w:w="5293" w:type="dxa"/>
            <w:shd w:val="clear" w:color="auto" w:fill="auto"/>
            <w:tcMar>
              <w:top w:w="0" w:type="dxa"/>
              <w:left w:w="108" w:type="dxa"/>
              <w:bottom w:w="0" w:type="dxa"/>
              <w:right w:w="108" w:type="dxa"/>
            </w:tcMar>
          </w:tcPr>
          <w:p w14:paraId="0F22B55C" w14:textId="77777777" w:rsidR="00CA531A" w:rsidRDefault="003045B0" w:rsidP="00BD3371">
            <w:pPr>
              <w:jc w:val="center"/>
              <w:rPr>
                <w:b/>
                <w:spacing w:val="-3"/>
              </w:rPr>
            </w:pPr>
            <w:r>
              <w:rPr>
                <w:b/>
                <w:spacing w:val="-3"/>
              </w:rPr>
              <w:t>(4) THE UNION OF INDIA</w:t>
            </w:r>
          </w:p>
        </w:tc>
        <w:tc>
          <w:tcPr>
            <w:tcW w:w="2057" w:type="dxa"/>
            <w:shd w:val="clear" w:color="auto" w:fill="auto"/>
            <w:tcMar>
              <w:top w:w="0" w:type="dxa"/>
              <w:left w:w="108" w:type="dxa"/>
              <w:bottom w:w="0" w:type="dxa"/>
              <w:right w:w="108" w:type="dxa"/>
            </w:tcMar>
          </w:tcPr>
          <w:p w14:paraId="41944AC9" w14:textId="77777777" w:rsidR="00CA531A" w:rsidRDefault="00CA53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3045B0" w14:paraId="7C5D88BB" w14:textId="77777777">
        <w:trPr>
          <w:jc w:val="center"/>
        </w:trPr>
        <w:tc>
          <w:tcPr>
            <w:tcW w:w="1776" w:type="dxa"/>
            <w:shd w:val="clear" w:color="auto" w:fill="auto"/>
            <w:tcMar>
              <w:top w:w="0" w:type="dxa"/>
              <w:left w:w="108" w:type="dxa"/>
              <w:bottom w:w="0" w:type="dxa"/>
              <w:right w:w="108" w:type="dxa"/>
            </w:tcMar>
          </w:tcPr>
          <w:p w14:paraId="08D519A8" w14:textId="77777777" w:rsidR="003045B0" w:rsidRDefault="003045B0">
            <w:pPr>
              <w:rPr>
                <w:spacing w:val="-3"/>
              </w:rPr>
            </w:pPr>
          </w:p>
        </w:tc>
        <w:tc>
          <w:tcPr>
            <w:tcW w:w="5293" w:type="dxa"/>
            <w:shd w:val="clear" w:color="auto" w:fill="auto"/>
            <w:tcMar>
              <w:top w:w="0" w:type="dxa"/>
              <w:left w:w="108" w:type="dxa"/>
              <w:bottom w:w="0" w:type="dxa"/>
              <w:right w:w="108" w:type="dxa"/>
            </w:tcMar>
          </w:tcPr>
          <w:p w14:paraId="7246040A" w14:textId="77777777" w:rsidR="003045B0" w:rsidRDefault="003045B0" w:rsidP="00BD3371">
            <w:pPr>
              <w:jc w:val="center"/>
              <w:rPr>
                <w:b/>
                <w:spacing w:val="-3"/>
              </w:rPr>
            </w:pPr>
            <w:r>
              <w:rPr>
                <w:b/>
                <w:spacing w:val="-3"/>
              </w:rPr>
              <w:t>(5) THE PRESIDENT OF INDIA</w:t>
            </w:r>
          </w:p>
        </w:tc>
        <w:tc>
          <w:tcPr>
            <w:tcW w:w="2057" w:type="dxa"/>
            <w:shd w:val="clear" w:color="auto" w:fill="auto"/>
            <w:tcMar>
              <w:top w:w="0" w:type="dxa"/>
              <w:left w:w="108" w:type="dxa"/>
              <w:bottom w:w="0" w:type="dxa"/>
              <w:right w:w="108" w:type="dxa"/>
            </w:tcMar>
          </w:tcPr>
          <w:p w14:paraId="0315F4D0" w14:textId="77777777" w:rsidR="003045B0" w:rsidRDefault="003045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3045B0" w14:paraId="431CA63B" w14:textId="77777777">
        <w:trPr>
          <w:jc w:val="center"/>
        </w:trPr>
        <w:tc>
          <w:tcPr>
            <w:tcW w:w="1776" w:type="dxa"/>
            <w:shd w:val="clear" w:color="auto" w:fill="auto"/>
            <w:tcMar>
              <w:top w:w="0" w:type="dxa"/>
              <w:left w:w="108" w:type="dxa"/>
              <w:bottom w:w="0" w:type="dxa"/>
              <w:right w:w="108" w:type="dxa"/>
            </w:tcMar>
          </w:tcPr>
          <w:p w14:paraId="2B535E7B" w14:textId="77777777" w:rsidR="003045B0" w:rsidRDefault="003045B0">
            <w:pPr>
              <w:rPr>
                <w:spacing w:val="-3"/>
              </w:rPr>
            </w:pPr>
          </w:p>
        </w:tc>
        <w:tc>
          <w:tcPr>
            <w:tcW w:w="5293" w:type="dxa"/>
            <w:shd w:val="clear" w:color="auto" w:fill="auto"/>
            <w:tcMar>
              <w:top w:w="0" w:type="dxa"/>
              <w:left w:w="108" w:type="dxa"/>
              <w:bottom w:w="0" w:type="dxa"/>
              <w:right w:w="108" w:type="dxa"/>
            </w:tcMar>
          </w:tcPr>
          <w:p w14:paraId="385C587F" w14:textId="77777777" w:rsidR="003045B0" w:rsidRDefault="003045B0" w:rsidP="00BD3371">
            <w:pPr>
              <w:jc w:val="center"/>
              <w:rPr>
                <w:b/>
                <w:spacing w:val="-3"/>
              </w:rPr>
            </w:pPr>
            <w:r>
              <w:rPr>
                <w:b/>
                <w:spacing w:val="-3"/>
              </w:rPr>
              <w:t xml:space="preserve">(6) </w:t>
            </w:r>
            <w:r w:rsidR="00E57A93">
              <w:rPr>
                <w:b/>
                <w:spacing w:val="-3"/>
              </w:rPr>
              <w:t>HILLVIEW ASSETS HOLDINGS LIMITED</w:t>
            </w:r>
          </w:p>
        </w:tc>
        <w:tc>
          <w:tcPr>
            <w:tcW w:w="2057" w:type="dxa"/>
            <w:shd w:val="clear" w:color="auto" w:fill="auto"/>
            <w:tcMar>
              <w:top w:w="0" w:type="dxa"/>
              <w:left w:w="108" w:type="dxa"/>
              <w:bottom w:w="0" w:type="dxa"/>
              <w:right w:w="108" w:type="dxa"/>
            </w:tcMar>
          </w:tcPr>
          <w:p w14:paraId="49BBC260" w14:textId="77777777" w:rsidR="003045B0" w:rsidRDefault="003045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0E78C3" w14:paraId="04A00116" w14:textId="77777777">
        <w:trPr>
          <w:jc w:val="center"/>
        </w:trPr>
        <w:tc>
          <w:tcPr>
            <w:tcW w:w="1776" w:type="dxa"/>
            <w:shd w:val="clear" w:color="auto" w:fill="auto"/>
            <w:tcMar>
              <w:top w:w="0" w:type="dxa"/>
              <w:left w:w="108" w:type="dxa"/>
              <w:bottom w:w="0" w:type="dxa"/>
              <w:right w:w="108" w:type="dxa"/>
            </w:tcMar>
          </w:tcPr>
          <w:p w14:paraId="3D21F89B" w14:textId="77777777" w:rsidR="000E78C3" w:rsidRDefault="000E78C3">
            <w:pPr>
              <w:rPr>
                <w:spacing w:val="-3"/>
              </w:rPr>
            </w:pPr>
          </w:p>
        </w:tc>
        <w:tc>
          <w:tcPr>
            <w:tcW w:w="5293" w:type="dxa"/>
            <w:shd w:val="clear" w:color="auto" w:fill="auto"/>
            <w:tcMar>
              <w:top w:w="0" w:type="dxa"/>
              <w:left w:w="108" w:type="dxa"/>
              <w:bottom w:w="0" w:type="dxa"/>
              <w:right w:w="108" w:type="dxa"/>
            </w:tcMar>
          </w:tcPr>
          <w:p w14:paraId="5B4B1D9C" w14:textId="77777777" w:rsidR="000E78C3" w:rsidRDefault="000E78C3">
            <w:pPr>
              <w:rPr>
                <w:b/>
                <w:spacing w:val="-3"/>
              </w:rPr>
            </w:pPr>
          </w:p>
        </w:tc>
        <w:tc>
          <w:tcPr>
            <w:tcW w:w="2057" w:type="dxa"/>
            <w:shd w:val="clear" w:color="auto" w:fill="auto"/>
            <w:tcMar>
              <w:top w:w="0" w:type="dxa"/>
              <w:left w:w="108" w:type="dxa"/>
              <w:bottom w:w="0" w:type="dxa"/>
              <w:right w:w="108" w:type="dxa"/>
            </w:tcMar>
          </w:tcPr>
          <w:p w14:paraId="6BBBD890"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Defendants</w:t>
            </w:r>
            <w:r w:rsidR="000A75AC">
              <w:rPr>
                <w:b w:val="0"/>
              </w:rPr>
              <w:t xml:space="preserve"> and</w:t>
            </w:r>
          </w:p>
          <w:p w14:paraId="207005EC" w14:textId="77777777" w:rsidR="00E57A93" w:rsidRDefault="00E57A9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Interpleader Claimants</w:t>
            </w:r>
          </w:p>
        </w:tc>
      </w:tr>
      <w:tr w:rsidR="000E78C3" w14:paraId="577A52CF" w14:textId="77777777">
        <w:trPr>
          <w:jc w:val="center"/>
        </w:trPr>
        <w:tc>
          <w:tcPr>
            <w:tcW w:w="1776" w:type="dxa"/>
            <w:shd w:val="clear" w:color="auto" w:fill="auto"/>
            <w:tcMar>
              <w:top w:w="0" w:type="dxa"/>
              <w:left w:w="108" w:type="dxa"/>
              <w:bottom w:w="0" w:type="dxa"/>
              <w:right w:w="108" w:type="dxa"/>
            </w:tcMar>
          </w:tcPr>
          <w:p w14:paraId="09564E03" w14:textId="77777777" w:rsidR="000E78C3" w:rsidRDefault="000E78C3">
            <w:pPr>
              <w:rPr>
                <w:spacing w:val="-3"/>
              </w:rPr>
            </w:pPr>
          </w:p>
        </w:tc>
        <w:tc>
          <w:tcPr>
            <w:tcW w:w="5293" w:type="dxa"/>
            <w:shd w:val="clear" w:color="auto" w:fill="auto"/>
            <w:tcMar>
              <w:top w:w="0" w:type="dxa"/>
              <w:left w:w="108" w:type="dxa"/>
              <w:bottom w:w="0" w:type="dxa"/>
              <w:right w:w="108" w:type="dxa"/>
            </w:tcMar>
          </w:tcPr>
          <w:p w14:paraId="4EFB723A" w14:textId="77777777" w:rsidR="000E78C3" w:rsidRDefault="00166C1A">
            <w:pPr>
              <w:jc w:val="center"/>
              <w:rPr>
                <w:b/>
                <w:spacing w:val="-3"/>
              </w:rPr>
            </w:pPr>
            <w:r>
              <w:rPr>
                <w:b/>
                <w:spacing w:val="-3"/>
              </w:rPr>
              <w:t>- and -</w:t>
            </w:r>
          </w:p>
        </w:tc>
        <w:tc>
          <w:tcPr>
            <w:tcW w:w="2057" w:type="dxa"/>
            <w:shd w:val="clear" w:color="auto" w:fill="auto"/>
            <w:tcMar>
              <w:top w:w="0" w:type="dxa"/>
              <w:left w:w="108" w:type="dxa"/>
              <w:bottom w:w="0" w:type="dxa"/>
              <w:right w:w="108" w:type="dxa"/>
            </w:tcMar>
          </w:tcPr>
          <w:p w14:paraId="1F59EA32"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0E78C3" w14:paraId="21BD6D18" w14:textId="77777777">
        <w:trPr>
          <w:jc w:val="center"/>
        </w:trPr>
        <w:tc>
          <w:tcPr>
            <w:tcW w:w="1776" w:type="dxa"/>
            <w:shd w:val="clear" w:color="auto" w:fill="auto"/>
            <w:tcMar>
              <w:top w:w="0" w:type="dxa"/>
              <w:left w:w="108" w:type="dxa"/>
              <w:bottom w:w="0" w:type="dxa"/>
              <w:right w:w="108" w:type="dxa"/>
            </w:tcMar>
          </w:tcPr>
          <w:p w14:paraId="0AC7B674" w14:textId="77777777" w:rsidR="000E78C3" w:rsidRDefault="000E78C3">
            <w:pPr>
              <w:rPr>
                <w:spacing w:val="-3"/>
              </w:rPr>
            </w:pPr>
          </w:p>
        </w:tc>
        <w:tc>
          <w:tcPr>
            <w:tcW w:w="5293" w:type="dxa"/>
            <w:shd w:val="clear" w:color="auto" w:fill="auto"/>
            <w:tcMar>
              <w:top w:w="0" w:type="dxa"/>
              <w:left w:w="108" w:type="dxa"/>
              <w:bottom w:w="0" w:type="dxa"/>
              <w:right w:w="108" w:type="dxa"/>
            </w:tcMar>
          </w:tcPr>
          <w:p w14:paraId="2AAF3F28" w14:textId="77777777" w:rsidR="000E78C3" w:rsidRDefault="000E78C3">
            <w:pPr>
              <w:jc w:val="center"/>
              <w:rPr>
                <w:b/>
                <w:spacing w:val="-3"/>
              </w:rPr>
            </w:pPr>
          </w:p>
        </w:tc>
        <w:tc>
          <w:tcPr>
            <w:tcW w:w="2057" w:type="dxa"/>
            <w:shd w:val="clear" w:color="auto" w:fill="auto"/>
            <w:tcMar>
              <w:top w:w="0" w:type="dxa"/>
              <w:left w:w="108" w:type="dxa"/>
              <w:bottom w:w="0" w:type="dxa"/>
              <w:right w:w="108" w:type="dxa"/>
            </w:tcMar>
          </w:tcPr>
          <w:p w14:paraId="2016B228"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0E78C3" w14:paraId="7473EA54" w14:textId="77777777">
        <w:trPr>
          <w:jc w:val="center"/>
        </w:trPr>
        <w:tc>
          <w:tcPr>
            <w:tcW w:w="1776" w:type="dxa"/>
            <w:shd w:val="clear" w:color="auto" w:fill="auto"/>
            <w:tcMar>
              <w:top w:w="0" w:type="dxa"/>
              <w:left w:w="108" w:type="dxa"/>
              <w:bottom w:w="0" w:type="dxa"/>
              <w:right w:w="108" w:type="dxa"/>
            </w:tcMar>
          </w:tcPr>
          <w:p w14:paraId="7B0EECE9" w14:textId="77777777" w:rsidR="000E78C3" w:rsidRDefault="000E78C3">
            <w:pPr>
              <w:rPr>
                <w:spacing w:val="-3"/>
              </w:rPr>
            </w:pPr>
          </w:p>
        </w:tc>
        <w:tc>
          <w:tcPr>
            <w:tcW w:w="5293" w:type="dxa"/>
            <w:shd w:val="clear" w:color="auto" w:fill="auto"/>
            <w:tcMar>
              <w:top w:w="0" w:type="dxa"/>
              <w:left w:w="108" w:type="dxa"/>
              <w:bottom w:w="0" w:type="dxa"/>
              <w:right w:w="108" w:type="dxa"/>
            </w:tcMar>
          </w:tcPr>
          <w:p w14:paraId="06A39385" w14:textId="77777777" w:rsidR="000E78C3" w:rsidRDefault="000D2D5F">
            <w:pPr>
              <w:jc w:val="center"/>
            </w:pPr>
            <w:r>
              <w:rPr>
                <w:b/>
                <w:spacing w:val="-3"/>
              </w:rPr>
              <w:t>(7) THE ADMINISTRATOR OF THE ESTATE OF THE 7</w:t>
            </w:r>
            <w:r w:rsidRPr="000D2D5F">
              <w:rPr>
                <w:b/>
                <w:spacing w:val="-3"/>
                <w:vertAlign w:val="superscript"/>
              </w:rPr>
              <w:t>th</w:t>
            </w:r>
            <w:r>
              <w:rPr>
                <w:b/>
                <w:spacing w:val="-3"/>
              </w:rPr>
              <w:t xml:space="preserve"> NIZAM OF HYDERBAD</w:t>
            </w:r>
          </w:p>
        </w:tc>
        <w:tc>
          <w:tcPr>
            <w:tcW w:w="2057" w:type="dxa"/>
            <w:shd w:val="clear" w:color="auto" w:fill="auto"/>
            <w:tcMar>
              <w:top w:w="0" w:type="dxa"/>
              <w:left w:w="108" w:type="dxa"/>
              <w:bottom w:w="0" w:type="dxa"/>
              <w:right w:w="108" w:type="dxa"/>
            </w:tcMar>
          </w:tcPr>
          <w:p w14:paraId="4C5F05F2"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0E78C3" w14:paraId="0FDEA863" w14:textId="77777777">
        <w:trPr>
          <w:jc w:val="center"/>
        </w:trPr>
        <w:tc>
          <w:tcPr>
            <w:tcW w:w="1776" w:type="dxa"/>
            <w:shd w:val="clear" w:color="auto" w:fill="auto"/>
            <w:tcMar>
              <w:top w:w="0" w:type="dxa"/>
              <w:left w:w="108" w:type="dxa"/>
              <w:bottom w:w="0" w:type="dxa"/>
              <w:right w:w="108" w:type="dxa"/>
            </w:tcMar>
          </w:tcPr>
          <w:p w14:paraId="1DF19B6B" w14:textId="77777777" w:rsidR="000E78C3" w:rsidRDefault="000E78C3">
            <w:pPr>
              <w:rPr>
                <w:spacing w:val="-3"/>
              </w:rPr>
            </w:pPr>
          </w:p>
        </w:tc>
        <w:tc>
          <w:tcPr>
            <w:tcW w:w="5293" w:type="dxa"/>
            <w:shd w:val="clear" w:color="auto" w:fill="auto"/>
            <w:tcMar>
              <w:top w:w="0" w:type="dxa"/>
              <w:left w:w="108" w:type="dxa"/>
              <w:bottom w:w="0" w:type="dxa"/>
              <w:right w:w="108" w:type="dxa"/>
            </w:tcMar>
          </w:tcPr>
          <w:p w14:paraId="58E417EF" w14:textId="77777777" w:rsidR="000E78C3" w:rsidRDefault="000E78C3">
            <w:pPr>
              <w:jc w:val="center"/>
              <w:rPr>
                <w:spacing w:val="-3"/>
              </w:rPr>
            </w:pPr>
          </w:p>
        </w:tc>
        <w:tc>
          <w:tcPr>
            <w:tcW w:w="2057" w:type="dxa"/>
            <w:shd w:val="clear" w:color="auto" w:fill="auto"/>
            <w:tcMar>
              <w:top w:w="0" w:type="dxa"/>
              <w:left w:w="108" w:type="dxa"/>
              <w:bottom w:w="0" w:type="dxa"/>
              <w:right w:w="108" w:type="dxa"/>
            </w:tcMar>
          </w:tcPr>
          <w:p w14:paraId="41771147" w14:textId="77777777" w:rsidR="000E78C3" w:rsidRDefault="00C64F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Defendant</w:t>
            </w:r>
          </w:p>
        </w:tc>
      </w:tr>
      <w:tr w:rsidR="00C64F44" w14:paraId="3A2E6DC2" w14:textId="77777777">
        <w:trPr>
          <w:jc w:val="center"/>
        </w:trPr>
        <w:tc>
          <w:tcPr>
            <w:tcW w:w="1776" w:type="dxa"/>
            <w:shd w:val="clear" w:color="auto" w:fill="auto"/>
            <w:tcMar>
              <w:top w:w="0" w:type="dxa"/>
              <w:left w:w="108" w:type="dxa"/>
              <w:bottom w:w="0" w:type="dxa"/>
              <w:right w:w="108" w:type="dxa"/>
            </w:tcMar>
          </w:tcPr>
          <w:p w14:paraId="6BEE9E67" w14:textId="77777777" w:rsidR="00C64F44" w:rsidRDefault="00C64F44">
            <w:pPr>
              <w:rPr>
                <w:spacing w:val="-3"/>
              </w:rPr>
            </w:pPr>
          </w:p>
        </w:tc>
        <w:tc>
          <w:tcPr>
            <w:tcW w:w="5293" w:type="dxa"/>
            <w:shd w:val="clear" w:color="auto" w:fill="auto"/>
            <w:tcMar>
              <w:top w:w="0" w:type="dxa"/>
              <w:left w:w="108" w:type="dxa"/>
              <w:bottom w:w="0" w:type="dxa"/>
              <w:right w:w="108" w:type="dxa"/>
            </w:tcMar>
          </w:tcPr>
          <w:p w14:paraId="3C3FB75A" w14:textId="77777777" w:rsidR="00C64F44" w:rsidRPr="00C64F44" w:rsidRDefault="00C64F44">
            <w:pPr>
              <w:jc w:val="center"/>
              <w:rPr>
                <w:b/>
                <w:bCs/>
                <w:spacing w:val="-3"/>
              </w:rPr>
            </w:pPr>
            <w:r>
              <w:rPr>
                <w:b/>
                <w:bCs/>
                <w:spacing w:val="-3"/>
              </w:rPr>
              <w:t>- and -</w:t>
            </w:r>
          </w:p>
        </w:tc>
        <w:tc>
          <w:tcPr>
            <w:tcW w:w="2057" w:type="dxa"/>
            <w:shd w:val="clear" w:color="auto" w:fill="auto"/>
            <w:tcMar>
              <w:top w:w="0" w:type="dxa"/>
              <w:left w:w="108" w:type="dxa"/>
              <w:bottom w:w="0" w:type="dxa"/>
              <w:right w:w="108" w:type="dxa"/>
            </w:tcMar>
          </w:tcPr>
          <w:p w14:paraId="7369BAC1" w14:textId="77777777" w:rsidR="00C64F44" w:rsidRDefault="00C64F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C64F44" w14:paraId="2D7AB9C3" w14:textId="77777777">
        <w:trPr>
          <w:jc w:val="center"/>
        </w:trPr>
        <w:tc>
          <w:tcPr>
            <w:tcW w:w="1776" w:type="dxa"/>
            <w:shd w:val="clear" w:color="auto" w:fill="auto"/>
            <w:tcMar>
              <w:top w:w="0" w:type="dxa"/>
              <w:left w:w="108" w:type="dxa"/>
              <w:bottom w:w="0" w:type="dxa"/>
              <w:right w:w="108" w:type="dxa"/>
            </w:tcMar>
          </w:tcPr>
          <w:p w14:paraId="223577D5" w14:textId="77777777" w:rsidR="00C64F44" w:rsidRDefault="00C64F44">
            <w:pPr>
              <w:rPr>
                <w:spacing w:val="-3"/>
              </w:rPr>
            </w:pPr>
          </w:p>
        </w:tc>
        <w:tc>
          <w:tcPr>
            <w:tcW w:w="5293" w:type="dxa"/>
            <w:shd w:val="clear" w:color="auto" w:fill="auto"/>
            <w:tcMar>
              <w:top w:w="0" w:type="dxa"/>
              <w:left w:w="108" w:type="dxa"/>
              <w:bottom w:w="0" w:type="dxa"/>
              <w:right w:w="108" w:type="dxa"/>
            </w:tcMar>
          </w:tcPr>
          <w:p w14:paraId="7842DD60" w14:textId="77777777" w:rsidR="00C64F44" w:rsidRDefault="00C64F44">
            <w:pPr>
              <w:jc w:val="center"/>
              <w:rPr>
                <w:spacing w:val="-3"/>
              </w:rPr>
            </w:pPr>
          </w:p>
        </w:tc>
        <w:tc>
          <w:tcPr>
            <w:tcW w:w="2057" w:type="dxa"/>
            <w:shd w:val="clear" w:color="auto" w:fill="auto"/>
            <w:tcMar>
              <w:top w:w="0" w:type="dxa"/>
              <w:left w:w="108" w:type="dxa"/>
              <w:bottom w:w="0" w:type="dxa"/>
              <w:right w:w="108" w:type="dxa"/>
            </w:tcMar>
          </w:tcPr>
          <w:p w14:paraId="38339227" w14:textId="77777777" w:rsidR="00C64F44" w:rsidRDefault="00C64F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C64F44" w14:paraId="0D935D44" w14:textId="77777777">
        <w:trPr>
          <w:jc w:val="center"/>
        </w:trPr>
        <w:tc>
          <w:tcPr>
            <w:tcW w:w="1776" w:type="dxa"/>
            <w:shd w:val="clear" w:color="auto" w:fill="auto"/>
            <w:tcMar>
              <w:top w:w="0" w:type="dxa"/>
              <w:left w:w="108" w:type="dxa"/>
              <w:bottom w:w="0" w:type="dxa"/>
              <w:right w:w="108" w:type="dxa"/>
            </w:tcMar>
          </w:tcPr>
          <w:p w14:paraId="58352E47" w14:textId="77777777" w:rsidR="00C64F44" w:rsidRDefault="00C64F44">
            <w:pPr>
              <w:rPr>
                <w:spacing w:val="-3"/>
              </w:rPr>
            </w:pPr>
          </w:p>
        </w:tc>
        <w:tc>
          <w:tcPr>
            <w:tcW w:w="5293" w:type="dxa"/>
            <w:shd w:val="clear" w:color="auto" w:fill="auto"/>
            <w:tcMar>
              <w:top w:w="0" w:type="dxa"/>
              <w:left w:w="108" w:type="dxa"/>
              <w:bottom w:w="0" w:type="dxa"/>
              <w:right w:w="108" w:type="dxa"/>
            </w:tcMar>
          </w:tcPr>
          <w:p w14:paraId="0B3D3BBA" w14:textId="77777777" w:rsidR="00C64F44" w:rsidRPr="000A75AC" w:rsidRDefault="000A75AC">
            <w:pPr>
              <w:jc w:val="center"/>
              <w:rPr>
                <w:b/>
                <w:bCs/>
                <w:spacing w:val="-3"/>
              </w:rPr>
            </w:pPr>
            <w:r>
              <w:rPr>
                <w:b/>
                <w:bCs/>
                <w:spacing w:val="-3"/>
              </w:rPr>
              <w:t>NATIONAL WESTMINSTER BANK plc</w:t>
            </w:r>
          </w:p>
        </w:tc>
        <w:tc>
          <w:tcPr>
            <w:tcW w:w="2057" w:type="dxa"/>
            <w:shd w:val="clear" w:color="auto" w:fill="auto"/>
            <w:tcMar>
              <w:top w:w="0" w:type="dxa"/>
              <w:left w:w="108" w:type="dxa"/>
              <w:bottom w:w="0" w:type="dxa"/>
              <w:right w:w="108" w:type="dxa"/>
            </w:tcMar>
          </w:tcPr>
          <w:p w14:paraId="4729118E" w14:textId="77777777" w:rsidR="00C64F44" w:rsidRDefault="00C64F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tc>
      </w:tr>
      <w:tr w:rsidR="00C64F44" w14:paraId="56ABC3BF" w14:textId="77777777">
        <w:trPr>
          <w:jc w:val="center"/>
        </w:trPr>
        <w:tc>
          <w:tcPr>
            <w:tcW w:w="1776" w:type="dxa"/>
            <w:shd w:val="clear" w:color="auto" w:fill="auto"/>
            <w:tcMar>
              <w:top w:w="0" w:type="dxa"/>
              <w:left w:w="108" w:type="dxa"/>
              <w:bottom w:w="0" w:type="dxa"/>
              <w:right w:w="108" w:type="dxa"/>
            </w:tcMar>
          </w:tcPr>
          <w:p w14:paraId="696DA3A9" w14:textId="77777777" w:rsidR="00C64F44" w:rsidRDefault="00C64F44">
            <w:pPr>
              <w:rPr>
                <w:spacing w:val="-3"/>
              </w:rPr>
            </w:pPr>
          </w:p>
        </w:tc>
        <w:tc>
          <w:tcPr>
            <w:tcW w:w="5293" w:type="dxa"/>
            <w:shd w:val="clear" w:color="auto" w:fill="auto"/>
            <w:tcMar>
              <w:top w:w="0" w:type="dxa"/>
              <w:left w:w="108" w:type="dxa"/>
              <w:bottom w:w="0" w:type="dxa"/>
              <w:right w:w="108" w:type="dxa"/>
            </w:tcMar>
          </w:tcPr>
          <w:p w14:paraId="2E2C7FCF" w14:textId="77777777" w:rsidR="00C64F44" w:rsidRDefault="00C64F44">
            <w:pPr>
              <w:jc w:val="center"/>
              <w:rPr>
                <w:spacing w:val="-3"/>
              </w:rPr>
            </w:pPr>
          </w:p>
        </w:tc>
        <w:tc>
          <w:tcPr>
            <w:tcW w:w="2057" w:type="dxa"/>
            <w:shd w:val="clear" w:color="auto" w:fill="auto"/>
            <w:tcMar>
              <w:top w:w="0" w:type="dxa"/>
              <w:left w:w="108" w:type="dxa"/>
              <w:bottom w:w="0" w:type="dxa"/>
              <w:right w:w="108" w:type="dxa"/>
            </w:tcMar>
          </w:tcPr>
          <w:p w14:paraId="7C2FF3E0" w14:textId="77777777" w:rsidR="00C64F44" w:rsidRDefault="00A2043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Defendant and Stakeholder</w:t>
            </w:r>
          </w:p>
        </w:tc>
      </w:tr>
    </w:tbl>
    <w:p w14:paraId="16815B78" w14:textId="77777777" w:rsidR="000E78C3" w:rsidRDefault="000E78C3">
      <w:pPr>
        <w:rPr>
          <w:b/>
          <w:spacing w:val="-3"/>
        </w:rPr>
      </w:pPr>
    </w:p>
    <w:p w14:paraId="7B9EBF57" w14:textId="77777777" w:rsidR="000E78C3" w:rsidRDefault="00166C1A">
      <w:pPr>
        <w:jc w:val="center"/>
        <w:rPr>
          <w:spacing w:val="-3"/>
        </w:rPr>
      </w:pPr>
      <w:r>
        <w:rPr>
          <w:spacing w:val="-3"/>
        </w:rPr>
        <w:t>- - - - - - - - - - - - - - - - - - - - -</w:t>
      </w:r>
    </w:p>
    <w:p w14:paraId="141F6804" w14:textId="77777777" w:rsidR="001A3FC7" w:rsidRDefault="001A3FC7">
      <w:pPr>
        <w:jc w:val="center"/>
        <w:rPr>
          <w:spacing w:val="-3"/>
        </w:rPr>
      </w:pPr>
    </w:p>
    <w:p w14:paraId="13E61B3A" w14:textId="77777777" w:rsidR="000E78C3" w:rsidRDefault="00166C1A">
      <w:pPr>
        <w:jc w:val="center"/>
        <w:rPr>
          <w:spacing w:val="-3"/>
        </w:rPr>
      </w:pPr>
      <w:r>
        <w:rPr>
          <w:spacing w:val="-3"/>
        </w:rPr>
        <w:lastRenderedPageBreak/>
        <w:t>- - - - - - - - - - - - - - - - - - - - -</w:t>
      </w:r>
    </w:p>
    <w:p w14:paraId="7DAF3544" w14:textId="77777777" w:rsidR="000E78C3" w:rsidRDefault="000E78C3">
      <w:pPr>
        <w:jc w:val="center"/>
        <w:rPr>
          <w:spacing w:val="-3"/>
        </w:rPr>
      </w:pPr>
    </w:p>
    <w:p w14:paraId="459B708F" w14:textId="77777777" w:rsidR="000E78C3" w:rsidRDefault="00166C1A">
      <w:pPr>
        <w:jc w:val="center"/>
      </w:pPr>
      <w:r>
        <w:rPr>
          <w:b/>
          <w:spacing w:val="-3"/>
        </w:rPr>
        <w:t xml:space="preserve">Mr </w:t>
      </w:r>
      <w:r w:rsidR="0084163B">
        <w:rPr>
          <w:b/>
          <w:spacing w:val="-3"/>
        </w:rPr>
        <w:t>Khawar Qureshi</w:t>
      </w:r>
      <w:r>
        <w:rPr>
          <w:b/>
          <w:spacing w:val="-3"/>
        </w:rPr>
        <w:t xml:space="preserve">, QC </w:t>
      </w:r>
      <w:r>
        <w:rPr>
          <w:spacing w:val="-3"/>
        </w:rPr>
        <w:t>and</w:t>
      </w:r>
      <w:r>
        <w:rPr>
          <w:bCs/>
          <w:spacing w:val="-3"/>
        </w:rPr>
        <w:t xml:space="preserve"> </w:t>
      </w:r>
      <w:r>
        <w:rPr>
          <w:b/>
          <w:bCs/>
          <w:spacing w:val="-3"/>
        </w:rPr>
        <w:t xml:space="preserve">Mr </w:t>
      </w:r>
      <w:r w:rsidR="0084163B">
        <w:rPr>
          <w:b/>
          <w:bCs/>
          <w:spacing w:val="-3"/>
        </w:rPr>
        <w:t>Jonathan Brettler</w:t>
      </w:r>
      <w:r>
        <w:rPr>
          <w:b/>
          <w:bCs/>
          <w:spacing w:val="-3"/>
        </w:rPr>
        <w:t xml:space="preserve"> </w:t>
      </w:r>
      <w:r>
        <w:rPr>
          <w:bCs/>
          <w:spacing w:val="-3"/>
        </w:rPr>
        <w:t>(instructed by</w:t>
      </w:r>
      <w:r>
        <w:rPr>
          <w:b/>
          <w:spacing w:val="-3"/>
        </w:rPr>
        <w:t xml:space="preserve"> </w:t>
      </w:r>
      <w:r w:rsidR="00250AD3">
        <w:rPr>
          <w:b/>
          <w:spacing w:val="-3"/>
        </w:rPr>
        <w:t>Stephenson Harwood</w:t>
      </w:r>
      <w:r>
        <w:rPr>
          <w:b/>
          <w:spacing w:val="-3"/>
        </w:rPr>
        <w:t xml:space="preserve"> LLP</w:t>
      </w:r>
      <w:r>
        <w:rPr>
          <w:bCs/>
          <w:spacing w:val="-3"/>
        </w:rPr>
        <w:t>) for the</w:t>
      </w:r>
      <w:r>
        <w:rPr>
          <w:spacing w:val="-3"/>
        </w:rPr>
        <w:t xml:space="preserve"> </w:t>
      </w:r>
      <w:r>
        <w:rPr>
          <w:b/>
          <w:bCs/>
          <w:spacing w:val="-3"/>
        </w:rPr>
        <w:t>Claimant</w:t>
      </w:r>
    </w:p>
    <w:p w14:paraId="7739E55A" w14:textId="77777777" w:rsidR="00F01133" w:rsidRPr="004D64C7" w:rsidRDefault="00F01133">
      <w:pPr>
        <w:jc w:val="center"/>
        <w:rPr>
          <w:b/>
          <w:bCs/>
          <w:spacing w:val="-3"/>
        </w:rPr>
      </w:pPr>
      <w:r>
        <w:rPr>
          <w:b/>
          <w:bCs/>
          <w:spacing w:val="-3"/>
        </w:rPr>
        <w:t>Mr Hodge Malek, QC</w:t>
      </w:r>
      <w:r>
        <w:rPr>
          <w:spacing w:val="-3"/>
        </w:rPr>
        <w:t xml:space="preserve"> and </w:t>
      </w:r>
      <w:r w:rsidRPr="004D64C7">
        <w:rPr>
          <w:b/>
          <w:bCs/>
          <w:spacing w:val="-3"/>
        </w:rPr>
        <w:t>Mr Jonathan McDonagh</w:t>
      </w:r>
      <w:r w:rsidR="004D64C7">
        <w:rPr>
          <w:spacing w:val="-3"/>
        </w:rPr>
        <w:t xml:space="preserve"> (instructed by </w:t>
      </w:r>
      <w:r w:rsidR="0021086D">
        <w:rPr>
          <w:spacing w:val="-3"/>
        </w:rPr>
        <w:t xml:space="preserve">Devonshires Solicitors </w:t>
      </w:r>
      <w:r w:rsidR="007D6BD1">
        <w:rPr>
          <w:b/>
          <w:bCs/>
          <w:spacing w:val="-3"/>
        </w:rPr>
        <w:t>LLP</w:t>
      </w:r>
      <w:r w:rsidR="004D64C7">
        <w:rPr>
          <w:spacing w:val="-3"/>
        </w:rPr>
        <w:t xml:space="preserve">) for the </w:t>
      </w:r>
      <w:r w:rsidR="004D64C7">
        <w:rPr>
          <w:b/>
          <w:bCs/>
          <w:spacing w:val="-3"/>
        </w:rPr>
        <w:t>Second and Third Defendants and Interpleader Claimants</w:t>
      </w:r>
    </w:p>
    <w:p w14:paraId="0320B1DF" w14:textId="77777777" w:rsidR="00CB679C" w:rsidRDefault="00166C1A">
      <w:pPr>
        <w:jc w:val="center"/>
        <w:rPr>
          <w:b/>
          <w:bCs/>
          <w:spacing w:val="-3"/>
        </w:rPr>
      </w:pPr>
      <w:r>
        <w:rPr>
          <w:b/>
          <w:bCs/>
          <w:spacing w:val="-3"/>
        </w:rPr>
        <w:t xml:space="preserve">Mr </w:t>
      </w:r>
      <w:r w:rsidR="0013173B">
        <w:rPr>
          <w:b/>
          <w:bCs/>
          <w:spacing w:val="-3"/>
        </w:rPr>
        <w:t>Timothy Otty</w:t>
      </w:r>
      <w:r>
        <w:rPr>
          <w:b/>
          <w:bCs/>
          <w:spacing w:val="-3"/>
        </w:rPr>
        <w:t>, QC</w:t>
      </w:r>
      <w:r>
        <w:rPr>
          <w:bCs/>
          <w:spacing w:val="-3"/>
        </w:rPr>
        <w:t xml:space="preserve">, </w:t>
      </w:r>
      <w:r>
        <w:rPr>
          <w:b/>
          <w:bCs/>
          <w:spacing w:val="-3"/>
        </w:rPr>
        <w:t xml:space="preserve">Mr </w:t>
      </w:r>
      <w:r w:rsidR="0013173B">
        <w:rPr>
          <w:b/>
          <w:bCs/>
          <w:spacing w:val="-3"/>
        </w:rPr>
        <w:t>Harish Salve</w:t>
      </w:r>
      <w:r>
        <w:rPr>
          <w:b/>
          <w:bCs/>
          <w:spacing w:val="-3"/>
        </w:rPr>
        <w:t xml:space="preserve">, </w:t>
      </w:r>
      <w:r w:rsidR="0013173B">
        <w:rPr>
          <w:b/>
          <w:bCs/>
          <w:spacing w:val="-3"/>
        </w:rPr>
        <w:t>SA</w:t>
      </w:r>
      <w:r w:rsidR="0013173B">
        <w:rPr>
          <w:spacing w:val="-3"/>
        </w:rPr>
        <w:t xml:space="preserve">, </w:t>
      </w:r>
      <w:r w:rsidR="0013173B">
        <w:rPr>
          <w:b/>
          <w:bCs/>
          <w:spacing w:val="-3"/>
        </w:rPr>
        <w:t>Ms Clare Reffin</w:t>
      </w:r>
      <w:r>
        <w:rPr>
          <w:bCs/>
          <w:spacing w:val="-3"/>
        </w:rPr>
        <w:t xml:space="preserve"> and </w:t>
      </w:r>
      <w:r>
        <w:rPr>
          <w:b/>
          <w:bCs/>
          <w:spacing w:val="-3"/>
        </w:rPr>
        <w:t xml:space="preserve">Mr </w:t>
      </w:r>
      <w:r w:rsidR="0013173B">
        <w:rPr>
          <w:b/>
          <w:bCs/>
          <w:spacing w:val="-3"/>
        </w:rPr>
        <w:t>James Brightwell</w:t>
      </w:r>
      <w:r>
        <w:rPr>
          <w:b/>
          <w:bCs/>
          <w:spacing w:val="-3"/>
        </w:rPr>
        <w:t xml:space="preserve"> </w:t>
      </w:r>
      <w:r>
        <w:rPr>
          <w:bCs/>
          <w:spacing w:val="-3"/>
        </w:rPr>
        <w:t>(instructed by</w:t>
      </w:r>
      <w:r>
        <w:rPr>
          <w:b/>
          <w:bCs/>
          <w:spacing w:val="-3"/>
        </w:rPr>
        <w:t xml:space="preserve"> </w:t>
      </w:r>
      <w:r w:rsidR="007D6BD1">
        <w:rPr>
          <w:b/>
          <w:bCs/>
          <w:spacing w:val="-3"/>
        </w:rPr>
        <w:t>TLT LLP</w:t>
      </w:r>
      <w:r>
        <w:rPr>
          <w:bCs/>
          <w:spacing w:val="-3"/>
        </w:rPr>
        <w:t>)</w:t>
      </w:r>
      <w:r>
        <w:rPr>
          <w:b/>
          <w:bCs/>
          <w:spacing w:val="-3"/>
        </w:rPr>
        <w:t xml:space="preserve"> </w:t>
      </w:r>
      <w:r>
        <w:rPr>
          <w:bCs/>
          <w:spacing w:val="-3"/>
        </w:rPr>
        <w:t xml:space="preserve">for the </w:t>
      </w:r>
      <w:r w:rsidR="00CB679C">
        <w:rPr>
          <w:b/>
          <w:bCs/>
          <w:spacing w:val="-3"/>
        </w:rPr>
        <w:t>Fourth and Fifth Defendants and Interpleader Claimants</w:t>
      </w:r>
    </w:p>
    <w:p w14:paraId="18547B60" w14:textId="77777777" w:rsidR="003C4D0F" w:rsidRDefault="00211063">
      <w:pPr>
        <w:jc w:val="center"/>
        <w:rPr>
          <w:b/>
          <w:bCs/>
          <w:spacing w:val="-3"/>
        </w:rPr>
      </w:pPr>
      <w:r>
        <w:rPr>
          <w:b/>
          <w:bCs/>
          <w:spacing w:val="-3"/>
        </w:rPr>
        <w:t>Mr Eason Rajah, QC</w:t>
      </w:r>
      <w:r>
        <w:rPr>
          <w:spacing w:val="-3"/>
        </w:rPr>
        <w:t xml:space="preserve"> and </w:t>
      </w:r>
      <w:r w:rsidRPr="00211063">
        <w:rPr>
          <w:b/>
          <w:bCs/>
          <w:spacing w:val="-3"/>
        </w:rPr>
        <w:t>Ms Bryony Robinson</w:t>
      </w:r>
      <w:r>
        <w:rPr>
          <w:spacing w:val="-3"/>
        </w:rPr>
        <w:t xml:space="preserve"> (instructed by </w:t>
      </w:r>
      <w:r w:rsidR="00F41140">
        <w:rPr>
          <w:b/>
          <w:bCs/>
          <w:spacing w:val="-3"/>
        </w:rPr>
        <w:t>Withers</w:t>
      </w:r>
      <w:r w:rsidR="007D6BD1">
        <w:rPr>
          <w:b/>
          <w:bCs/>
          <w:spacing w:val="-3"/>
        </w:rPr>
        <w:t xml:space="preserve"> LLP</w:t>
      </w:r>
      <w:r w:rsidR="00EE58F3">
        <w:rPr>
          <w:spacing w:val="-3"/>
        </w:rPr>
        <w:t xml:space="preserve">) for the </w:t>
      </w:r>
      <w:r w:rsidR="00EE58F3" w:rsidRPr="00EE58F3">
        <w:rPr>
          <w:b/>
          <w:bCs/>
          <w:spacing w:val="-3"/>
        </w:rPr>
        <w:t>Sixth Defendant and Interpleader Claimant</w:t>
      </w:r>
    </w:p>
    <w:p w14:paraId="7C0DD0AA" w14:textId="77777777" w:rsidR="00EE58F3" w:rsidRPr="009F2D5E" w:rsidRDefault="00343011">
      <w:pPr>
        <w:jc w:val="center"/>
        <w:rPr>
          <w:spacing w:val="-3"/>
        </w:rPr>
      </w:pPr>
      <w:r>
        <w:rPr>
          <w:spacing w:val="-3"/>
        </w:rPr>
        <w:t xml:space="preserve">The </w:t>
      </w:r>
      <w:r>
        <w:rPr>
          <w:b/>
          <w:bCs/>
          <w:spacing w:val="-3"/>
        </w:rPr>
        <w:t>Seventh Defendant</w:t>
      </w:r>
      <w:r>
        <w:rPr>
          <w:spacing w:val="-3"/>
        </w:rPr>
        <w:t xml:space="preserve"> and the </w:t>
      </w:r>
      <w:r>
        <w:rPr>
          <w:b/>
          <w:bCs/>
          <w:spacing w:val="-3"/>
        </w:rPr>
        <w:t xml:space="preserve">Defendant </w:t>
      </w:r>
      <w:r w:rsidR="009F2D5E">
        <w:rPr>
          <w:b/>
          <w:bCs/>
          <w:spacing w:val="-3"/>
        </w:rPr>
        <w:t xml:space="preserve">and Stakeholder </w:t>
      </w:r>
      <w:r w:rsidR="009F2D5E">
        <w:rPr>
          <w:spacing w:val="-3"/>
        </w:rPr>
        <w:t>did not appear and were not represented</w:t>
      </w:r>
    </w:p>
    <w:p w14:paraId="390B02D8" w14:textId="77777777" w:rsidR="000E78C3" w:rsidRDefault="00166C1A">
      <w:pPr>
        <w:jc w:val="center"/>
      </w:pPr>
      <w:r>
        <w:rPr>
          <w:bCs/>
          <w:spacing w:val="-3"/>
        </w:rPr>
        <w:t xml:space="preserve"> </w:t>
      </w:r>
    </w:p>
    <w:p w14:paraId="7678E052" w14:textId="77777777" w:rsidR="000E78C3" w:rsidRDefault="000E78C3">
      <w:pPr>
        <w:jc w:val="center"/>
        <w:rPr>
          <w:spacing w:val="-3"/>
        </w:rPr>
      </w:pPr>
    </w:p>
    <w:p w14:paraId="1642B16A" w14:textId="77777777" w:rsidR="000E78C3" w:rsidRDefault="000E78C3">
      <w:pPr>
        <w:jc w:val="center"/>
        <w:rPr>
          <w:b/>
          <w:spacing w:val="-3"/>
        </w:rPr>
      </w:pPr>
    </w:p>
    <w:p w14:paraId="179CDA4B" w14:textId="77777777" w:rsidR="000E78C3" w:rsidRDefault="00166C1A">
      <w:pPr>
        <w:jc w:val="center"/>
      </w:pPr>
      <w:r>
        <w:rPr>
          <w:spacing w:val="-3"/>
        </w:rPr>
        <w:t>Hearing dates:</w:t>
      </w:r>
      <w:r>
        <w:rPr>
          <w:b/>
          <w:spacing w:val="-3"/>
        </w:rPr>
        <w:t xml:space="preserve"> </w:t>
      </w:r>
      <w:r w:rsidR="00BA74D8">
        <w:rPr>
          <w:spacing w:val="-3"/>
        </w:rPr>
        <w:t>10</w:t>
      </w:r>
      <w:r w:rsidR="003F4620">
        <w:rPr>
          <w:spacing w:val="-3"/>
        </w:rPr>
        <w:t>, 11, 12, 13</w:t>
      </w:r>
      <w:r w:rsidR="0035762B">
        <w:rPr>
          <w:spacing w:val="-3"/>
        </w:rPr>
        <w:t>, 17</w:t>
      </w:r>
      <w:r w:rsidR="006575FD">
        <w:rPr>
          <w:spacing w:val="-3"/>
        </w:rPr>
        <w:t>, 18</w:t>
      </w:r>
      <w:r w:rsidR="00E2562C">
        <w:rPr>
          <w:spacing w:val="-3"/>
        </w:rPr>
        <w:t>, 19</w:t>
      </w:r>
      <w:r w:rsidR="00D016E0">
        <w:rPr>
          <w:spacing w:val="-3"/>
        </w:rPr>
        <w:t>, 20</w:t>
      </w:r>
      <w:r w:rsidR="00003D97">
        <w:rPr>
          <w:spacing w:val="-3"/>
        </w:rPr>
        <w:t xml:space="preserve"> and 21</w:t>
      </w:r>
      <w:r>
        <w:rPr>
          <w:spacing w:val="-3"/>
        </w:rPr>
        <w:t xml:space="preserve"> </w:t>
      </w:r>
      <w:r w:rsidR="009F2D5E">
        <w:rPr>
          <w:spacing w:val="-3"/>
        </w:rPr>
        <w:t>June</w:t>
      </w:r>
      <w:r w:rsidR="00E93E00">
        <w:rPr>
          <w:spacing w:val="-3"/>
        </w:rPr>
        <w:t xml:space="preserve"> </w:t>
      </w:r>
      <w:r>
        <w:rPr>
          <w:spacing w:val="-3"/>
        </w:rPr>
        <w:t>201</w:t>
      </w:r>
      <w:r w:rsidR="009F2D5E">
        <w:rPr>
          <w:spacing w:val="-3"/>
        </w:rPr>
        <w:t>9</w:t>
      </w:r>
    </w:p>
    <w:p w14:paraId="776F3E38" w14:textId="77777777" w:rsidR="000E78C3" w:rsidRDefault="00166C1A">
      <w:pPr>
        <w:jc w:val="center"/>
        <w:rPr>
          <w:spacing w:val="-3"/>
        </w:rPr>
      </w:pPr>
      <w:r>
        <w:rPr>
          <w:spacing w:val="-3"/>
        </w:rPr>
        <w:t>- - - - - - - - - - - - - - - - - - - - -</w:t>
      </w:r>
    </w:p>
    <w:p w14:paraId="01B2D56C" w14:textId="77777777" w:rsidR="00314E99" w:rsidRDefault="00225B8B">
      <w:pPr>
        <w:pStyle w:val="CoverDesc"/>
      </w:pPr>
      <w:r>
        <w:t xml:space="preserve">Approved </w:t>
      </w:r>
      <w:r w:rsidR="00462BE6">
        <w:t>Judgment</w:t>
      </w:r>
    </w:p>
    <w:p w14:paraId="44B23313" w14:textId="77777777" w:rsidR="00882E5F" w:rsidRDefault="00882E5F" w:rsidP="00882E5F">
      <w:pPr>
        <w:suppressAutoHyphens w:val="0"/>
        <w:spacing w:after="160" w:line="249" w:lineRule="auto"/>
        <w:jc w:val="center"/>
      </w:pPr>
    </w:p>
    <w:p w14:paraId="035E4B81" w14:textId="77777777" w:rsidR="00882E5F" w:rsidRDefault="003045AB" w:rsidP="00882E5F">
      <w:pPr>
        <w:suppressAutoHyphens w:val="0"/>
        <w:spacing w:after="160"/>
        <w:jc w:val="center"/>
      </w:pPr>
      <w:r>
        <w:t xml:space="preserve">I direct that pursuant to CPR PD 39A para 6.1 no official </w:t>
      </w:r>
      <w:r w:rsidR="00F80E38">
        <w:t>shorthand note shall be taken of this Judgment and that copies of this version as handed down may be treated as authentic</w:t>
      </w:r>
      <w:r w:rsidR="001B69C2">
        <w:t>.</w:t>
      </w:r>
      <w:r w:rsidR="00882E5F">
        <w:br w:type="page"/>
      </w:r>
    </w:p>
    <w:p w14:paraId="5383580C" w14:textId="77777777" w:rsidR="00314E99" w:rsidRDefault="00314E99">
      <w:pPr>
        <w:suppressAutoHyphens w:val="0"/>
        <w:spacing w:after="160" w:line="249" w:lineRule="auto"/>
        <w:rPr>
          <w:b/>
          <w:sz w:val="36"/>
          <w:szCs w:val="20"/>
        </w:rPr>
      </w:pPr>
    </w:p>
    <w:tbl>
      <w:tblPr>
        <w:tblW w:w="8299" w:type="dxa"/>
        <w:tblInd w:w="-108" w:type="dxa"/>
        <w:tblLayout w:type="fixed"/>
        <w:tblCellMar>
          <w:left w:w="10" w:type="dxa"/>
          <w:right w:w="10" w:type="dxa"/>
        </w:tblCellMar>
        <w:tblLook w:val="00A0" w:firstRow="1" w:lastRow="0" w:firstColumn="1" w:lastColumn="0" w:noHBand="0" w:noVBand="0"/>
      </w:tblPr>
      <w:tblGrid>
        <w:gridCol w:w="1237"/>
        <w:gridCol w:w="5529"/>
        <w:gridCol w:w="1533"/>
      </w:tblGrid>
      <w:tr w:rsidR="00314E99" w14:paraId="4FD208CD" w14:textId="77777777" w:rsidTr="009154CA">
        <w:tc>
          <w:tcPr>
            <w:tcW w:w="8299" w:type="dxa"/>
            <w:gridSpan w:val="3"/>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tcPr>
          <w:p w14:paraId="70D5A96F" w14:textId="77777777" w:rsidR="00314E99" w:rsidRDefault="00314E99" w:rsidP="009154CA">
            <w:pPr>
              <w:spacing w:before="60" w:after="60"/>
              <w:jc w:val="center"/>
              <w:rPr>
                <w:rFonts w:ascii="Arial" w:eastAsia="Arial" w:hAnsi="Arial"/>
                <w:b/>
                <w:spacing w:val="20"/>
                <w:sz w:val="20"/>
                <w:lang w:eastAsia="zh-CN"/>
              </w:rPr>
            </w:pPr>
            <w:r>
              <w:rPr>
                <w:rFonts w:ascii="Arial" w:eastAsia="Arial" w:hAnsi="Arial"/>
                <w:b/>
                <w:spacing w:val="20"/>
                <w:sz w:val="20"/>
                <w:lang w:eastAsia="zh-CN"/>
              </w:rPr>
              <w:t>CONTENTS</w:t>
            </w:r>
          </w:p>
        </w:tc>
      </w:tr>
      <w:tr w:rsidR="00314E99" w14:paraId="18E2123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87584" w14:textId="77777777" w:rsidR="00314E99" w:rsidRDefault="00314E99" w:rsidP="009154CA">
            <w:pPr>
              <w:spacing w:before="60" w:after="60"/>
              <w:rPr>
                <w:b/>
                <w:lang w:eastAsia="zh-CN"/>
              </w:rPr>
            </w:pPr>
            <w:r>
              <w:rPr>
                <w:b/>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12903" w14:textId="77777777" w:rsidR="00314E99" w:rsidRDefault="00314E99" w:rsidP="009154CA">
            <w:pPr>
              <w:spacing w:before="60" w:after="60"/>
              <w:rPr>
                <w:b/>
                <w:lang w:eastAsia="zh-CN"/>
              </w:rPr>
            </w:pPr>
            <w:r>
              <w:rPr>
                <w:b/>
                <w:lang w:eastAsia="zh-CN"/>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F2CAF" w14:textId="77777777" w:rsidR="00314E99" w:rsidRDefault="00F83F46" w:rsidP="009154CA">
            <w:pPr>
              <w:spacing w:before="60" w:after="60"/>
              <w:jc w:val="right"/>
              <w:rPr>
                <w:lang w:eastAsia="zh-CN"/>
              </w:rPr>
            </w:pPr>
            <w:r>
              <w:rPr>
                <w:lang w:eastAsia="zh-CN"/>
              </w:rPr>
              <w:t>Para 1</w:t>
            </w:r>
          </w:p>
        </w:tc>
      </w:tr>
      <w:tr w:rsidR="00314E99" w14:paraId="6C95AAE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08265" w14:textId="77777777" w:rsidR="00314E99" w:rsidRDefault="00314E99" w:rsidP="009154CA">
            <w:pPr>
              <w:spacing w:before="60" w:after="60"/>
              <w:rPr>
                <w:b/>
                <w:lang w:eastAsia="zh-CN"/>
              </w:rPr>
            </w:pPr>
            <w:r>
              <w:rPr>
                <w:b/>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7370E" w14:textId="77777777" w:rsidR="00314E99" w:rsidRDefault="009A4756" w:rsidP="009154CA">
            <w:pPr>
              <w:spacing w:before="60" w:after="60"/>
              <w:rPr>
                <w:b/>
                <w:lang w:eastAsia="zh-CN"/>
              </w:rPr>
            </w:pPr>
            <w:r>
              <w:rPr>
                <w:b/>
                <w:lang w:eastAsia="zh-CN"/>
              </w:rPr>
              <w:t>Overview</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7F02D" w14:textId="77777777" w:rsidR="00314E99" w:rsidRDefault="00F83F46" w:rsidP="009154CA">
            <w:pPr>
              <w:spacing w:before="60" w:after="60"/>
              <w:jc w:val="right"/>
              <w:rPr>
                <w:lang w:eastAsia="zh-CN"/>
              </w:rPr>
            </w:pPr>
            <w:r>
              <w:rPr>
                <w:lang w:eastAsia="zh-CN"/>
              </w:rPr>
              <w:t>Para 1</w:t>
            </w:r>
          </w:p>
        </w:tc>
      </w:tr>
      <w:tr w:rsidR="00314E99" w14:paraId="76C5867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9BDAD" w14:textId="77777777" w:rsidR="00314E99" w:rsidRDefault="009A4756" w:rsidP="009154CA">
            <w:pPr>
              <w:spacing w:before="60" w:after="60"/>
              <w:rPr>
                <w:b/>
                <w:lang w:eastAsia="zh-CN"/>
              </w:rPr>
            </w:pPr>
            <w:r>
              <w:rPr>
                <w:b/>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E6F64" w14:textId="77777777" w:rsidR="00314E99" w:rsidRDefault="009A4756" w:rsidP="009154CA">
            <w:pPr>
              <w:spacing w:before="60" w:after="60"/>
              <w:rPr>
                <w:b/>
                <w:lang w:eastAsia="zh-CN"/>
              </w:rPr>
            </w:pPr>
            <w:r>
              <w:rPr>
                <w:b/>
                <w:lang w:eastAsia="zh-CN"/>
              </w:rPr>
              <w:t>The parties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40521" w14:textId="77777777" w:rsidR="00314E99" w:rsidRDefault="00316D12" w:rsidP="009154CA">
            <w:pPr>
              <w:spacing w:before="60" w:after="60"/>
              <w:jc w:val="right"/>
              <w:rPr>
                <w:lang w:eastAsia="zh-CN"/>
              </w:rPr>
            </w:pPr>
            <w:r>
              <w:rPr>
                <w:lang w:eastAsia="zh-CN"/>
              </w:rPr>
              <w:t>Para 15</w:t>
            </w:r>
          </w:p>
        </w:tc>
      </w:tr>
      <w:tr w:rsidR="009329D1" w14:paraId="4707EFD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5A93B" w14:textId="77777777" w:rsidR="009329D1" w:rsidRDefault="009329D1" w:rsidP="009154CA">
            <w:pPr>
              <w:spacing w:before="60" w:after="60"/>
              <w:rPr>
                <w:b/>
                <w:lang w:eastAsia="zh-CN"/>
              </w:rPr>
            </w:pPr>
            <w:r>
              <w:rPr>
                <w:b/>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EFE9" w14:textId="77777777" w:rsidR="009329D1" w:rsidRDefault="00554981" w:rsidP="009154CA">
            <w:pPr>
              <w:spacing w:before="60" w:after="60"/>
              <w:rPr>
                <w:b/>
                <w:lang w:eastAsia="zh-CN"/>
              </w:rPr>
            </w:pPr>
            <w:r>
              <w:rPr>
                <w:b/>
                <w:lang w:eastAsia="zh-CN"/>
              </w:rPr>
              <w:t>The issues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58F50" w14:textId="77777777" w:rsidR="009329D1" w:rsidRDefault="00AC0297" w:rsidP="009154CA">
            <w:pPr>
              <w:spacing w:before="60" w:after="60"/>
              <w:jc w:val="right"/>
              <w:rPr>
                <w:lang w:eastAsia="zh-CN"/>
              </w:rPr>
            </w:pPr>
            <w:r>
              <w:rPr>
                <w:lang w:eastAsia="zh-CN"/>
              </w:rPr>
              <w:t>Para 16</w:t>
            </w:r>
          </w:p>
        </w:tc>
      </w:tr>
      <w:tr w:rsidR="00314E99" w14:paraId="3235C627"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7F327" w14:textId="77777777" w:rsidR="00314E99" w:rsidRDefault="00314E99" w:rsidP="009154CA">
            <w:pPr>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7EAEB" w14:textId="77777777" w:rsidR="00314E99" w:rsidRDefault="00246AF5" w:rsidP="009154CA">
            <w:pPr>
              <w:spacing w:before="60" w:after="60"/>
              <w:rPr>
                <w:b/>
                <w:i/>
                <w:lang w:eastAsia="zh-CN"/>
              </w:rPr>
            </w:pPr>
            <w:r>
              <w:rPr>
                <w:b/>
                <w:bCs/>
                <w:i/>
                <w:iCs/>
              </w:rPr>
              <w:t>Pakistan’s claims to be absolutely entitled to the Fund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C2BB7" w14:textId="77777777" w:rsidR="00314E99" w:rsidRDefault="00F206E8" w:rsidP="009154CA">
            <w:pPr>
              <w:spacing w:before="60" w:after="60"/>
              <w:jc w:val="right"/>
              <w:rPr>
                <w:lang w:eastAsia="zh-CN"/>
              </w:rPr>
            </w:pPr>
            <w:r>
              <w:rPr>
                <w:lang w:eastAsia="zh-CN"/>
              </w:rPr>
              <w:t>Para 16</w:t>
            </w:r>
          </w:p>
        </w:tc>
      </w:tr>
      <w:tr w:rsidR="005D3858" w14:paraId="0B7A8B2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8242" w14:textId="77777777" w:rsidR="005D3858" w:rsidRDefault="005D3858" w:rsidP="009154CA">
            <w:pPr>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511BF" w14:textId="77777777" w:rsidR="005D3858" w:rsidRDefault="005D3858" w:rsidP="009154CA">
            <w:pPr>
              <w:spacing w:before="60" w:after="60"/>
              <w:rPr>
                <w:b/>
                <w:i/>
                <w:lang w:eastAsia="zh-CN"/>
              </w:rPr>
            </w:pPr>
            <w:r>
              <w:rPr>
                <w:b/>
                <w:bCs/>
                <w:i/>
                <w:iCs/>
              </w:rPr>
              <w:t>The Princes’ and India’s contentions that the Fund was held on trust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671D9" w14:textId="77777777" w:rsidR="005D3858" w:rsidRDefault="00BA6B65" w:rsidP="009154CA">
            <w:pPr>
              <w:spacing w:before="60" w:after="60"/>
              <w:jc w:val="right"/>
              <w:rPr>
                <w:lang w:eastAsia="zh-CN"/>
              </w:rPr>
            </w:pPr>
            <w:r>
              <w:rPr>
                <w:lang w:eastAsia="zh-CN"/>
              </w:rPr>
              <w:t>Para 18</w:t>
            </w:r>
          </w:p>
        </w:tc>
      </w:tr>
      <w:tr w:rsidR="005D3858" w14:paraId="0F4BD10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8C0E9" w14:textId="77777777" w:rsidR="005D3858" w:rsidRDefault="005D3858" w:rsidP="009154CA">
            <w:pPr>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DACDE" w14:textId="77777777" w:rsidR="005D3858" w:rsidRDefault="005D3858" w:rsidP="009154CA">
            <w:pPr>
              <w:spacing w:before="60" w:after="60"/>
              <w:rPr>
                <w:b/>
                <w:bCs/>
                <w:i/>
                <w:iCs/>
              </w:rPr>
            </w:pPr>
            <w:r>
              <w:rPr>
                <w:b/>
                <w:bCs/>
                <w:i/>
                <w:iCs/>
              </w:rPr>
              <w:t>Rahimtoola</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DB529" w14:textId="77777777" w:rsidR="005D3858" w:rsidRDefault="00432666" w:rsidP="009154CA">
            <w:pPr>
              <w:spacing w:before="60" w:after="60"/>
              <w:jc w:val="right"/>
              <w:rPr>
                <w:lang w:eastAsia="zh-CN"/>
              </w:rPr>
            </w:pPr>
            <w:r>
              <w:rPr>
                <w:lang w:eastAsia="zh-CN"/>
              </w:rPr>
              <w:t>Para 23</w:t>
            </w:r>
          </w:p>
        </w:tc>
      </w:tr>
      <w:tr w:rsidR="00385F9B" w14:paraId="07F2D18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F6318" w14:textId="77777777" w:rsidR="00385F9B" w:rsidRDefault="00385F9B" w:rsidP="009154CA">
            <w:pPr>
              <w:spacing w:before="60" w:after="60"/>
              <w:rPr>
                <w:b/>
                <w:i/>
                <w:lang w:eastAsia="zh-CN"/>
              </w:rPr>
            </w:pPr>
            <w:r>
              <w:rPr>
                <w:b/>
                <w:i/>
                <w:lang w:eastAsia="zh-CN"/>
              </w:rPr>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97039" w14:textId="77777777" w:rsidR="00385F9B" w:rsidRDefault="00385F9B" w:rsidP="009154CA">
            <w:pPr>
              <w:spacing w:before="60" w:after="60"/>
              <w:rPr>
                <w:b/>
                <w:bCs/>
                <w:i/>
                <w:iCs/>
              </w:rPr>
            </w:pPr>
            <w:r>
              <w:rPr>
                <w:b/>
                <w:bCs/>
                <w:i/>
                <w:iCs/>
              </w:rPr>
              <w:t>The restitution claim</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3391D" w14:textId="77777777" w:rsidR="00385F9B" w:rsidRDefault="004C362B" w:rsidP="009154CA">
            <w:pPr>
              <w:spacing w:before="60" w:after="60"/>
              <w:jc w:val="right"/>
              <w:rPr>
                <w:lang w:eastAsia="zh-CN"/>
              </w:rPr>
            </w:pPr>
            <w:r>
              <w:rPr>
                <w:lang w:eastAsia="zh-CN"/>
              </w:rPr>
              <w:t>Para 24</w:t>
            </w:r>
          </w:p>
        </w:tc>
      </w:tr>
      <w:tr w:rsidR="004C362B" w14:paraId="65452C5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C550" w14:textId="77777777" w:rsidR="004C362B" w:rsidRDefault="004C362B" w:rsidP="009154CA">
            <w:pPr>
              <w:spacing w:before="60" w:after="60"/>
              <w:rPr>
                <w:b/>
                <w:i/>
                <w:lang w:eastAsia="zh-CN"/>
              </w:rPr>
            </w:pPr>
            <w:r>
              <w:rPr>
                <w:b/>
                <w:i/>
                <w:lang w:eastAsia="zh-CN"/>
              </w:rPr>
              <w:t>(e)</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D4F2D" w14:textId="77777777" w:rsidR="004C362B" w:rsidRDefault="004C362B" w:rsidP="009154CA">
            <w:pPr>
              <w:spacing w:before="60" w:after="60"/>
              <w:rPr>
                <w:b/>
                <w:bCs/>
                <w:i/>
                <w:iCs/>
              </w:rPr>
            </w:pPr>
            <w:r>
              <w:rPr>
                <w:b/>
                <w:bCs/>
                <w:i/>
                <w:iCs/>
              </w:rPr>
              <w:t>Pakistan’s “public international law” defences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34545" w14:textId="77777777" w:rsidR="004C362B" w:rsidRDefault="004C362B" w:rsidP="009154CA">
            <w:pPr>
              <w:spacing w:before="60" w:after="60"/>
              <w:jc w:val="right"/>
              <w:rPr>
                <w:lang w:eastAsia="zh-CN"/>
              </w:rPr>
            </w:pPr>
            <w:r>
              <w:rPr>
                <w:lang w:eastAsia="zh-CN"/>
              </w:rPr>
              <w:t>Para 27</w:t>
            </w:r>
          </w:p>
        </w:tc>
      </w:tr>
      <w:tr w:rsidR="00546B8E" w14:paraId="27712AD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25833" w14:textId="77777777" w:rsidR="00546B8E" w:rsidRPr="00546B8E" w:rsidRDefault="00546B8E" w:rsidP="009154CA">
            <w:pPr>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E7385" w14:textId="77777777" w:rsidR="00546B8E" w:rsidRPr="00546B8E" w:rsidRDefault="00546B8E" w:rsidP="009154CA">
            <w:pPr>
              <w:spacing w:before="60" w:after="60"/>
              <w:rPr>
                <w:b/>
                <w:bCs/>
                <w:iCs/>
              </w:rPr>
            </w:pPr>
            <w:r>
              <w:rPr>
                <w:b/>
                <w:bCs/>
                <w:iCs/>
              </w:rPr>
              <w:t>The structure of th</w:t>
            </w:r>
            <w:r w:rsidR="0016256E">
              <w:rPr>
                <w:b/>
                <w:bCs/>
                <w:iCs/>
              </w:rPr>
              <w:t>is</w:t>
            </w:r>
            <w:r>
              <w:rPr>
                <w:b/>
                <w:bCs/>
                <w:iCs/>
              </w:rPr>
              <w:t xml:space="preserve"> Judgment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28ABC" w14:textId="77777777" w:rsidR="00546B8E" w:rsidRDefault="0016256E" w:rsidP="009154CA">
            <w:pPr>
              <w:spacing w:before="60" w:after="60"/>
              <w:jc w:val="right"/>
              <w:rPr>
                <w:lang w:eastAsia="zh-CN"/>
              </w:rPr>
            </w:pPr>
            <w:r>
              <w:rPr>
                <w:lang w:eastAsia="zh-CN"/>
              </w:rPr>
              <w:t>Para 28</w:t>
            </w:r>
          </w:p>
        </w:tc>
      </w:tr>
      <w:tr w:rsidR="00713DF7" w14:paraId="275A718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513BB" w14:textId="77777777" w:rsidR="00713DF7" w:rsidRDefault="00713DF7" w:rsidP="009154CA">
            <w:pPr>
              <w:spacing w:before="60" w:after="60"/>
              <w:rPr>
                <w:b/>
                <w:iCs/>
                <w:lang w:eastAsia="zh-CN"/>
              </w:rPr>
            </w:pPr>
            <w:r>
              <w:rPr>
                <w:b/>
                <w:iCs/>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2CB6A" w14:textId="77777777" w:rsidR="00713DF7" w:rsidRDefault="00713DF7" w:rsidP="009154CA">
            <w:pPr>
              <w:spacing w:before="60" w:after="60"/>
              <w:rPr>
                <w:b/>
                <w:bCs/>
                <w:iCs/>
              </w:rPr>
            </w:pPr>
            <w:r>
              <w:rPr>
                <w:b/>
                <w:bCs/>
                <w:iCs/>
              </w:rPr>
              <w:t>THE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2A396" w14:textId="77777777" w:rsidR="00713DF7" w:rsidRDefault="002566CB" w:rsidP="009154CA">
            <w:pPr>
              <w:spacing w:before="60" w:after="60"/>
              <w:jc w:val="right"/>
              <w:rPr>
                <w:lang w:eastAsia="zh-CN"/>
              </w:rPr>
            </w:pPr>
            <w:r>
              <w:rPr>
                <w:lang w:eastAsia="zh-CN"/>
              </w:rPr>
              <w:t>Para 29</w:t>
            </w:r>
          </w:p>
        </w:tc>
      </w:tr>
      <w:tr w:rsidR="00713DF7" w14:paraId="544DDB28"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33A0A" w14:textId="77777777" w:rsidR="00713DF7" w:rsidRDefault="00713DF7" w:rsidP="009154CA">
            <w:pPr>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693A" w14:textId="77777777" w:rsidR="00713DF7" w:rsidRDefault="00713DF7" w:rsidP="009154CA">
            <w:pPr>
              <w:spacing w:before="60" w:after="60"/>
              <w:rPr>
                <w:b/>
                <w:bCs/>
                <w:iCs/>
              </w:rPr>
            </w:pPr>
            <w:r>
              <w:rPr>
                <w:b/>
                <w:bCs/>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F9682" w14:textId="77777777" w:rsidR="00713DF7" w:rsidRDefault="002566CB" w:rsidP="009154CA">
            <w:pPr>
              <w:spacing w:before="60" w:after="60"/>
              <w:jc w:val="right"/>
              <w:rPr>
                <w:lang w:eastAsia="zh-CN"/>
              </w:rPr>
            </w:pPr>
            <w:r>
              <w:rPr>
                <w:lang w:eastAsia="zh-CN"/>
              </w:rPr>
              <w:t>Para 29</w:t>
            </w:r>
          </w:p>
        </w:tc>
      </w:tr>
      <w:tr w:rsidR="002566CB" w14:paraId="1244526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D76E1" w14:textId="77777777" w:rsidR="002566CB" w:rsidRDefault="00337B96" w:rsidP="009154CA">
            <w:pPr>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67E6A" w14:textId="77777777" w:rsidR="002566CB" w:rsidRDefault="00337B96" w:rsidP="009154CA">
            <w:pPr>
              <w:spacing w:before="60" w:after="60"/>
              <w:rPr>
                <w:b/>
                <w:bCs/>
                <w:iCs/>
              </w:rPr>
            </w:pPr>
            <w:r>
              <w:rPr>
                <w:b/>
                <w:bCs/>
                <w:iCs/>
              </w:rPr>
              <w:t>Witnesses of fact called to give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C78D4" w14:textId="77777777" w:rsidR="002566CB" w:rsidRDefault="00337B96" w:rsidP="009154CA">
            <w:pPr>
              <w:spacing w:before="60" w:after="60"/>
              <w:jc w:val="right"/>
              <w:rPr>
                <w:lang w:eastAsia="zh-CN"/>
              </w:rPr>
            </w:pPr>
            <w:r>
              <w:rPr>
                <w:lang w:eastAsia="zh-CN"/>
              </w:rPr>
              <w:t>Para 35</w:t>
            </w:r>
          </w:p>
        </w:tc>
      </w:tr>
      <w:tr w:rsidR="006A0D58" w14:paraId="57791C7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B11B6" w14:textId="77777777" w:rsidR="006A0D58" w:rsidRPr="006A0D58" w:rsidRDefault="006A0D58" w:rsidP="009154CA">
            <w:pPr>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36575" w14:textId="77777777" w:rsidR="006A0D58" w:rsidRPr="006A0D58" w:rsidRDefault="006A0D58" w:rsidP="009154CA">
            <w:pPr>
              <w:spacing w:before="60" w:after="60"/>
              <w:rPr>
                <w:b/>
                <w:bCs/>
                <w:i/>
              </w:rPr>
            </w:pPr>
            <w:r>
              <w:rPr>
                <w:b/>
                <w:bCs/>
                <w:i/>
              </w:rPr>
              <w:t>Prince Muffakham</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1A63" w14:textId="77777777" w:rsidR="006A0D58" w:rsidRDefault="006A0D58" w:rsidP="009154CA">
            <w:pPr>
              <w:spacing w:before="60" w:after="60"/>
              <w:jc w:val="right"/>
              <w:rPr>
                <w:lang w:eastAsia="zh-CN"/>
              </w:rPr>
            </w:pPr>
            <w:r>
              <w:rPr>
                <w:lang w:eastAsia="zh-CN"/>
              </w:rPr>
              <w:t>Para 35</w:t>
            </w:r>
          </w:p>
        </w:tc>
      </w:tr>
      <w:tr w:rsidR="00054729" w14:paraId="60F70EA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696B0" w14:textId="77777777" w:rsidR="00054729" w:rsidRDefault="00054729" w:rsidP="009154CA">
            <w:pPr>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FCF62" w14:textId="77777777" w:rsidR="00054729" w:rsidRDefault="00054729" w:rsidP="009154CA">
            <w:pPr>
              <w:spacing w:before="60" w:after="60"/>
              <w:rPr>
                <w:b/>
                <w:bCs/>
                <w:i/>
              </w:rPr>
            </w:pPr>
            <w:r>
              <w:rPr>
                <w:b/>
                <w:bCs/>
                <w:i/>
              </w:rPr>
              <w:t>Shaharyar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63A" w14:textId="77777777" w:rsidR="00054729" w:rsidRDefault="00054729" w:rsidP="009154CA">
            <w:pPr>
              <w:spacing w:before="60" w:after="60"/>
              <w:jc w:val="right"/>
              <w:rPr>
                <w:lang w:eastAsia="zh-CN"/>
              </w:rPr>
            </w:pPr>
            <w:r>
              <w:rPr>
                <w:lang w:eastAsia="zh-CN"/>
              </w:rPr>
              <w:t>Para 37</w:t>
            </w:r>
          </w:p>
        </w:tc>
      </w:tr>
      <w:tr w:rsidR="00054729" w14:paraId="169926C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AFA5D" w14:textId="77777777" w:rsidR="00054729" w:rsidRPr="00054729" w:rsidRDefault="00054729" w:rsidP="009154CA">
            <w:pPr>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36A66" w14:textId="77777777" w:rsidR="00054729" w:rsidRPr="00054729" w:rsidRDefault="00054729" w:rsidP="009154CA">
            <w:pPr>
              <w:spacing w:before="60" w:after="60"/>
              <w:rPr>
                <w:b/>
                <w:bCs/>
                <w:iCs/>
              </w:rPr>
            </w:pPr>
            <w:r>
              <w:rPr>
                <w:b/>
                <w:bCs/>
                <w:iCs/>
              </w:rPr>
              <w:t>Witness evidence given under Civil Evidence Act Notices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58FC3" w14:textId="77777777" w:rsidR="00054729" w:rsidRDefault="00054729" w:rsidP="009154CA">
            <w:pPr>
              <w:spacing w:before="60" w:after="60"/>
              <w:jc w:val="right"/>
              <w:rPr>
                <w:lang w:eastAsia="zh-CN"/>
              </w:rPr>
            </w:pPr>
            <w:r>
              <w:rPr>
                <w:lang w:eastAsia="zh-CN"/>
              </w:rPr>
              <w:t>Para 40</w:t>
            </w:r>
          </w:p>
        </w:tc>
      </w:tr>
      <w:tr w:rsidR="00FB3A55" w14:paraId="764B1D0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23CCD" w14:textId="77777777" w:rsidR="00FB3A55" w:rsidRDefault="00AB401C" w:rsidP="009154CA">
            <w:pPr>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32C0A" w14:textId="77777777" w:rsidR="00FB3A55" w:rsidRDefault="00AB401C" w:rsidP="009154CA">
            <w:pPr>
              <w:spacing w:before="60" w:after="60"/>
              <w:rPr>
                <w:b/>
                <w:bCs/>
                <w:iCs/>
              </w:rPr>
            </w:pPr>
            <w:r>
              <w:rPr>
                <w:b/>
                <w:bCs/>
                <w:iCs/>
              </w:rPr>
              <w:t>Documentary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D2B83" w14:textId="77777777" w:rsidR="00FB3A55" w:rsidRDefault="00AB401C" w:rsidP="009154CA">
            <w:pPr>
              <w:spacing w:before="60" w:after="60"/>
              <w:jc w:val="right"/>
              <w:rPr>
                <w:lang w:eastAsia="zh-CN"/>
              </w:rPr>
            </w:pPr>
            <w:r>
              <w:rPr>
                <w:lang w:eastAsia="zh-CN"/>
              </w:rPr>
              <w:t>Para 43</w:t>
            </w:r>
          </w:p>
        </w:tc>
      </w:tr>
      <w:tr w:rsidR="00FB3A55" w14:paraId="164B005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65B1B" w14:textId="77777777" w:rsidR="00FB3A55" w:rsidRPr="00AB401C" w:rsidRDefault="00AB401C" w:rsidP="009154CA">
            <w:pPr>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FD7E" w14:textId="77777777" w:rsidR="00FB3A55" w:rsidRPr="00AB401C" w:rsidRDefault="00AB401C" w:rsidP="009154CA">
            <w:pPr>
              <w:spacing w:before="60" w:after="60"/>
              <w:rPr>
                <w:b/>
                <w:bCs/>
                <w:i/>
              </w:rPr>
            </w:pPr>
            <w:r>
              <w:rPr>
                <w:b/>
                <w:bCs/>
                <w:i/>
              </w:rPr>
              <w:t>Disclosed documents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686B8" w14:textId="77777777" w:rsidR="00FB3A55" w:rsidRDefault="00AB401C" w:rsidP="009154CA">
            <w:pPr>
              <w:spacing w:before="60" w:after="60"/>
              <w:jc w:val="right"/>
              <w:rPr>
                <w:lang w:eastAsia="zh-CN"/>
              </w:rPr>
            </w:pPr>
            <w:r>
              <w:rPr>
                <w:lang w:eastAsia="zh-CN"/>
              </w:rPr>
              <w:t>Para 43</w:t>
            </w:r>
          </w:p>
        </w:tc>
      </w:tr>
      <w:tr w:rsidR="00FB3A55" w14:paraId="03995EB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7AAC5" w14:textId="77777777" w:rsidR="00FB3A55" w:rsidRPr="001B6C9D" w:rsidRDefault="001B6C9D" w:rsidP="009154CA">
            <w:pPr>
              <w:spacing w:before="60" w:after="60"/>
              <w:rPr>
                <w:b/>
                <w:i/>
                <w:lang w:eastAsia="zh-CN"/>
              </w:rPr>
            </w:pPr>
            <w:r w:rsidRPr="001B6C9D">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F19C2" w14:textId="77777777" w:rsidR="00FB3A55" w:rsidRPr="001B6C9D" w:rsidRDefault="001B6C9D" w:rsidP="009154CA">
            <w:pPr>
              <w:spacing w:before="60" w:after="60"/>
              <w:rPr>
                <w:b/>
                <w:bCs/>
                <w:i/>
              </w:rPr>
            </w:pPr>
            <w:r>
              <w:rPr>
                <w:b/>
                <w:bCs/>
                <w:i/>
              </w:rPr>
              <w:t>Public documents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C31A6" w14:textId="77777777" w:rsidR="00FB3A55" w:rsidRDefault="001B6C9D" w:rsidP="009154CA">
            <w:pPr>
              <w:spacing w:before="60" w:after="60"/>
              <w:jc w:val="right"/>
              <w:rPr>
                <w:lang w:eastAsia="zh-CN"/>
              </w:rPr>
            </w:pPr>
            <w:r>
              <w:rPr>
                <w:lang w:eastAsia="zh-CN"/>
              </w:rPr>
              <w:t>Para 51</w:t>
            </w:r>
          </w:p>
        </w:tc>
      </w:tr>
      <w:tr w:rsidR="001B6C9D" w14:paraId="49E53BA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2DF3" w14:textId="77777777" w:rsidR="001B6C9D" w:rsidRPr="001B6C9D" w:rsidRDefault="00606DC0" w:rsidP="009154CA">
            <w:pPr>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9CF7" w14:textId="77777777" w:rsidR="001B6C9D" w:rsidRDefault="00606DC0" w:rsidP="009154CA">
            <w:pPr>
              <w:spacing w:before="60" w:after="60"/>
              <w:rPr>
                <w:b/>
                <w:bCs/>
                <w:i/>
              </w:rPr>
            </w:pPr>
            <w:r>
              <w:rPr>
                <w:b/>
                <w:bCs/>
                <w:i/>
              </w:rPr>
              <w:t>The source of documents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799D5" w14:textId="77777777" w:rsidR="001B6C9D" w:rsidRDefault="00606DC0" w:rsidP="009154CA">
            <w:pPr>
              <w:spacing w:before="60" w:after="60"/>
              <w:jc w:val="right"/>
              <w:rPr>
                <w:lang w:eastAsia="zh-CN"/>
              </w:rPr>
            </w:pPr>
            <w:r>
              <w:rPr>
                <w:lang w:eastAsia="zh-CN"/>
              </w:rPr>
              <w:t xml:space="preserve">Para </w:t>
            </w:r>
            <w:r w:rsidR="00324322">
              <w:rPr>
                <w:lang w:eastAsia="zh-CN"/>
              </w:rPr>
              <w:t>55</w:t>
            </w:r>
          </w:p>
        </w:tc>
      </w:tr>
      <w:tr w:rsidR="001B6C9D" w14:paraId="4E8B1FB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1CC7" w14:textId="77777777" w:rsidR="001B6C9D" w:rsidRPr="00324322" w:rsidRDefault="00324322" w:rsidP="009154CA">
            <w:pPr>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2F773" w14:textId="77777777" w:rsidR="001B6C9D" w:rsidRPr="00324322" w:rsidRDefault="00324322" w:rsidP="009154CA">
            <w:pPr>
              <w:spacing w:before="60" w:after="60"/>
              <w:rPr>
                <w:b/>
                <w:bCs/>
                <w:iCs/>
              </w:rPr>
            </w:pPr>
            <w:r>
              <w:rPr>
                <w:b/>
                <w:bCs/>
                <w:iCs/>
              </w:rPr>
              <w:t>Expert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EC0B" w14:textId="77777777" w:rsidR="001B6C9D" w:rsidRDefault="00324322" w:rsidP="009154CA">
            <w:pPr>
              <w:spacing w:before="60" w:after="60"/>
              <w:jc w:val="right"/>
              <w:rPr>
                <w:lang w:eastAsia="zh-CN"/>
              </w:rPr>
            </w:pPr>
            <w:r>
              <w:rPr>
                <w:lang w:eastAsia="zh-CN"/>
              </w:rPr>
              <w:t>Para 56</w:t>
            </w:r>
          </w:p>
        </w:tc>
      </w:tr>
      <w:tr w:rsidR="001B6C9D" w14:paraId="0537C70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62E9" w14:textId="77777777" w:rsidR="001B6C9D" w:rsidRPr="001B44BE" w:rsidRDefault="001B44BE" w:rsidP="009154CA">
            <w:pPr>
              <w:spacing w:before="60" w:after="60"/>
              <w:rPr>
                <w:b/>
                <w:iCs/>
                <w:lang w:eastAsia="zh-CN"/>
              </w:rPr>
            </w:pPr>
            <w:r>
              <w:rPr>
                <w:b/>
                <w:iCs/>
                <w:lang w:eastAsia="zh-CN"/>
              </w:rPr>
              <w:t>(6)</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68E7" w14:textId="77777777" w:rsidR="001B6C9D" w:rsidRPr="001B44BE" w:rsidRDefault="001B44BE" w:rsidP="009154CA">
            <w:pPr>
              <w:spacing w:before="60" w:after="60"/>
              <w:rPr>
                <w:b/>
                <w:bCs/>
                <w:iCs/>
              </w:rPr>
            </w:pPr>
            <w:r>
              <w:rPr>
                <w:b/>
                <w:bCs/>
                <w:iCs/>
              </w:rPr>
              <w:t>The factual narratives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1ABE" w14:textId="77777777" w:rsidR="001B6C9D" w:rsidRDefault="001B44BE" w:rsidP="009154CA">
            <w:pPr>
              <w:spacing w:before="60" w:after="60"/>
              <w:jc w:val="right"/>
              <w:rPr>
                <w:lang w:eastAsia="zh-CN"/>
              </w:rPr>
            </w:pPr>
            <w:r>
              <w:rPr>
                <w:lang w:eastAsia="zh-CN"/>
              </w:rPr>
              <w:t>Para 59</w:t>
            </w:r>
          </w:p>
        </w:tc>
      </w:tr>
      <w:tr w:rsidR="001B6C9D" w14:paraId="556957D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B8035" w14:textId="77777777" w:rsidR="001B6C9D" w:rsidRPr="00150C6B" w:rsidRDefault="00150C6B" w:rsidP="009154CA">
            <w:pPr>
              <w:spacing w:before="60" w:after="60"/>
              <w:rPr>
                <w:b/>
                <w:iCs/>
                <w:lang w:eastAsia="zh-CN"/>
              </w:rPr>
            </w:pPr>
            <w:r>
              <w:rPr>
                <w:b/>
                <w:iCs/>
                <w:lang w:eastAsia="zh-CN"/>
              </w:rPr>
              <w:t>(7)</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24639" w14:textId="77777777" w:rsidR="001B6C9D" w:rsidRPr="00150C6B" w:rsidRDefault="00150C6B" w:rsidP="009154CA">
            <w:pPr>
              <w:spacing w:before="60" w:after="60"/>
              <w:rPr>
                <w:b/>
                <w:bCs/>
                <w:iCs/>
              </w:rPr>
            </w:pPr>
            <w:r>
              <w:rPr>
                <w:b/>
                <w:bCs/>
                <w:iCs/>
              </w:rPr>
              <w:t>My approach to the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CD1CB" w14:textId="77777777" w:rsidR="001B6C9D" w:rsidRDefault="00150C6B" w:rsidP="009154CA">
            <w:pPr>
              <w:spacing w:before="60" w:after="60"/>
              <w:jc w:val="right"/>
              <w:rPr>
                <w:lang w:eastAsia="zh-CN"/>
              </w:rPr>
            </w:pPr>
            <w:r>
              <w:rPr>
                <w:lang w:eastAsia="zh-CN"/>
              </w:rPr>
              <w:t>Para 60</w:t>
            </w:r>
          </w:p>
        </w:tc>
      </w:tr>
      <w:tr w:rsidR="001B6C9D" w14:paraId="3A93138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15E4" w14:textId="77777777" w:rsidR="001B6C9D" w:rsidRPr="00936B18" w:rsidRDefault="00936B18" w:rsidP="009154CA">
            <w:pPr>
              <w:spacing w:before="60" w:after="60"/>
              <w:rPr>
                <w:b/>
                <w:iCs/>
                <w:lang w:eastAsia="zh-CN"/>
              </w:rPr>
            </w:pPr>
            <w:r>
              <w:rPr>
                <w:b/>
                <w:iCs/>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964E" w14:textId="77777777" w:rsidR="001B6C9D" w:rsidRPr="00936B18" w:rsidRDefault="00936B18" w:rsidP="009154CA">
            <w:pPr>
              <w:spacing w:before="60" w:after="60"/>
              <w:rPr>
                <w:b/>
                <w:bCs/>
                <w:iCs/>
              </w:rPr>
            </w:pPr>
            <w:r>
              <w:rPr>
                <w:b/>
                <w:bCs/>
                <w:iCs/>
              </w:rPr>
              <w:t>HYDERABAD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1D4E" w14:textId="77777777" w:rsidR="001B6C9D" w:rsidRDefault="00936B18" w:rsidP="009154CA">
            <w:pPr>
              <w:spacing w:before="60" w:after="60"/>
              <w:jc w:val="right"/>
              <w:rPr>
                <w:lang w:eastAsia="zh-CN"/>
              </w:rPr>
            </w:pPr>
            <w:r>
              <w:rPr>
                <w:lang w:eastAsia="zh-CN"/>
              </w:rPr>
              <w:t>Para 62</w:t>
            </w:r>
          </w:p>
        </w:tc>
      </w:tr>
      <w:tr w:rsidR="001B6C9D" w14:paraId="74624647"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D660" w14:textId="77777777" w:rsidR="001B6C9D" w:rsidRPr="00936B18" w:rsidRDefault="00936B18" w:rsidP="009154CA">
            <w:pPr>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E5A9" w14:textId="77777777" w:rsidR="001B6C9D" w:rsidRPr="00936B18" w:rsidRDefault="00936B18" w:rsidP="009154CA">
            <w:pPr>
              <w:spacing w:before="60" w:after="60"/>
              <w:rPr>
                <w:b/>
                <w:bCs/>
                <w:iCs/>
              </w:rPr>
            </w:pPr>
            <w:r>
              <w:rPr>
                <w:b/>
                <w:bCs/>
                <w:iCs/>
              </w:rPr>
              <w:t>Partition: India, Pakistan and Hyderabad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C547E" w14:textId="77777777" w:rsidR="001B6C9D" w:rsidRDefault="00936B18" w:rsidP="009154CA">
            <w:pPr>
              <w:spacing w:before="60" w:after="60"/>
              <w:jc w:val="right"/>
              <w:rPr>
                <w:lang w:eastAsia="zh-CN"/>
              </w:rPr>
            </w:pPr>
            <w:r>
              <w:rPr>
                <w:lang w:eastAsia="zh-CN"/>
              </w:rPr>
              <w:t>Para 62</w:t>
            </w:r>
          </w:p>
        </w:tc>
      </w:tr>
      <w:tr w:rsidR="001B6C9D" w14:paraId="6276927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1032" w14:textId="77777777" w:rsidR="001B6C9D" w:rsidRPr="00C01EC2" w:rsidRDefault="00C01EC2" w:rsidP="009154CA">
            <w:pPr>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D387D" w14:textId="77777777" w:rsidR="001B6C9D" w:rsidRPr="00C01EC2" w:rsidRDefault="00C01EC2" w:rsidP="009154CA">
            <w:pPr>
              <w:spacing w:before="60" w:after="60"/>
              <w:rPr>
                <w:b/>
                <w:bCs/>
                <w:iCs/>
              </w:rPr>
            </w:pPr>
            <w:r>
              <w:rPr>
                <w:b/>
                <w:bCs/>
                <w:iCs/>
              </w:rPr>
              <w:t xml:space="preserve">The position of Hyderabad </w:t>
            </w:r>
            <w:r w:rsidR="007C33C3">
              <w:rPr>
                <w:b/>
                <w:bCs/>
                <w:iCs/>
              </w:rPr>
              <w:t>in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CE3A8" w14:textId="77777777" w:rsidR="001B6C9D" w:rsidRDefault="007C33C3" w:rsidP="009154CA">
            <w:pPr>
              <w:spacing w:before="60" w:after="60"/>
              <w:jc w:val="right"/>
              <w:rPr>
                <w:lang w:eastAsia="zh-CN"/>
              </w:rPr>
            </w:pPr>
            <w:r>
              <w:rPr>
                <w:lang w:eastAsia="zh-CN"/>
              </w:rPr>
              <w:t>Para 68</w:t>
            </w:r>
          </w:p>
        </w:tc>
      </w:tr>
      <w:tr w:rsidR="007C33C3" w14:paraId="61DD253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E221E" w14:textId="77777777" w:rsidR="007C33C3" w:rsidRPr="007C33C3" w:rsidRDefault="007C33C3" w:rsidP="009154CA">
            <w:pPr>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FC3E5" w14:textId="77777777" w:rsidR="007C33C3" w:rsidRPr="007C33C3" w:rsidRDefault="007C33C3" w:rsidP="009154CA">
            <w:pPr>
              <w:spacing w:before="60" w:after="60"/>
              <w:rPr>
                <w:b/>
                <w:bCs/>
                <w:i/>
              </w:rPr>
            </w:pPr>
            <w:r>
              <w:rPr>
                <w:b/>
                <w:bCs/>
                <w:i/>
              </w:rPr>
              <w:t>Geography and religion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B10B8" w14:textId="77777777" w:rsidR="007C33C3" w:rsidRDefault="007C33C3" w:rsidP="009154CA">
            <w:pPr>
              <w:spacing w:before="60" w:after="60"/>
              <w:jc w:val="right"/>
              <w:rPr>
                <w:lang w:eastAsia="zh-CN"/>
              </w:rPr>
            </w:pPr>
            <w:r>
              <w:rPr>
                <w:lang w:eastAsia="zh-CN"/>
              </w:rPr>
              <w:t>Para 68</w:t>
            </w:r>
          </w:p>
        </w:tc>
      </w:tr>
      <w:tr w:rsidR="006C1EA9" w14:paraId="4415F01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A1FB9" w14:textId="77777777" w:rsidR="006C1EA9" w:rsidRDefault="006C1EA9" w:rsidP="009154CA">
            <w:pPr>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FED7F" w14:textId="77777777" w:rsidR="006C1EA9" w:rsidRDefault="008C7A3B" w:rsidP="009154CA">
            <w:pPr>
              <w:spacing w:before="60" w:after="60"/>
              <w:rPr>
                <w:b/>
                <w:bCs/>
                <w:i/>
              </w:rPr>
            </w:pPr>
            <w:r>
              <w:rPr>
                <w:b/>
                <w:bCs/>
                <w:i/>
              </w:rPr>
              <w:t>Approach of the United Kingdom</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138D" w14:textId="77777777" w:rsidR="006C1EA9" w:rsidRDefault="008C7A3B" w:rsidP="009154CA">
            <w:pPr>
              <w:spacing w:before="60" w:after="60"/>
              <w:jc w:val="right"/>
              <w:rPr>
                <w:lang w:eastAsia="zh-CN"/>
              </w:rPr>
            </w:pPr>
            <w:r>
              <w:rPr>
                <w:lang w:eastAsia="zh-CN"/>
              </w:rPr>
              <w:t>Para 69</w:t>
            </w:r>
          </w:p>
        </w:tc>
      </w:tr>
      <w:tr w:rsidR="006C1EA9" w14:paraId="25A39FD7"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D94E" w14:textId="77777777" w:rsidR="006C1EA9" w:rsidRDefault="00470E07" w:rsidP="00470E07">
            <w:pPr>
              <w:tabs>
                <w:tab w:val="left" w:pos="491"/>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834FD" w14:textId="77777777" w:rsidR="006C1EA9" w:rsidRDefault="00470E07" w:rsidP="009154CA">
            <w:pPr>
              <w:spacing w:before="60" w:after="60"/>
              <w:rPr>
                <w:b/>
                <w:bCs/>
                <w:i/>
              </w:rPr>
            </w:pPr>
            <w:r>
              <w:rPr>
                <w:b/>
                <w:bCs/>
                <w:i/>
              </w:rPr>
              <w:t>Approach of Nizam VII</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5BBD5" w14:textId="77777777" w:rsidR="006C1EA9" w:rsidRDefault="00470E07" w:rsidP="009154CA">
            <w:pPr>
              <w:spacing w:before="60" w:after="60"/>
              <w:jc w:val="right"/>
              <w:rPr>
                <w:lang w:eastAsia="zh-CN"/>
              </w:rPr>
            </w:pPr>
            <w:r>
              <w:rPr>
                <w:lang w:eastAsia="zh-CN"/>
              </w:rPr>
              <w:t>Para 71</w:t>
            </w:r>
          </w:p>
        </w:tc>
      </w:tr>
      <w:tr w:rsidR="007C33C3" w14:paraId="1098240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7BD32" w14:textId="77777777" w:rsidR="007C33C3" w:rsidRPr="00923F69" w:rsidRDefault="00923F69" w:rsidP="009154CA">
            <w:pPr>
              <w:spacing w:before="60" w:after="60"/>
              <w:rPr>
                <w:b/>
                <w:i/>
                <w:lang w:eastAsia="zh-CN"/>
              </w:rPr>
            </w:pPr>
            <w:r>
              <w:rPr>
                <w:b/>
                <w:i/>
                <w:lang w:eastAsia="zh-CN"/>
              </w:rPr>
              <w:lastRenderedPageBreak/>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1E296" w14:textId="77777777" w:rsidR="007C33C3" w:rsidRPr="00923F69" w:rsidRDefault="00923F69" w:rsidP="009154CA">
            <w:pPr>
              <w:spacing w:before="60" w:after="60"/>
              <w:rPr>
                <w:b/>
                <w:bCs/>
                <w:i/>
              </w:rPr>
            </w:pPr>
            <w:r>
              <w:rPr>
                <w:b/>
                <w:bCs/>
                <w:i/>
              </w:rPr>
              <w:t>The approach of India, as viewed by Nizam VII</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E498B" w14:textId="77777777" w:rsidR="007C33C3" w:rsidRPr="00923F69" w:rsidRDefault="00923F69" w:rsidP="009154CA">
            <w:pPr>
              <w:spacing w:before="60" w:after="60"/>
              <w:jc w:val="right"/>
              <w:rPr>
                <w:lang w:eastAsia="zh-CN"/>
              </w:rPr>
            </w:pPr>
            <w:r>
              <w:rPr>
                <w:lang w:eastAsia="zh-CN"/>
              </w:rPr>
              <w:t>Para 73</w:t>
            </w:r>
          </w:p>
        </w:tc>
      </w:tr>
      <w:tr w:rsidR="00923F69" w14:paraId="46D232A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BD64C" w14:textId="77777777" w:rsidR="00923F69" w:rsidRPr="00EE1480" w:rsidRDefault="00EE1480" w:rsidP="009154CA">
            <w:pPr>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F7B3" w14:textId="77777777" w:rsidR="00923F69" w:rsidRPr="00EE1480" w:rsidRDefault="00EE1480" w:rsidP="009154CA">
            <w:pPr>
              <w:spacing w:before="60" w:after="60"/>
              <w:rPr>
                <w:b/>
                <w:bCs/>
                <w:iCs/>
              </w:rPr>
            </w:pPr>
            <w:r>
              <w:rPr>
                <w:b/>
                <w:bCs/>
                <w:iCs/>
              </w:rPr>
              <w:t>Operation Polo</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382EA" w14:textId="77777777" w:rsidR="00923F69" w:rsidRDefault="00EE1480" w:rsidP="009154CA">
            <w:pPr>
              <w:spacing w:before="60" w:after="60"/>
              <w:jc w:val="right"/>
              <w:rPr>
                <w:lang w:eastAsia="zh-CN"/>
              </w:rPr>
            </w:pPr>
            <w:r>
              <w:rPr>
                <w:lang w:eastAsia="zh-CN"/>
              </w:rPr>
              <w:t>Para 74</w:t>
            </w:r>
          </w:p>
        </w:tc>
      </w:tr>
      <w:tr w:rsidR="00923F69" w14:paraId="21F27EC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D52B6" w14:textId="77777777" w:rsidR="00923F69" w:rsidRPr="004260A3" w:rsidRDefault="004260A3" w:rsidP="009154CA">
            <w:pPr>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ACC23" w14:textId="77777777" w:rsidR="00923F69" w:rsidRPr="004260A3" w:rsidRDefault="004260A3" w:rsidP="009154CA">
            <w:pPr>
              <w:spacing w:before="60" w:after="60"/>
              <w:rPr>
                <w:b/>
                <w:bCs/>
                <w:iCs/>
              </w:rPr>
            </w:pPr>
            <w:r>
              <w:rPr>
                <w:b/>
                <w:bCs/>
                <w:iCs/>
              </w:rPr>
              <w:t>Accession of Hyderabad to India</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62126" w14:textId="77777777" w:rsidR="00923F69" w:rsidRDefault="004260A3" w:rsidP="009154CA">
            <w:pPr>
              <w:spacing w:before="60" w:after="60"/>
              <w:jc w:val="right"/>
              <w:rPr>
                <w:lang w:eastAsia="zh-CN"/>
              </w:rPr>
            </w:pPr>
            <w:r>
              <w:rPr>
                <w:lang w:eastAsia="zh-CN"/>
              </w:rPr>
              <w:t>Para 83</w:t>
            </w:r>
          </w:p>
        </w:tc>
      </w:tr>
      <w:tr w:rsidR="00923F69" w14:paraId="6084139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584AF" w14:textId="77777777" w:rsidR="00923F69" w:rsidRPr="00BB2E2B" w:rsidRDefault="00BB2E2B" w:rsidP="009154CA">
            <w:pPr>
              <w:spacing w:before="60" w:after="60"/>
              <w:rPr>
                <w:b/>
                <w:iCs/>
                <w:lang w:eastAsia="zh-CN"/>
              </w:rPr>
            </w:pPr>
            <w:r>
              <w:rPr>
                <w:b/>
                <w:iCs/>
                <w:lang w:eastAsia="zh-CN"/>
              </w:rPr>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00DDB" w14:textId="77777777" w:rsidR="00923F69" w:rsidRPr="00BB2E2B" w:rsidRDefault="00BB2E2B" w:rsidP="009154CA">
            <w:pPr>
              <w:spacing w:before="60" w:after="60"/>
              <w:rPr>
                <w:b/>
                <w:bCs/>
                <w:iCs/>
              </w:rPr>
            </w:pPr>
            <w:r>
              <w:rPr>
                <w:b/>
                <w:bCs/>
                <w:iCs/>
              </w:rPr>
              <w:t>THE PAYMENT INTO THE RAHIMTOOLA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7422" w14:textId="77777777" w:rsidR="00923F69" w:rsidRDefault="00BB2E2B" w:rsidP="009154CA">
            <w:pPr>
              <w:spacing w:before="60" w:after="60"/>
              <w:jc w:val="right"/>
              <w:rPr>
                <w:lang w:eastAsia="zh-CN"/>
              </w:rPr>
            </w:pPr>
            <w:r>
              <w:rPr>
                <w:lang w:eastAsia="zh-CN"/>
              </w:rPr>
              <w:t>Para 86</w:t>
            </w:r>
          </w:p>
        </w:tc>
      </w:tr>
      <w:tr w:rsidR="00923F69" w14:paraId="1FBAB1C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F8C00" w14:textId="77777777" w:rsidR="00923F69" w:rsidRPr="00BB2E2B" w:rsidRDefault="00BB2E2B" w:rsidP="009154CA">
            <w:pPr>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AAC2D" w14:textId="77777777" w:rsidR="00923F69" w:rsidRPr="00BB2E2B" w:rsidRDefault="00BB2E2B" w:rsidP="009154CA">
            <w:pPr>
              <w:spacing w:before="60" w:after="60"/>
              <w:rPr>
                <w:b/>
                <w:bCs/>
                <w:iCs/>
              </w:rPr>
            </w:pPr>
            <w:r>
              <w:rPr>
                <w:b/>
                <w:bCs/>
                <w:iCs/>
              </w:rPr>
              <w:t>Establishment of the Hyderabad Government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FB77" w14:textId="77777777" w:rsidR="00923F69" w:rsidRDefault="00BB2E2B" w:rsidP="009154CA">
            <w:pPr>
              <w:spacing w:before="60" w:after="60"/>
              <w:jc w:val="right"/>
              <w:rPr>
                <w:lang w:eastAsia="zh-CN"/>
              </w:rPr>
            </w:pPr>
            <w:r>
              <w:rPr>
                <w:lang w:eastAsia="zh-CN"/>
              </w:rPr>
              <w:t>Para 86</w:t>
            </w:r>
          </w:p>
        </w:tc>
      </w:tr>
      <w:tr w:rsidR="00923F69" w14:paraId="652BA65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356A4" w14:textId="77777777" w:rsidR="00923F69" w:rsidRPr="00AB629A" w:rsidRDefault="00AB629A" w:rsidP="009154CA">
            <w:pPr>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FBDA0" w14:textId="77777777" w:rsidR="00923F69" w:rsidRPr="00AB629A" w:rsidRDefault="00AB629A" w:rsidP="009154CA">
            <w:pPr>
              <w:spacing w:before="60" w:after="60"/>
              <w:rPr>
                <w:b/>
                <w:bCs/>
                <w:iCs/>
              </w:rPr>
            </w:pPr>
            <w:r>
              <w:rPr>
                <w:b/>
                <w:bCs/>
                <w:iCs/>
              </w:rPr>
              <w:t>Establishment of the Second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A7A1E" w14:textId="77777777" w:rsidR="00923F69" w:rsidRDefault="00AB629A" w:rsidP="009154CA">
            <w:pPr>
              <w:spacing w:before="60" w:after="60"/>
              <w:jc w:val="right"/>
              <w:rPr>
                <w:lang w:eastAsia="zh-CN"/>
              </w:rPr>
            </w:pPr>
            <w:r>
              <w:rPr>
                <w:lang w:eastAsia="zh-CN"/>
              </w:rPr>
              <w:t>Para 96</w:t>
            </w:r>
          </w:p>
        </w:tc>
      </w:tr>
      <w:tr w:rsidR="00923F69" w14:paraId="31BB1B3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84DF6" w14:textId="77777777" w:rsidR="00923F69" w:rsidRPr="00AB629A" w:rsidRDefault="009A42F8" w:rsidP="009154CA">
            <w:pPr>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3BCB9" w14:textId="77777777" w:rsidR="00923F69" w:rsidRPr="009A42F8" w:rsidRDefault="009A42F8" w:rsidP="009154CA">
            <w:pPr>
              <w:spacing w:before="60" w:after="60"/>
              <w:rPr>
                <w:b/>
                <w:bCs/>
                <w:iCs/>
              </w:rPr>
            </w:pPr>
            <w:r>
              <w:rPr>
                <w:b/>
                <w:bCs/>
                <w:iCs/>
              </w:rPr>
              <w:t xml:space="preserve">Transfer of the balance of the Hyderabad </w:t>
            </w:r>
            <w:r w:rsidR="00FA4AFA">
              <w:rPr>
                <w:b/>
                <w:bCs/>
                <w:iCs/>
              </w:rPr>
              <w:t>State Bank</w:t>
            </w:r>
            <w:r>
              <w:rPr>
                <w:b/>
                <w:bCs/>
                <w:iCs/>
              </w:rPr>
              <w:t xml:space="preserve"> Account to the Second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BBD54" w14:textId="77777777" w:rsidR="00923F69" w:rsidRDefault="009A42F8" w:rsidP="009154CA">
            <w:pPr>
              <w:spacing w:before="60" w:after="60"/>
              <w:jc w:val="right"/>
              <w:rPr>
                <w:lang w:eastAsia="zh-CN"/>
              </w:rPr>
            </w:pPr>
            <w:r>
              <w:rPr>
                <w:lang w:eastAsia="zh-CN"/>
              </w:rPr>
              <w:t>Para 100</w:t>
            </w:r>
          </w:p>
        </w:tc>
      </w:tr>
      <w:tr w:rsidR="00CF7133" w14:paraId="07E2670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667F" w14:textId="77777777" w:rsidR="00CF7133" w:rsidRDefault="00580D6A" w:rsidP="009154CA">
            <w:pPr>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8FB96" w14:textId="77777777" w:rsidR="00CF7133" w:rsidRDefault="00580D6A" w:rsidP="009154CA">
            <w:pPr>
              <w:spacing w:before="60" w:after="60"/>
              <w:rPr>
                <w:b/>
                <w:bCs/>
                <w:iCs/>
              </w:rPr>
            </w:pPr>
            <w:r>
              <w:rPr>
                <w:b/>
                <w:bCs/>
                <w:iCs/>
              </w:rPr>
              <w:t>Special treatment of the Second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A798" w14:textId="77777777" w:rsidR="00CF7133" w:rsidRDefault="00580D6A" w:rsidP="009154CA">
            <w:pPr>
              <w:spacing w:before="60" w:after="60"/>
              <w:jc w:val="right"/>
              <w:rPr>
                <w:lang w:eastAsia="zh-CN"/>
              </w:rPr>
            </w:pPr>
            <w:r>
              <w:rPr>
                <w:lang w:eastAsia="zh-CN"/>
              </w:rPr>
              <w:t>Para 103</w:t>
            </w:r>
          </w:p>
        </w:tc>
      </w:tr>
      <w:tr w:rsidR="00CF7133" w14:paraId="63899CF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77EA4" w14:textId="77777777" w:rsidR="00CF7133" w:rsidRDefault="005838F3" w:rsidP="009154CA">
            <w:pPr>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2029" w14:textId="77777777" w:rsidR="00CF7133" w:rsidRDefault="005838F3" w:rsidP="009154CA">
            <w:pPr>
              <w:spacing w:before="60" w:after="60"/>
              <w:rPr>
                <w:b/>
                <w:bCs/>
                <w:iCs/>
              </w:rPr>
            </w:pPr>
            <w:r>
              <w:rPr>
                <w:b/>
                <w:bCs/>
                <w:iCs/>
              </w:rPr>
              <w:t>The Rahimtoola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8A2C8" w14:textId="77777777" w:rsidR="00CF7133" w:rsidRDefault="005838F3" w:rsidP="009154CA">
            <w:pPr>
              <w:spacing w:before="60" w:after="60"/>
              <w:jc w:val="right"/>
              <w:rPr>
                <w:lang w:eastAsia="zh-CN"/>
              </w:rPr>
            </w:pPr>
            <w:r>
              <w:rPr>
                <w:lang w:eastAsia="zh-CN"/>
              </w:rPr>
              <w:t>Para 105</w:t>
            </w:r>
          </w:p>
        </w:tc>
      </w:tr>
      <w:tr w:rsidR="00CF7133" w14:paraId="2373160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85095" w14:textId="77777777" w:rsidR="00CF7133" w:rsidRPr="005838F3" w:rsidRDefault="005838F3" w:rsidP="009154CA">
            <w:pPr>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82039" w14:textId="77777777" w:rsidR="00CF7133" w:rsidRPr="005838F3" w:rsidRDefault="005838F3" w:rsidP="009154CA">
            <w:pPr>
              <w:spacing w:before="60" w:after="60"/>
              <w:rPr>
                <w:b/>
                <w:bCs/>
                <w:i/>
              </w:rPr>
            </w:pPr>
            <w:r>
              <w:rPr>
                <w:b/>
                <w:bCs/>
                <w:i/>
              </w:rPr>
              <w:t>Approach</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8F81C" w14:textId="77777777" w:rsidR="00CF7133" w:rsidRDefault="00AC6757" w:rsidP="009154CA">
            <w:pPr>
              <w:spacing w:before="60" w:after="60"/>
              <w:jc w:val="right"/>
              <w:rPr>
                <w:lang w:eastAsia="zh-CN"/>
              </w:rPr>
            </w:pPr>
            <w:r>
              <w:rPr>
                <w:lang w:eastAsia="zh-CN"/>
              </w:rPr>
              <w:t>Para 105</w:t>
            </w:r>
          </w:p>
        </w:tc>
      </w:tr>
      <w:tr w:rsidR="00F2618D" w14:paraId="5734982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FD0F3" w14:textId="77777777" w:rsidR="00F2618D" w:rsidRDefault="00F2618D" w:rsidP="009154CA">
            <w:pPr>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FB0AE" w14:textId="77777777" w:rsidR="00F2618D" w:rsidRDefault="00F2618D" w:rsidP="009154CA">
            <w:pPr>
              <w:spacing w:before="60" w:after="60"/>
              <w:rPr>
                <w:b/>
                <w:bCs/>
                <w:i/>
              </w:rPr>
            </w:pPr>
            <w:r>
              <w:rPr>
                <w:b/>
                <w:bCs/>
                <w:i/>
              </w:rPr>
              <w:t>The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9B1BD" w14:textId="77777777" w:rsidR="00F2618D" w:rsidRDefault="00F2618D" w:rsidP="009154CA">
            <w:pPr>
              <w:spacing w:before="60" w:after="60"/>
              <w:jc w:val="right"/>
              <w:rPr>
                <w:lang w:eastAsia="zh-CN"/>
              </w:rPr>
            </w:pPr>
            <w:r>
              <w:rPr>
                <w:lang w:eastAsia="zh-CN"/>
              </w:rPr>
              <w:t>Para 106</w:t>
            </w:r>
          </w:p>
        </w:tc>
      </w:tr>
      <w:tr w:rsidR="00F2618D" w14:paraId="7606161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DA048" w14:textId="77777777" w:rsidR="00F2618D" w:rsidRPr="00F2618D" w:rsidRDefault="00F2618D" w:rsidP="009154CA">
            <w:pPr>
              <w:spacing w:before="60" w:after="60"/>
              <w:rPr>
                <w:bCs/>
                <w:i/>
                <w:lang w:eastAsia="zh-CN"/>
              </w:rPr>
            </w:pPr>
            <w:r>
              <w:rPr>
                <w:bCs/>
                <w:i/>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A9FA7" w14:textId="77777777" w:rsidR="00F2618D" w:rsidRPr="00F2618D" w:rsidRDefault="00F2618D" w:rsidP="009154CA">
            <w:pPr>
              <w:spacing w:before="60" w:after="60"/>
              <w:rPr>
                <w:i/>
              </w:rPr>
            </w:pPr>
            <w:r>
              <w:rPr>
                <w:i/>
              </w:rPr>
              <w:t xml:space="preserve">Communications </w:t>
            </w:r>
            <w:r w:rsidR="00C95E84">
              <w:rPr>
                <w:i/>
              </w:rPr>
              <w:t>dated</w:t>
            </w:r>
            <w:r>
              <w:rPr>
                <w:i/>
              </w:rPr>
              <w:t xml:space="preserve"> 14 September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BBE07" w14:textId="77777777" w:rsidR="00F2618D" w:rsidRDefault="00F2618D" w:rsidP="009154CA">
            <w:pPr>
              <w:spacing w:before="60" w:after="60"/>
              <w:jc w:val="right"/>
              <w:rPr>
                <w:lang w:eastAsia="zh-CN"/>
              </w:rPr>
            </w:pPr>
            <w:r>
              <w:rPr>
                <w:lang w:eastAsia="zh-CN"/>
              </w:rPr>
              <w:t>Para 106</w:t>
            </w:r>
          </w:p>
        </w:tc>
      </w:tr>
      <w:tr w:rsidR="00F2618D" w14:paraId="24C0BB2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553D" w14:textId="77777777" w:rsidR="00F2618D" w:rsidRPr="00C11E76" w:rsidRDefault="00C11E76" w:rsidP="009154CA">
            <w:pPr>
              <w:spacing w:before="60" w:after="60"/>
              <w:rPr>
                <w:bCs/>
                <w:i/>
                <w:lang w:eastAsia="zh-CN"/>
              </w:rPr>
            </w:pPr>
            <w:r w:rsidRPr="00C11E76">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1E4FF" w14:textId="77777777" w:rsidR="00F2618D" w:rsidRPr="00C11E76" w:rsidRDefault="00C11E76" w:rsidP="009154CA">
            <w:pPr>
              <w:spacing w:before="60" w:after="60"/>
              <w:rPr>
                <w:bCs/>
                <w:i/>
              </w:rPr>
            </w:pPr>
            <w:r w:rsidRPr="00C11E76">
              <w:rPr>
                <w:bCs/>
                <w:i/>
              </w:rPr>
              <w:t xml:space="preserve">Communications </w:t>
            </w:r>
            <w:r w:rsidR="00C95E84">
              <w:rPr>
                <w:bCs/>
                <w:i/>
              </w:rPr>
              <w:t>dated</w:t>
            </w:r>
            <w:r w:rsidRPr="00C11E76">
              <w:rPr>
                <w:bCs/>
                <w:i/>
              </w:rPr>
              <w:t xml:space="preserve"> 15 September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ACA53" w14:textId="77777777" w:rsidR="00F2618D" w:rsidRDefault="00C11E76" w:rsidP="009154CA">
            <w:pPr>
              <w:spacing w:before="60" w:after="60"/>
              <w:jc w:val="right"/>
              <w:rPr>
                <w:lang w:eastAsia="zh-CN"/>
              </w:rPr>
            </w:pPr>
            <w:r>
              <w:rPr>
                <w:lang w:eastAsia="zh-CN"/>
              </w:rPr>
              <w:t>Para 108</w:t>
            </w:r>
          </w:p>
        </w:tc>
      </w:tr>
      <w:tr w:rsidR="00F2618D" w14:paraId="307DDB9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A6D3" w14:textId="77777777" w:rsidR="00F2618D" w:rsidRPr="001C6166" w:rsidRDefault="00797995" w:rsidP="009154CA">
            <w:pPr>
              <w:spacing w:before="60" w:after="60"/>
              <w:rPr>
                <w:bCs/>
                <w:i/>
                <w:lang w:eastAsia="zh-CN"/>
              </w:rPr>
            </w:pPr>
            <w:r w:rsidRPr="001C6166">
              <w:rPr>
                <w:bCs/>
                <w:i/>
                <w:lang w:eastAsia="zh-CN"/>
              </w:rPr>
              <w:t>(iii)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7AB38" w14:textId="77777777" w:rsidR="00F2618D" w:rsidRPr="001C6166" w:rsidRDefault="00797995" w:rsidP="009154CA">
            <w:pPr>
              <w:spacing w:before="60" w:after="60"/>
              <w:rPr>
                <w:bCs/>
                <w:i/>
              </w:rPr>
            </w:pPr>
            <w:r w:rsidRPr="001C6166">
              <w:rPr>
                <w:bCs/>
                <w:i/>
              </w:rPr>
              <w:t>Rahimtoola’s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5085" w14:textId="77777777" w:rsidR="00F2618D" w:rsidRDefault="001C6166" w:rsidP="009154CA">
            <w:pPr>
              <w:spacing w:before="60" w:after="60"/>
              <w:jc w:val="right"/>
              <w:rPr>
                <w:lang w:eastAsia="zh-CN"/>
              </w:rPr>
            </w:pPr>
            <w:r>
              <w:rPr>
                <w:lang w:eastAsia="zh-CN"/>
              </w:rPr>
              <w:t>Para 111</w:t>
            </w:r>
          </w:p>
        </w:tc>
      </w:tr>
      <w:tr w:rsidR="00F2618D" w14:paraId="62F0925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E8241" w14:textId="77777777" w:rsidR="00F2618D" w:rsidRPr="007D4AD6" w:rsidRDefault="00C95E84" w:rsidP="009154CA">
            <w:pPr>
              <w:spacing w:before="60" w:after="60"/>
              <w:rPr>
                <w:bCs/>
                <w:i/>
                <w:lang w:eastAsia="zh-CN"/>
              </w:rPr>
            </w:pPr>
            <w:r w:rsidRPr="007D4AD6">
              <w:rPr>
                <w:bCs/>
                <w:i/>
                <w:lang w:eastAsia="zh-CN"/>
              </w:rPr>
              <w:t>(iv)</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7D340" w14:textId="77777777" w:rsidR="00F2618D" w:rsidRPr="007D4AD6" w:rsidRDefault="00C95E84" w:rsidP="009154CA">
            <w:pPr>
              <w:spacing w:before="60" w:after="60"/>
              <w:rPr>
                <w:bCs/>
                <w:i/>
              </w:rPr>
            </w:pPr>
            <w:r w:rsidRPr="007D4AD6">
              <w:rPr>
                <w:bCs/>
                <w:i/>
              </w:rPr>
              <w:t xml:space="preserve">Communications </w:t>
            </w:r>
            <w:r w:rsidR="007D4AD6" w:rsidRPr="007D4AD6">
              <w:rPr>
                <w:bCs/>
                <w:i/>
              </w:rPr>
              <w:t>dated 16 September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01DB6" w14:textId="77777777" w:rsidR="00F2618D" w:rsidRDefault="007D4AD6" w:rsidP="009154CA">
            <w:pPr>
              <w:spacing w:before="60" w:after="60"/>
              <w:jc w:val="right"/>
              <w:rPr>
                <w:lang w:eastAsia="zh-CN"/>
              </w:rPr>
            </w:pPr>
            <w:r>
              <w:rPr>
                <w:lang w:eastAsia="zh-CN"/>
              </w:rPr>
              <w:t>Para 113</w:t>
            </w:r>
          </w:p>
        </w:tc>
      </w:tr>
      <w:tr w:rsidR="00F2618D" w14:paraId="7A2AC06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A77BB" w14:textId="77777777" w:rsidR="00F2618D" w:rsidRPr="00270AC0" w:rsidRDefault="00270AC0" w:rsidP="00270AC0">
            <w:pPr>
              <w:tabs>
                <w:tab w:val="left" w:pos="636"/>
              </w:tabs>
              <w:spacing w:before="60" w:after="60"/>
              <w:rPr>
                <w:bCs/>
                <w:i/>
                <w:lang w:eastAsia="zh-CN"/>
              </w:rPr>
            </w:pPr>
            <w:r w:rsidRPr="00270AC0">
              <w:rPr>
                <w:bCs/>
                <w:i/>
                <w:lang w:eastAsia="zh-CN"/>
              </w:rPr>
              <w:t>(v)</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02B41" w14:textId="77777777" w:rsidR="00F2618D" w:rsidRPr="00270AC0" w:rsidRDefault="00270AC0" w:rsidP="009154CA">
            <w:pPr>
              <w:spacing w:before="60" w:after="60"/>
              <w:rPr>
                <w:bCs/>
                <w:i/>
              </w:rPr>
            </w:pPr>
            <w:r w:rsidRPr="00270AC0">
              <w:rPr>
                <w:bCs/>
                <w:i/>
              </w:rPr>
              <w:t>Events of 20 September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85327" w14:textId="77777777" w:rsidR="00F2618D" w:rsidRDefault="00270AC0" w:rsidP="009154CA">
            <w:pPr>
              <w:spacing w:before="60" w:after="60"/>
              <w:jc w:val="right"/>
              <w:rPr>
                <w:lang w:eastAsia="zh-CN"/>
              </w:rPr>
            </w:pPr>
            <w:r>
              <w:rPr>
                <w:lang w:eastAsia="zh-CN"/>
              </w:rPr>
              <w:t>Para 115</w:t>
            </w:r>
          </w:p>
        </w:tc>
      </w:tr>
      <w:tr w:rsidR="00F2618D" w14:paraId="4A582A1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51DD1" w14:textId="77777777" w:rsidR="00F2618D" w:rsidRPr="002D0861" w:rsidRDefault="002D0861" w:rsidP="009154CA">
            <w:pPr>
              <w:spacing w:before="60" w:after="60"/>
              <w:rPr>
                <w:bCs/>
                <w:i/>
                <w:lang w:eastAsia="zh-CN"/>
              </w:rPr>
            </w:pPr>
            <w:r w:rsidRPr="002D0861">
              <w:rPr>
                <w:bCs/>
                <w:i/>
                <w:lang w:eastAsia="zh-CN"/>
              </w:rPr>
              <w:t>(vi)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5BD76" w14:textId="77777777" w:rsidR="00F2618D" w:rsidRPr="002D0861" w:rsidRDefault="002D0861" w:rsidP="009154CA">
            <w:pPr>
              <w:spacing w:before="60" w:after="60"/>
              <w:rPr>
                <w:bCs/>
                <w:i/>
              </w:rPr>
            </w:pPr>
            <w:r w:rsidRPr="002D0861">
              <w:rPr>
                <w:bCs/>
                <w:i/>
              </w:rPr>
              <w:t>The Bank’s views regarding the basis upon which the account was held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205DF" w14:textId="77777777" w:rsidR="00F2618D" w:rsidRDefault="002D0861" w:rsidP="009154CA">
            <w:pPr>
              <w:spacing w:before="60" w:after="60"/>
              <w:jc w:val="right"/>
              <w:rPr>
                <w:lang w:eastAsia="zh-CN"/>
              </w:rPr>
            </w:pPr>
            <w:r>
              <w:rPr>
                <w:lang w:eastAsia="zh-CN"/>
              </w:rPr>
              <w:t>Para 118</w:t>
            </w:r>
          </w:p>
        </w:tc>
      </w:tr>
      <w:tr w:rsidR="00F2618D" w14:paraId="5C38518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33B06" w14:textId="77777777" w:rsidR="00F2618D" w:rsidRDefault="004730B0" w:rsidP="009154CA">
            <w:pPr>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C3564" w14:textId="77777777" w:rsidR="00F2618D" w:rsidRDefault="004730B0" w:rsidP="009154CA">
            <w:pPr>
              <w:spacing w:before="60" w:after="60"/>
              <w:rPr>
                <w:b/>
                <w:bCs/>
                <w:i/>
              </w:rPr>
            </w:pPr>
            <w:r>
              <w:rPr>
                <w:b/>
                <w:bCs/>
                <w:i/>
              </w:rPr>
              <w:t>Findings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8F97F" w14:textId="77777777" w:rsidR="00F2618D" w:rsidRDefault="004730B0" w:rsidP="009154CA">
            <w:pPr>
              <w:spacing w:before="60" w:after="60"/>
              <w:jc w:val="right"/>
              <w:rPr>
                <w:lang w:eastAsia="zh-CN"/>
              </w:rPr>
            </w:pPr>
            <w:r>
              <w:rPr>
                <w:lang w:eastAsia="zh-CN"/>
              </w:rPr>
              <w:t>Para 1</w:t>
            </w:r>
            <w:r w:rsidR="002C1F3F">
              <w:rPr>
                <w:lang w:eastAsia="zh-CN"/>
              </w:rPr>
              <w:t>21</w:t>
            </w:r>
          </w:p>
        </w:tc>
      </w:tr>
      <w:tr w:rsidR="004730B0" w14:paraId="7DB47CD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BAFEE" w14:textId="77777777" w:rsidR="004730B0" w:rsidRPr="004730B0" w:rsidRDefault="004730B0" w:rsidP="009154CA">
            <w:pPr>
              <w:spacing w:before="60" w:after="60"/>
              <w:rPr>
                <w:bCs/>
                <w:i/>
                <w:lang w:eastAsia="zh-CN"/>
              </w:rPr>
            </w:pPr>
            <w:r>
              <w:rPr>
                <w:bCs/>
                <w:i/>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93725" w14:textId="77777777" w:rsidR="004730B0" w:rsidRPr="002C1F3F" w:rsidRDefault="002C1F3F" w:rsidP="009154CA">
            <w:pPr>
              <w:spacing w:before="60" w:after="60"/>
              <w:rPr>
                <w:i/>
              </w:rPr>
            </w:pPr>
            <w:r>
              <w:rPr>
                <w:i/>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55FAF" w14:textId="77777777" w:rsidR="004730B0" w:rsidRDefault="002C1F3F" w:rsidP="009154CA">
            <w:pPr>
              <w:spacing w:before="60" w:after="60"/>
              <w:jc w:val="right"/>
              <w:rPr>
                <w:lang w:eastAsia="zh-CN"/>
              </w:rPr>
            </w:pPr>
            <w:r>
              <w:rPr>
                <w:lang w:eastAsia="zh-CN"/>
              </w:rPr>
              <w:t>Para 121</w:t>
            </w:r>
          </w:p>
        </w:tc>
      </w:tr>
      <w:tr w:rsidR="004730B0" w14:paraId="758F4A4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6FE48" w14:textId="77777777" w:rsidR="004730B0" w:rsidRPr="002F7C86" w:rsidRDefault="002F7C86" w:rsidP="002F7C86">
            <w:pPr>
              <w:tabs>
                <w:tab w:val="left" w:pos="603"/>
              </w:tabs>
              <w:spacing w:before="60" w:after="60"/>
              <w:rPr>
                <w:bCs/>
                <w:i/>
                <w:lang w:eastAsia="zh-CN"/>
              </w:rPr>
            </w:pPr>
            <w:r w:rsidRPr="002F7C86">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5DB76" w14:textId="77777777" w:rsidR="004730B0" w:rsidRPr="002F7C86" w:rsidRDefault="002F7C86" w:rsidP="009154CA">
            <w:pPr>
              <w:spacing w:before="60" w:after="60"/>
              <w:rPr>
                <w:bCs/>
                <w:i/>
              </w:rPr>
            </w:pPr>
            <w:r w:rsidRPr="002F7C86">
              <w:rPr>
                <w:bCs/>
                <w:i/>
              </w:rPr>
              <w:t>The evidence of Rahimtoola</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10665" w14:textId="77777777" w:rsidR="004730B0" w:rsidRDefault="002F7C86" w:rsidP="009154CA">
            <w:pPr>
              <w:spacing w:before="60" w:after="60"/>
              <w:jc w:val="right"/>
              <w:rPr>
                <w:lang w:eastAsia="zh-CN"/>
              </w:rPr>
            </w:pPr>
            <w:r>
              <w:rPr>
                <w:lang w:eastAsia="zh-CN"/>
              </w:rPr>
              <w:t>Para 124</w:t>
            </w:r>
          </w:p>
        </w:tc>
      </w:tr>
      <w:tr w:rsidR="004730B0" w14:paraId="754A2E4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23E52" w14:textId="77777777" w:rsidR="004730B0" w:rsidRPr="00BE7CCE" w:rsidRDefault="00BE7CCE" w:rsidP="00BE7CCE">
            <w:pPr>
              <w:tabs>
                <w:tab w:val="left" w:pos="625"/>
              </w:tabs>
              <w:spacing w:before="60" w:after="60"/>
              <w:rPr>
                <w:bCs/>
                <w:i/>
                <w:lang w:eastAsia="zh-CN"/>
              </w:rPr>
            </w:pPr>
            <w:r w:rsidRPr="00BE7CCE">
              <w:rPr>
                <w:bCs/>
                <w:i/>
                <w:lang w:eastAsia="zh-CN"/>
              </w:rPr>
              <w:t>(iii)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D9B3E" w14:textId="77777777" w:rsidR="004730B0" w:rsidRPr="00BE7CCE" w:rsidRDefault="00BE7CCE" w:rsidP="009154CA">
            <w:pPr>
              <w:spacing w:before="60" w:after="60"/>
              <w:rPr>
                <w:bCs/>
                <w:i/>
              </w:rPr>
            </w:pPr>
            <w:r w:rsidRPr="00BE7CCE">
              <w:rPr>
                <w:bCs/>
                <w:i/>
              </w:rPr>
              <w:t>The 15 September letters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96FFD" w14:textId="77777777" w:rsidR="004730B0" w:rsidRDefault="00BE7CCE" w:rsidP="009154CA">
            <w:pPr>
              <w:spacing w:before="60" w:after="60"/>
              <w:jc w:val="right"/>
              <w:rPr>
                <w:lang w:eastAsia="zh-CN"/>
              </w:rPr>
            </w:pPr>
            <w:r>
              <w:rPr>
                <w:lang w:eastAsia="zh-CN"/>
              </w:rPr>
              <w:t>Para 126</w:t>
            </w:r>
          </w:p>
        </w:tc>
      </w:tr>
      <w:tr w:rsidR="004730B0" w14:paraId="0A404B5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E2CD0" w14:textId="77777777" w:rsidR="004730B0" w:rsidRPr="00E74F9D" w:rsidRDefault="00E74F9D" w:rsidP="009154CA">
            <w:pPr>
              <w:spacing w:before="60" w:after="60"/>
              <w:rPr>
                <w:bCs/>
                <w:i/>
                <w:lang w:eastAsia="zh-CN"/>
              </w:rPr>
            </w:pPr>
            <w:r w:rsidRPr="00E74F9D">
              <w:rPr>
                <w:bCs/>
                <w:i/>
                <w:lang w:eastAsia="zh-CN"/>
              </w:rPr>
              <w:t>(iv)</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0B4B" w14:textId="77777777" w:rsidR="004730B0" w:rsidRPr="00E74F9D" w:rsidRDefault="00E74F9D" w:rsidP="009154CA">
            <w:pPr>
              <w:spacing w:before="60" w:after="60"/>
              <w:rPr>
                <w:bCs/>
                <w:i/>
              </w:rPr>
            </w:pPr>
            <w:r w:rsidRPr="00E74F9D">
              <w:rPr>
                <w:bCs/>
                <w:i/>
              </w:rPr>
              <w:t>My conclusions on the evidence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0D05" w14:textId="77777777" w:rsidR="004730B0" w:rsidRDefault="00E74F9D" w:rsidP="009154CA">
            <w:pPr>
              <w:spacing w:before="60" w:after="60"/>
              <w:jc w:val="right"/>
              <w:rPr>
                <w:lang w:eastAsia="zh-CN"/>
              </w:rPr>
            </w:pPr>
            <w:r>
              <w:rPr>
                <w:lang w:eastAsia="zh-CN"/>
              </w:rPr>
              <w:t>Para 130</w:t>
            </w:r>
          </w:p>
        </w:tc>
      </w:tr>
      <w:tr w:rsidR="00E54316" w14:paraId="3F86EFB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61560" w14:textId="77777777" w:rsidR="00E54316" w:rsidRPr="00E54316" w:rsidRDefault="00AD1719" w:rsidP="009154CA">
            <w:pPr>
              <w:spacing w:before="60" w:after="60"/>
              <w:rPr>
                <w:b/>
                <w:iCs/>
                <w:lang w:eastAsia="zh-CN"/>
              </w:rPr>
            </w:pPr>
            <w:r>
              <w:rPr>
                <w:b/>
                <w:iCs/>
                <w:lang w:eastAsia="zh-CN"/>
              </w:rPr>
              <w:t>(6)</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EF17F" w14:textId="77777777" w:rsidR="00E54316" w:rsidRPr="00E54316" w:rsidRDefault="00AD1719" w:rsidP="009154CA">
            <w:pPr>
              <w:spacing w:before="60" w:after="60"/>
              <w:rPr>
                <w:b/>
                <w:iCs/>
              </w:rPr>
            </w:pPr>
            <w:r>
              <w:rPr>
                <w:b/>
                <w:iCs/>
              </w:rPr>
              <w:t>Attempts to freeze the accounts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36504" w14:textId="77777777" w:rsidR="00E54316" w:rsidRDefault="00AD1719" w:rsidP="009154CA">
            <w:pPr>
              <w:spacing w:before="60" w:after="60"/>
              <w:jc w:val="right"/>
              <w:rPr>
                <w:lang w:eastAsia="zh-CN"/>
              </w:rPr>
            </w:pPr>
            <w:r>
              <w:rPr>
                <w:lang w:eastAsia="zh-CN"/>
              </w:rPr>
              <w:t>Para 135</w:t>
            </w:r>
          </w:p>
        </w:tc>
      </w:tr>
      <w:tr w:rsidR="00B1513B" w14:paraId="671487E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63DB5" w14:textId="77777777" w:rsidR="00B1513B" w:rsidRDefault="0068184D" w:rsidP="009154CA">
            <w:pPr>
              <w:spacing w:before="60" w:after="60"/>
              <w:rPr>
                <w:b/>
                <w:iCs/>
                <w:lang w:eastAsia="zh-CN"/>
              </w:rPr>
            </w:pPr>
            <w:r>
              <w:rPr>
                <w:b/>
                <w:iCs/>
                <w:lang w:eastAsia="zh-CN"/>
              </w:rPr>
              <w:t>E</w:t>
            </w:r>
            <w:r w:rsidR="00B1513B">
              <w:rPr>
                <w:b/>
                <w:iCs/>
                <w:lang w:eastAsia="zh-CN"/>
              </w:rPr>
              <w:t>.</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A0B84" w14:textId="77777777" w:rsidR="00B1513B" w:rsidRDefault="00B1513B" w:rsidP="009154CA">
            <w:pPr>
              <w:spacing w:before="60" w:after="60"/>
              <w:rPr>
                <w:b/>
                <w:iCs/>
              </w:rPr>
            </w:pPr>
            <w:r>
              <w:rPr>
                <w:b/>
                <w:iCs/>
              </w:rPr>
              <w:t>EVENTS POST-DATING THE TRANSFER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89ABA" w14:textId="77777777" w:rsidR="00B1513B" w:rsidRDefault="00FF6901" w:rsidP="009154CA">
            <w:pPr>
              <w:spacing w:before="60" w:after="60"/>
              <w:jc w:val="right"/>
              <w:rPr>
                <w:lang w:eastAsia="zh-CN"/>
              </w:rPr>
            </w:pPr>
            <w:r>
              <w:rPr>
                <w:lang w:eastAsia="zh-CN"/>
              </w:rPr>
              <w:t>Para 147</w:t>
            </w:r>
          </w:p>
        </w:tc>
      </w:tr>
      <w:tr w:rsidR="00B1513B" w14:paraId="4CFCB98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E2A1F" w14:textId="77777777" w:rsidR="00B1513B" w:rsidRDefault="00FF6901" w:rsidP="009154CA">
            <w:pPr>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9724" w14:textId="77777777" w:rsidR="00B1513B" w:rsidRDefault="00FF6901"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D1C8B" w14:textId="77777777" w:rsidR="00B1513B" w:rsidRDefault="00B1513B" w:rsidP="009154CA">
            <w:pPr>
              <w:spacing w:before="60" w:after="60"/>
              <w:jc w:val="right"/>
              <w:rPr>
                <w:lang w:eastAsia="zh-CN"/>
              </w:rPr>
            </w:pPr>
          </w:p>
        </w:tc>
      </w:tr>
      <w:tr w:rsidR="00B1513B" w14:paraId="652AAD4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5DF90" w14:textId="77777777" w:rsidR="00B1513B" w:rsidRDefault="00D92700" w:rsidP="009154CA">
            <w:pPr>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E4C49" w14:textId="77777777" w:rsidR="00B1513B" w:rsidRDefault="00D92700" w:rsidP="009154CA">
            <w:pPr>
              <w:spacing w:before="60" w:after="60"/>
              <w:rPr>
                <w:b/>
                <w:iCs/>
              </w:rPr>
            </w:pPr>
            <w:r>
              <w:rPr>
                <w:b/>
                <w:iCs/>
              </w:rPr>
              <w:t>Appointment of a new High Commissioner for Pakistan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17678" w14:textId="77777777" w:rsidR="00B1513B" w:rsidRDefault="00D92700" w:rsidP="009154CA">
            <w:pPr>
              <w:spacing w:before="60" w:after="60"/>
              <w:jc w:val="right"/>
              <w:rPr>
                <w:lang w:eastAsia="zh-CN"/>
              </w:rPr>
            </w:pPr>
            <w:r>
              <w:rPr>
                <w:lang w:eastAsia="zh-CN"/>
              </w:rPr>
              <w:t>Para 148</w:t>
            </w:r>
          </w:p>
        </w:tc>
      </w:tr>
      <w:tr w:rsidR="00D92700" w14:paraId="543D791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C59A" w14:textId="77777777" w:rsidR="00D92700" w:rsidRDefault="00D92700" w:rsidP="009154CA">
            <w:pPr>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776FF" w14:textId="77777777" w:rsidR="00D92700" w:rsidRDefault="00D92700" w:rsidP="009154CA">
            <w:pPr>
              <w:spacing w:before="60" w:after="60"/>
              <w:rPr>
                <w:b/>
                <w:iCs/>
              </w:rPr>
            </w:pPr>
            <w:r>
              <w:rPr>
                <w:b/>
                <w:iCs/>
              </w:rPr>
              <w:t>The Ispahani letter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CC424" w14:textId="77777777" w:rsidR="00D92700" w:rsidRDefault="00D92700" w:rsidP="009154CA">
            <w:pPr>
              <w:spacing w:before="60" w:after="60"/>
              <w:jc w:val="right"/>
              <w:rPr>
                <w:lang w:eastAsia="zh-CN"/>
              </w:rPr>
            </w:pPr>
            <w:r>
              <w:rPr>
                <w:lang w:eastAsia="zh-CN"/>
              </w:rPr>
              <w:t>Para 150</w:t>
            </w:r>
          </w:p>
        </w:tc>
      </w:tr>
      <w:tr w:rsidR="00D92700" w14:paraId="0EA4D81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A3F71" w14:textId="77777777" w:rsidR="00D92700" w:rsidRDefault="00D92700" w:rsidP="009154CA">
            <w:pPr>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0A9B9" w14:textId="77777777" w:rsidR="00D92700" w:rsidRDefault="00D92700" w:rsidP="009154CA">
            <w:pPr>
              <w:spacing w:before="60" w:after="60"/>
              <w:rPr>
                <w:b/>
                <w:iCs/>
              </w:rPr>
            </w:pPr>
            <w:r>
              <w:rPr>
                <w:b/>
                <w:iCs/>
              </w:rPr>
              <w:t>The 1954 Proceedings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BF41" w14:textId="77777777" w:rsidR="00D92700" w:rsidRDefault="00D92700" w:rsidP="009154CA">
            <w:pPr>
              <w:spacing w:before="60" w:after="60"/>
              <w:jc w:val="right"/>
              <w:rPr>
                <w:lang w:eastAsia="zh-CN"/>
              </w:rPr>
            </w:pPr>
            <w:r>
              <w:rPr>
                <w:lang w:eastAsia="zh-CN"/>
              </w:rPr>
              <w:t>Para 153</w:t>
            </w:r>
          </w:p>
        </w:tc>
      </w:tr>
      <w:tr w:rsidR="00D92700" w14:paraId="2DC94E8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1B82A" w14:textId="77777777" w:rsidR="00D92700" w:rsidRDefault="00A77D6D" w:rsidP="009154CA">
            <w:pPr>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31677" w14:textId="77777777" w:rsidR="00D92700" w:rsidRDefault="00A77D6D" w:rsidP="009154CA">
            <w:pPr>
              <w:spacing w:before="60" w:after="60"/>
              <w:rPr>
                <w:b/>
                <w:iCs/>
              </w:rPr>
            </w:pPr>
            <w:r>
              <w:rPr>
                <w:b/>
                <w:iCs/>
              </w:rPr>
              <w:t>The 1956 Assignment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17DF1" w14:textId="77777777" w:rsidR="00D92700" w:rsidRDefault="00A77D6D" w:rsidP="009154CA">
            <w:pPr>
              <w:spacing w:before="60" w:after="60"/>
              <w:jc w:val="right"/>
              <w:rPr>
                <w:lang w:eastAsia="zh-CN"/>
              </w:rPr>
            </w:pPr>
            <w:r>
              <w:rPr>
                <w:lang w:eastAsia="zh-CN"/>
              </w:rPr>
              <w:t>Para 164</w:t>
            </w:r>
          </w:p>
        </w:tc>
      </w:tr>
      <w:tr w:rsidR="00D92700" w14:paraId="7C7C028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8CC8" w14:textId="77777777" w:rsidR="00D92700" w:rsidRDefault="0048105A" w:rsidP="009154CA">
            <w:pPr>
              <w:spacing w:before="60" w:after="60"/>
              <w:rPr>
                <w:b/>
                <w:iCs/>
                <w:lang w:eastAsia="zh-CN"/>
              </w:rPr>
            </w:pPr>
            <w:r>
              <w:rPr>
                <w:b/>
                <w:iCs/>
                <w:lang w:eastAsia="zh-CN"/>
              </w:rPr>
              <w:t>(6)</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9D69" w14:textId="77777777" w:rsidR="00D92700" w:rsidRDefault="0048105A" w:rsidP="009154CA">
            <w:pPr>
              <w:spacing w:before="60" w:after="60"/>
              <w:rPr>
                <w:b/>
                <w:iCs/>
              </w:rPr>
            </w:pPr>
            <w:r>
              <w:rPr>
                <w:b/>
                <w:iCs/>
              </w:rPr>
              <w:t>Subsequent dealings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3AD4C" w14:textId="77777777" w:rsidR="00D92700" w:rsidRDefault="0048105A" w:rsidP="009154CA">
            <w:pPr>
              <w:spacing w:before="60" w:after="60"/>
              <w:jc w:val="right"/>
              <w:rPr>
                <w:lang w:eastAsia="zh-CN"/>
              </w:rPr>
            </w:pPr>
            <w:r>
              <w:rPr>
                <w:lang w:eastAsia="zh-CN"/>
              </w:rPr>
              <w:t>Para 167</w:t>
            </w:r>
          </w:p>
        </w:tc>
      </w:tr>
      <w:tr w:rsidR="00157C0C" w14:paraId="1B6B1F6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96DDA" w14:textId="77777777" w:rsidR="00157C0C" w:rsidRPr="00157C0C" w:rsidRDefault="00157C0C" w:rsidP="009154CA">
            <w:pPr>
              <w:spacing w:before="60" w:after="60"/>
              <w:rPr>
                <w:b/>
                <w:i/>
                <w:lang w:eastAsia="zh-CN"/>
              </w:rPr>
            </w:pPr>
            <w:r>
              <w:rPr>
                <w:b/>
                <w:i/>
                <w:lang w:eastAsia="zh-CN"/>
              </w:rPr>
              <w:lastRenderedPageBreak/>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80D41" w14:textId="77777777" w:rsidR="00157C0C" w:rsidRPr="00157C0C" w:rsidRDefault="00157C0C" w:rsidP="009154CA">
            <w:pPr>
              <w:spacing w:before="60" w:after="60"/>
              <w:rPr>
                <w:b/>
                <w:i/>
              </w:rPr>
            </w:pPr>
            <w:r>
              <w:rPr>
                <w:b/>
                <w:i/>
              </w:rPr>
              <w:t>The Princes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12DE9" w14:textId="77777777" w:rsidR="00157C0C" w:rsidRDefault="00D86F80" w:rsidP="009154CA">
            <w:pPr>
              <w:spacing w:before="60" w:after="60"/>
              <w:jc w:val="right"/>
              <w:rPr>
                <w:lang w:eastAsia="zh-CN"/>
              </w:rPr>
            </w:pPr>
            <w:r>
              <w:rPr>
                <w:lang w:eastAsia="zh-CN"/>
              </w:rPr>
              <w:t>Para 169</w:t>
            </w:r>
          </w:p>
        </w:tc>
      </w:tr>
      <w:tr w:rsidR="00157C0C" w14:paraId="557D046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1AC5A" w14:textId="77777777" w:rsidR="00157C0C" w:rsidRPr="00D86F80" w:rsidRDefault="00D86F80" w:rsidP="009154CA">
            <w:pPr>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E0065" w14:textId="77777777" w:rsidR="00157C0C" w:rsidRPr="00D86F80" w:rsidRDefault="00D86F80" w:rsidP="009154CA">
            <w:pPr>
              <w:spacing w:before="60" w:after="60"/>
              <w:rPr>
                <w:b/>
                <w:i/>
              </w:rPr>
            </w:pPr>
            <w:r>
              <w:rPr>
                <w:b/>
                <w:i/>
              </w:rPr>
              <w:t>India</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1D45F" w14:textId="77777777" w:rsidR="00157C0C" w:rsidRDefault="00D86F80" w:rsidP="009154CA">
            <w:pPr>
              <w:spacing w:before="60" w:after="60"/>
              <w:jc w:val="right"/>
              <w:rPr>
                <w:lang w:eastAsia="zh-CN"/>
              </w:rPr>
            </w:pPr>
            <w:r>
              <w:rPr>
                <w:lang w:eastAsia="zh-CN"/>
              </w:rPr>
              <w:t>Para 173</w:t>
            </w:r>
          </w:p>
        </w:tc>
      </w:tr>
      <w:tr w:rsidR="00157C0C" w14:paraId="7B4FD25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E8643" w14:textId="77777777" w:rsidR="00157C0C" w:rsidRPr="00D86F80" w:rsidRDefault="00D86F80" w:rsidP="009154CA">
            <w:pPr>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1890B" w14:textId="77777777" w:rsidR="00157C0C" w:rsidRPr="00D86F80" w:rsidRDefault="00D86F80" w:rsidP="009154CA">
            <w:pPr>
              <w:spacing w:before="60" w:after="60"/>
              <w:rPr>
                <w:b/>
                <w:i/>
              </w:rPr>
            </w:pPr>
            <w:r>
              <w:rPr>
                <w:b/>
                <w:i/>
              </w:rPr>
              <w:t>Other interests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31029" w14:textId="77777777" w:rsidR="00157C0C" w:rsidRDefault="00D86F80" w:rsidP="009154CA">
            <w:pPr>
              <w:spacing w:before="60" w:after="60"/>
              <w:jc w:val="right"/>
              <w:rPr>
                <w:lang w:eastAsia="zh-CN"/>
              </w:rPr>
            </w:pPr>
            <w:r>
              <w:rPr>
                <w:lang w:eastAsia="zh-CN"/>
              </w:rPr>
              <w:t>Para 174</w:t>
            </w:r>
          </w:p>
        </w:tc>
      </w:tr>
      <w:tr w:rsidR="00157C0C" w14:paraId="58DEEFA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4CDC3" w14:textId="77777777" w:rsidR="00157C0C" w:rsidRDefault="00127B9B" w:rsidP="009154CA">
            <w:pPr>
              <w:spacing w:before="60" w:after="60"/>
              <w:rPr>
                <w:b/>
                <w:iCs/>
                <w:lang w:eastAsia="zh-CN"/>
              </w:rPr>
            </w:pPr>
            <w:r>
              <w:rPr>
                <w:b/>
                <w:iCs/>
                <w:lang w:eastAsia="zh-CN"/>
              </w:rPr>
              <w:t>F.</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68563" w14:textId="77777777" w:rsidR="00157C0C" w:rsidRDefault="00127B9B" w:rsidP="009154CA">
            <w:pPr>
              <w:spacing w:before="60" w:after="60"/>
              <w:rPr>
                <w:b/>
                <w:iCs/>
              </w:rPr>
            </w:pPr>
            <w:r>
              <w:rPr>
                <w:b/>
                <w:iCs/>
              </w:rPr>
              <w:t>THE ACTUAL AUTHORITY OF NIZAM VII AT THE TIME OF THE TRANSFER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7EEBE" w14:textId="77777777" w:rsidR="00157C0C" w:rsidRDefault="00127B9B" w:rsidP="009154CA">
            <w:pPr>
              <w:spacing w:before="60" w:after="60"/>
              <w:jc w:val="right"/>
              <w:rPr>
                <w:lang w:eastAsia="zh-CN"/>
              </w:rPr>
            </w:pPr>
            <w:r>
              <w:rPr>
                <w:lang w:eastAsia="zh-CN"/>
              </w:rPr>
              <w:t>Para 176</w:t>
            </w:r>
          </w:p>
        </w:tc>
      </w:tr>
      <w:tr w:rsidR="00127B9B" w14:paraId="7FE74F7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D950A" w14:textId="77777777" w:rsidR="00127B9B" w:rsidRDefault="00127B9B" w:rsidP="009154CA">
            <w:pPr>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B8EA0" w14:textId="77777777" w:rsidR="00127B9B" w:rsidRDefault="00127B9B" w:rsidP="009154CA">
            <w:pPr>
              <w:spacing w:before="60" w:after="60"/>
              <w:rPr>
                <w:b/>
                <w:iCs/>
              </w:rPr>
            </w:pPr>
            <w:r>
              <w:rPr>
                <w:b/>
                <w:iCs/>
              </w:rPr>
              <w:t>Introduction: why the issue matters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B82D8" w14:textId="77777777" w:rsidR="00127B9B" w:rsidRDefault="00127B9B" w:rsidP="009154CA">
            <w:pPr>
              <w:spacing w:before="60" w:after="60"/>
              <w:jc w:val="right"/>
              <w:rPr>
                <w:lang w:eastAsia="zh-CN"/>
              </w:rPr>
            </w:pPr>
            <w:r>
              <w:rPr>
                <w:lang w:eastAsia="zh-CN"/>
              </w:rPr>
              <w:t>Para 176</w:t>
            </w:r>
          </w:p>
        </w:tc>
      </w:tr>
      <w:tr w:rsidR="00127B9B" w14:paraId="68C5A18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06E81" w14:textId="77777777" w:rsidR="00127B9B" w:rsidRDefault="00B1594D" w:rsidP="009154CA">
            <w:pPr>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C48D2" w14:textId="77777777" w:rsidR="00127B9B" w:rsidRDefault="00B1594D" w:rsidP="009154CA">
            <w:pPr>
              <w:spacing w:before="60" w:after="60"/>
              <w:rPr>
                <w:b/>
                <w:iCs/>
              </w:rPr>
            </w:pPr>
            <w:r>
              <w:rPr>
                <w:b/>
                <w:iCs/>
              </w:rPr>
              <w:t>Applicable law</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260BB" w14:textId="77777777" w:rsidR="00127B9B" w:rsidRDefault="00B1594D" w:rsidP="009154CA">
            <w:pPr>
              <w:spacing w:before="60" w:after="60"/>
              <w:jc w:val="right"/>
              <w:rPr>
                <w:lang w:eastAsia="zh-CN"/>
              </w:rPr>
            </w:pPr>
            <w:r>
              <w:rPr>
                <w:lang w:eastAsia="zh-CN"/>
              </w:rPr>
              <w:t>Para 181</w:t>
            </w:r>
          </w:p>
        </w:tc>
      </w:tr>
      <w:tr w:rsidR="00127B9B" w14:paraId="2FDAB3C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194DA" w14:textId="77777777" w:rsidR="00127B9B" w:rsidRDefault="00BE557C" w:rsidP="00BE557C">
            <w:pPr>
              <w:tabs>
                <w:tab w:val="left" w:pos="726"/>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83183" w14:textId="77777777" w:rsidR="00127B9B" w:rsidRDefault="00BE557C" w:rsidP="009154CA">
            <w:pPr>
              <w:spacing w:before="60" w:after="60"/>
              <w:rPr>
                <w:b/>
                <w:iCs/>
              </w:rPr>
            </w:pPr>
            <w:r>
              <w:rPr>
                <w:b/>
                <w:iCs/>
              </w:rPr>
              <w:t>Is the law of Hyderabad law that is recognised in the English courts?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0188E" w14:textId="77777777" w:rsidR="00127B9B" w:rsidRDefault="00BE557C" w:rsidP="009154CA">
            <w:pPr>
              <w:spacing w:before="60" w:after="60"/>
              <w:jc w:val="right"/>
              <w:rPr>
                <w:lang w:eastAsia="zh-CN"/>
              </w:rPr>
            </w:pPr>
            <w:r>
              <w:rPr>
                <w:lang w:eastAsia="zh-CN"/>
              </w:rPr>
              <w:t>Para 185</w:t>
            </w:r>
          </w:p>
        </w:tc>
      </w:tr>
      <w:tr w:rsidR="00BE557C" w14:paraId="27035B2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7642" w14:textId="77777777" w:rsidR="00BE557C" w:rsidRPr="00BE557C" w:rsidRDefault="00BE557C" w:rsidP="00BE557C">
            <w:pPr>
              <w:tabs>
                <w:tab w:val="left" w:pos="726"/>
              </w:tabs>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8C613" w14:textId="77777777" w:rsidR="00BE557C" w:rsidRPr="00BE557C" w:rsidRDefault="00BE557C" w:rsidP="009154CA">
            <w:pPr>
              <w:spacing w:before="60" w:after="60"/>
              <w:rPr>
                <w:b/>
                <w:i/>
              </w:rPr>
            </w:pPr>
            <w:r>
              <w:rPr>
                <w:b/>
                <w:i/>
              </w:rPr>
              <w:t>The problem stated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3A9BC" w14:textId="77777777" w:rsidR="00BE557C" w:rsidRDefault="00BE557C" w:rsidP="009154CA">
            <w:pPr>
              <w:spacing w:before="60" w:after="60"/>
              <w:jc w:val="right"/>
              <w:rPr>
                <w:lang w:eastAsia="zh-CN"/>
              </w:rPr>
            </w:pPr>
            <w:r>
              <w:rPr>
                <w:lang w:eastAsia="zh-CN"/>
              </w:rPr>
              <w:t>Para 185</w:t>
            </w:r>
          </w:p>
        </w:tc>
      </w:tr>
      <w:tr w:rsidR="00BE557C" w14:paraId="1446A9A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DAAEF" w14:textId="77777777" w:rsidR="00BE557C" w:rsidRPr="00121C2B" w:rsidRDefault="00121C2B" w:rsidP="00BE557C">
            <w:pPr>
              <w:tabs>
                <w:tab w:val="left" w:pos="726"/>
              </w:tabs>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67A4" w14:textId="77777777" w:rsidR="00BE557C" w:rsidRPr="00121C2B" w:rsidRDefault="00121C2B" w:rsidP="009154CA">
            <w:pPr>
              <w:spacing w:before="60" w:after="60"/>
              <w:rPr>
                <w:b/>
                <w:i/>
              </w:rPr>
            </w:pPr>
            <w:r>
              <w:rPr>
                <w:b/>
                <w:i/>
              </w:rPr>
              <w:t>The status of Hyderabad from 15 August 1947 until the conclusion of Operation Polo</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BF017" w14:textId="77777777" w:rsidR="00BE557C" w:rsidRDefault="008855A3" w:rsidP="009154CA">
            <w:pPr>
              <w:spacing w:before="60" w:after="60"/>
              <w:jc w:val="right"/>
              <w:rPr>
                <w:lang w:eastAsia="zh-CN"/>
              </w:rPr>
            </w:pPr>
            <w:r>
              <w:rPr>
                <w:lang w:eastAsia="zh-CN"/>
              </w:rPr>
              <w:t>Para 188</w:t>
            </w:r>
          </w:p>
        </w:tc>
      </w:tr>
      <w:tr w:rsidR="00BE557C" w14:paraId="1714DAA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82D7B" w14:textId="77777777" w:rsidR="00BE557C" w:rsidRPr="004967B5" w:rsidRDefault="004967B5" w:rsidP="00BE557C">
            <w:pPr>
              <w:tabs>
                <w:tab w:val="left" w:pos="726"/>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5CD81" w14:textId="77777777" w:rsidR="00BE557C" w:rsidRPr="004967B5" w:rsidRDefault="004967B5" w:rsidP="009154CA">
            <w:pPr>
              <w:spacing w:before="60" w:after="60"/>
              <w:rPr>
                <w:b/>
                <w:i/>
              </w:rPr>
            </w:pPr>
            <w:r>
              <w:rPr>
                <w:b/>
                <w:i/>
              </w:rPr>
              <w:t>The status of Hyderabad after Operation Polo</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9B797" w14:textId="77777777" w:rsidR="00BE557C" w:rsidRDefault="004967B5" w:rsidP="009154CA">
            <w:pPr>
              <w:spacing w:before="60" w:after="60"/>
              <w:jc w:val="right"/>
              <w:rPr>
                <w:lang w:eastAsia="zh-CN"/>
              </w:rPr>
            </w:pPr>
            <w:r>
              <w:rPr>
                <w:lang w:eastAsia="zh-CN"/>
              </w:rPr>
              <w:t>Para 193</w:t>
            </w:r>
          </w:p>
        </w:tc>
      </w:tr>
      <w:tr w:rsidR="00BE557C" w14:paraId="4DBBCEC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4CE07" w14:textId="77777777" w:rsidR="00BE557C" w:rsidRDefault="00026B58" w:rsidP="00BE557C">
            <w:pPr>
              <w:tabs>
                <w:tab w:val="left" w:pos="726"/>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08D1A" w14:textId="77777777" w:rsidR="00BE557C" w:rsidRDefault="00026B58" w:rsidP="009154CA">
            <w:pPr>
              <w:spacing w:before="60" w:after="60"/>
              <w:rPr>
                <w:b/>
                <w:iCs/>
              </w:rPr>
            </w:pPr>
            <w:r>
              <w:rPr>
                <w:b/>
                <w:iCs/>
              </w:rPr>
              <w:t>What is the law of Hyderabad on this point?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1FEE0" w14:textId="77777777" w:rsidR="00BE557C" w:rsidRDefault="00026B58" w:rsidP="009154CA">
            <w:pPr>
              <w:spacing w:before="60" w:after="60"/>
              <w:jc w:val="right"/>
              <w:rPr>
                <w:lang w:eastAsia="zh-CN"/>
              </w:rPr>
            </w:pPr>
            <w:r>
              <w:rPr>
                <w:lang w:eastAsia="zh-CN"/>
              </w:rPr>
              <w:t>Para 197</w:t>
            </w:r>
          </w:p>
        </w:tc>
      </w:tr>
      <w:tr w:rsidR="00DB23B7" w14:paraId="3F696C5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9C992" w14:textId="77777777" w:rsidR="00DB23B7" w:rsidRDefault="00DB23B7" w:rsidP="00BE557C">
            <w:pPr>
              <w:tabs>
                <w:tab w:val="left" w:pos="726"/>
              </w:tabs>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AEDE" w14:textId="77777777" w:rsidR="00DB23B7" w:rsidRDefault="00DB23B7" w:rsidP="009154CA">
            <w:pPr>
              <w:spacing w:before="60" w:after="60"/>
              <w:rPr>
                <w:b/>
                <w:iCs/>
              </w:rPr>
            </w:pPr>
            <w:r>
              <w:rPr>
                <w:b/>
                <w:iCs/>
              </w:rPr>
              <w:t>The authority of Moin as a Hyderabad Government official</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F69C5" w14:textId="77777777" w:rsidR="00DB23B7" w:rsidRDefault="00DB23B7" w:rsidP="009154CA">
            <w:pPr>
              <w:spacing w:before="60" w:after="60"/>
              <w:jc w:val="right"/>
              <w:rPr>
                <w:lang w:eastAsia="zh-CN"/>
              </w:rPr>
            </w:pPr>
            <w:r>
              <w:rPr>
                <w:lang w:eastAsia="zh-CN"/>
              </w:rPr>
              <w:t>Para 199</w:t>
            </w:r>
          </w:p>
        </w:tc>
      </w:tr>
      <w:tr w:rsidR="0037121C" w14:paraId="0B11322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EA4F7" w14:textId="77777777" w:rsidR="0037121C" w:rsidRDefault="00F067C8" w:rsidP="00BE557C">
            <w:pPr>
              <w:tabs>
                <w:tab w:val="left" w:pos="726"/>
              </w:tabs>
              <w:spacing w:before="60" w:after="60"/>
              <w:rPr>
                <w:b/>
                <w:iCs/>
                <w:lang w:eastAsia="zh-CN"/>
              </w:rPr>
            </w:pPr>
            <w:r>
              <w:rPr>
                <w:b/>
                <w:iCs/>
                <w:lang w:eastAsia="zh-CN"/>
              </w:rPr>
              <w:t>G.</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B83A1" w14:textId="77777777" w:rsidR="0037121C" w:rsidRDefault="00F067C8" w:rsidP="009154CA">
            <w:pPr>
              <w:spacing w:before="60" w:after="60"/>
              <w:rPr>
                <w:b/>
                <w:iCs/>
              </w:rPr>
            </w:pPr>
            <w:r>
              <w:rPr>
                <w:b/>
                <w:iCs/>
              </w:rPr>
              <w:t>ABSOLUTE TRANSFER OF THE FUND: THE ARMS FOR MONEY ARGUMENT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5808B" w14:textId="77777777" w:rsidR="0037121C" w:rsidRDefault="00F067C8" w:rsidP="009154CA">
            <w:pPr>
              <w:spacing w:before="60" w:after="60"/>
              <w:jc w:val="right"/>
              <w:rPr>
                <w:lang w:eastAsia="zh-CN"/>
              </w:rPr>
            </w:pPr>
            <w:r>
              <w:rPr>
                <w:lang w:eastAsia="zh-CN"/>
              </w:rPr>
              <w:t>Para 202</w:t>
            </w:r>
          </w:p>
        </w:tc>
      </w:tr>
      <w:tr w:rsidR="0037121C" w14:paraId="6ACAA4C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E0452" w14:textId="77777777" w:rsidR="0037121C" w:rsidRDefault="006C7B6B" w:rsidP="00BE557C">
            <w:pPr>
              <w:tabs>
                <w:tab w:val="left" w:pos="726"/>
              </w:tabs>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884D2" w14:textId="77777777" w:rsidR="0037121C" w:rsidRDefault="004F339B"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C4D9F" w14:textId="77777777" w:rsidR="0037121C" w:rsidRDefault="002A0B39" w:rsidP="009154CA">
            <w:pPr>
              <w:spacing w:before="60" w:after="60"/>
              <w:jc w:val="right"/>
              <w:rPr>
                <w:lang w:eastAsia="zh-CN"/>
              </w:rPr>
            </w:pPr>
            <w:r>
              <w:rPr>
                <w:lang w:eastAsia="zh-CN"/>
              </w:rPr>
              <w:t>Para 202</w:t>
            </w:r>
          </w:p>
        </w:tc>
      </w:tr>
      <w:tr w:rsidR="008D742F" w14:paraId="2689CB3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136B8" w14:textId="77777777" w:rsidR="008D742F" w:rsidRDefault="008D742F" w:rsidP="00BE557C">
            <w:pPr>
              <w:tabs>
                <w:tab w:val="left" w:pos="726"/>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D2090" w14:textId="77777777" w:rsidR="008D742F" w:rsidRDefault="008D742F" w:rsidP="009154CA">
            <w:pPr>
              <w:spacing w:before="60" w:after="60"/>
              <w:rPr>
                <w:b/>
                <w:iCs/>
              </w:rPr>
            </w:pPr>
            <w:r>
              <w:rPr>
                <w:b/>
                <w:iCs/>
              </w:rPr>
              <w:t xml:space="preserve">The provision of weapons </w:t>
            </w:r>
            <w:r w:rsidR="000A636F">
              <w:rPr>
                <w:b/>
                <w:iCs/>
              </w:rPr>
              <w:t>in</w:t>
            </w:r>
            <w:r>
              <w:rPr>
                <w:b/>
                <w:iCs/>
              </w:rPr>
              <w:t xml:space="preserve"> Pakistan and Hyderabad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7078E" w14:textId="77777777" w:rsidR="008D742F" w:rsidRDefault="000A636F" w:rsidP="009154CA">
            <w:pPr>
              <w:spacing w:before="60" w:after="60"/>
              <w:jc w:val="right"/>
              <w:rPr>
                <w:lang w:eastAsia="zh-CN"/>
              </w:rPr>
            </w:pPr>
            <w:r>
              <w:rPr>
                <w:lang w:eastAsia="zh-CN"/>
              </w:rPr>
              <w:t>Para 205</w:t>
            </w:r>
          </w:p>
        </w:tc>
      </w:tr>
      <w:tr w:rsidR="008D742F" w14:paraId="220C53C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60E45" w14:textId="77777777" w:rsidR="008D742F" w:rsidRDefault="008D742F" w:rsidP="00BE557C">
            <w:pPr>
              <w:tabs>
                <w:tab w:val="left" w:pos="726"/>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E2843" w14:textId="77777777" w:rsidR="008D742F" w:rsidRDefault="008D742F" w:rsidP="009154CA">
            <w:pPr>
              <w:spacing w:before="60" w:after="60"/>
              <w:rPr>
                <w:b/>
                <w:iCs/>
              </w:rPr>
            </w:pPr>
            <w:r>
              <w:rPr>
                <w:b/>
                <w:iCs/>
              </w:rPr>
              <w:t>Evidence of Hyderabad’s involvement in the provision of weapons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B58DA" w14:textId="77777777" w:rsidR="008D742F" w:rsidRDefault="009A3C96" w:rsidP="009154CA">
            <w:pPr>
              <w:spacing w:before="60" w:after="60"/>
              <w:jc w:val="right"/>
              <w:rPr>
                <w:lang w:eastAsia="zh-CN"/>
              </w:rPr>
            </w:pPr>
            <w:r>
              <w:rPr>
                <w:lang w:eastAsia="zh-CN"/>
              </w:rPr>
              <w:t>Para 210</w:t>
            </w:r>
          </w:p>
        </w:tc>
      </w:tr>
      <w:tr w:rsidR="008D742F" w14:paraId="2C4575B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5BB33" w14:textId="77777777" w:rsidR="008D742F" w:rsidRDefault="008D742F" w:rsidP="00BE557C">
            <w:pPr>
              <w:tabs>
                <w:tab w:val="left" w:pos="726"/>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B742F" w14:textId="77777777" w:rsidR="008D742F" w:rsidRDefault="008D742F" w:rsidP="009154CA">
            <w:pPr>
              <w:spacing w:before="60" w:after="60"/>
              <w:rPr>
                <w:b/>
                <w:iCs/>
              </w:rPr>
            </w:pPr>
            <w:r>
              <w:rPr>
                <w:b/>
                <w:iCs/>
              </w:rPr>
              <w:t>Connection between the Transfer and the provision of weapons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5150E" w14:textId="77777777" w:rsidR="008D742F" w:rsidRDefault="00E201FE" w:rsidP="009154CA">
            <w:pPr>
              <w:spacing w:before="60" w:after="60"/>
              <w:jc w:val="right"/>
              <w:rPr>
                <w:lang w:eastAsia="zh-CN"/>
              </w:rPr>
            </w:pPr>
            <w:r>
              <w:rPr>
                <w:lang w:eastAsia="zh-CN"/>
              </w:rPr>
              <w:t>Para 215</w:t>
            </w:r>
          </w:p>
        </w:tc>
      </w:tr>
      <w:tr w:rsidR="008D742F" w14:paraId="0099243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50E2" w14:textId="77777777" w:rsidR="008D742F" w:rsidRDefault="00C93253" w:rsidP="00BE557C">
            <w:pPr>
              <w:tabs>
                <w:tab w:val="left" w:pos="726"/>
              </w:tabs>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5F904" w14:textId="77777777" w:rsidR="008D742F" w:rsidRDefault="00C93253" w:rsidP="009154CA">
            <w:pPr>
              <w:spacing w:before="60" w:after="60"/>
              <w:rPr>
                <w:b/>
                <w:iCs/>
              </w:rPr>
            </w:pPr>
            <w:r>
              <w:rPr>
                <w:b/>
                <w:iCs/>
              </w:rPr>
              <w:t>Conclusion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F05A9" w14:textId="77777777" w:rsidR="008D742F" w:rsidRDefault="00AD53DA" w:rsidP="009154CA">
            <w:pPr>
              <w:spacing w:before="60" w:after="60"/>
              <w:jc w:val="right"/>
              <w:rPr>
                <w:lang w:eastAsia="zh-CN"/>
              </w:rPr>
            </w:pPr>
            <w:r>
              <w:rPr>
                <w:lang w:eastAsia="zh-CN"/>
              </w:rPr>
              <w:t>Para 216</w:t>
            </w:r>
          </w:p>
        </w:tc>
      </w:tr>
      <w:tr w:rsidR="0037121C" w14:paraId="5349C5E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F73E7" w14:textId="77777777" w:rsidR="0037121C" w:rsidRDefault="00E92334" w:rsidP="00BE557C">
            <w:pPr>
              <w:tabs>
                <w:tab w:val="left" w:pos="726"/>
              </w:tabs>
              <w:spacing w:before="60" w:after="60"/>
              <w:rPr>
                <w:b/>
                <w:iCs/>
                <w:lang w:eastAsia="zh-CN"/>
              </w:rPr>
            </w:pPr>
            <w:r>
              <w:rPr>
                <w:b/>
                <w:iCs/>
                <w:lang w:eastAsia="zh-CN"/>
              </w:rPr>
              <w:t>H.</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E2C8E" w14:textId="77777777" w:rsidR="0037121C" w:rsidRDefault="009865B3" w:rsidP="009154CA">
            <w:pPr>
              <w:spacing w:before="60" w:after="60"/>
              <w:rPr>
                <w:b/>
                <w:iCs/>
              </w:rPr>
            </w:pPr>
            <w:r>
              <w:rPr>
                <w:b/>
                <w:iCs/>
              </w:rPr>
              <w:t>ABSOLUTE TRANSFER OF THE FUND: THE SAFEGUARDING ARGUMENT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FF514" w14:textId="77777777" w:rsidR="0037121C" w:rsidRDefault="007C2E2E" w:rsidP="009154CA">
            <w:pPr>
              <w:spacing w:before="60" w:after="60"/>
              <w:jc w:val="right"/>
              <w:rPr>
                <w:lang w:eastAsia="zh-CN"/>
              </w:rPr>
            </w:pPr>
            <w:r>
              <w:rPr>
                <w:lang w:eastAsia="zh-CN"/>
              </w:rPr>
              <w:t>Para 217</w:t>
            </w:r>
          </w:p>
        </w:tc>
      </w:tr>
      <w:tr w:rsidR="0037121C" w14:paraId="67CB880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794C" w14:textId="77777777" w:rsidR="0037121C" w:rsidRDefault="00884A08" w:rsidP="00884A08">
            <w:pPr>
              <w:tabs>
                <w:tab w:val="left" w:pos="525"/>
              </w:tabs>
              <w:spacing w:before="60" w:after="60"/>
              <w:rPr>
                <w:b/>
                <w:iCs/>
                <w:lang w:eastAsia="zh-CN"/>
              </w:rPr>
            </w:pPr>
            <w:r>
              <w:rPr>
                <w:b/>
                <w:iCs/>
                <w:lang w:eastAsia="zh-CN"/>
              </w:rPr>
              <w:t>(1)</w:t>
            </w:r>
            <w:r>
              <w:rPr>
                <w:b/>
                <w:iCs/>
                <w:lang w:eastAsia="zh-CN"/>
              </w:rPr>
              <w:tab/>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C49E6" w14:textId="77777777" w:rsidR="0037121C" w:rsidRDefault="00884A08"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BEEF7" w14:textId="77777777" w:rsidR="0037121C" w:rsidRDefault="00CE628A" w:rsidP="009154CA">
            <w:pPr>
              <w:spacing w:before="60" w:after="60"/>
              <w:jc w:val="right"/>
              <w:rPr>
                <w:lang w:eastAsia="zh-CN"/>
              </w:rPr>
            </w:pPr>
            <w:r>
              <w:rPr>
                <w:lang w:eastAsia="zh-CN"/>
              </w:rPr>
              <w:t>Para 217</w:t>
            </w:r>
          </w:p>
        </w:tc>
      </w:tr>
      <w:tr w:rsidR="00884A08" w14:paraId="3A4C7D6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DFF43" w14:textId="77777777" w:rsidR="00884A08" w:rsidRDefault="00884A08" w:rsidP="00884A08">
            <w:pPr>
              <w:tabs>
                <w:tab w:val="left" w:pos="525"/>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65FD8" w14:textId="77777777" w:rsidR="00884A08" w:rsidRDefault="00884A08" w:rsidP="009154CA">
            <w:pPr>
              <w:spacing w:before="60" w:after="60"/>
              <w:rPr>
                <w:b/>
                <w:iCs/>
              </w:rPr>
            </w:pPr>
            <w:r>
              <w:rPr>
                <w:b/>
                <w:iCs/>
              </w:rPr>
              <w:t>The facts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7A547" w14:textId="77777777" w:rsidR="00884A08" w:rsidRDefault="003C237D" w:rsidP="009154CA">
            <w:pPr>
              <w:spacing w:before="60" w:after="60"/>
              <w:jc w:val="right"/>
              <w:rPr>
                <w:lang w:eastAsia="zh-CN"/>
              </w:rPr>
            </w:pPr>
            <w:r>
              <w:rPr>
                <w:lang w:eastAsia="zh-CN"/>
              </w:rPr>
              <w:t>Para 220</w:t>
            </w:r>
          </w:p>
        </w:tc>
      </w:tr>
      <w:tr w:rsidR="00884A08" w14:paraId="68438AA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3550C" w14:textId="77777777" w:rsidR="00884A08" w:rsidRPr="00884A08" w:rsidRDefault="00884A08" w:rsidP="00884A08">
            <w:pPr>
              <w:tabs>
                <w:tab w:val="left" w:pos="525"/>
              </w:tabs>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28088" w14:textId="77777777" w:rsidR="00884A08" w:rsidRPr="00884A08" w:rsidRDefault="00884A08" w:rsidP="009154CA">
            <w:pPr>
              <w:spacing w:before="60" w:after="60"/>
              <w:rPr>
                <w:b/>
                <w:i/>
              </w:rPr>
            </w:pPr>
            <w:r>
              <w:rPr>
                <w:b/>
                <w:i/>
              </w:rPr>
              <w:t>Approach</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9ACB7" w14:textId="77777777" w:rsidR="00884A08" w:rsidRDefault="003C237D" w:rsidP="009154CA">
            <w:pPr>
              <w:spacing w:before="60" w:after="60"/>
              <w:jc w:val="right"/>
              <w:rPr>
                <w:lang w:eastAsia="zh-CN"/>
              </w:rPr>
            </w:pPr>
            <w:r>
              <w:rPr>
                <w:lang w:eastAsia="zh-CN"/>
              </w:rPr>
              <w:t>Para 220</w:t>
            </w:r>
          </w:p>
        </w:tc>
      </w:tr>
      <w:tr w:rsidR="00884A08" w14:paraId="51593EC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AD58E" w14:textId="77777777" w:rsidR="00884A08" w:rsidRPr="00884A08" w:rsidRDefault="00884A08" w:rsidP="00884A08">
            <w:pPr>
              <w:tabs>
                <w:tab w:val="left" w:pos="525"/>
              </w:tabs>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F5FF5" w14:textId="77777777" w:rsidR="00884A08" w:rsidRPr="00884A08" w:rsidRDefault="00884A08" w:rsidP="009154CA">
            <w:pPr>
              <w:spacing w:before="60" w:after="60"/>
              <w:rPr>
                <w:b/>
                <w:i/>
              </w:rPr>
            </w:pPr>
            <w:r>
              <w:rPr>
                <w:b/>
                <w:i/>
              </w:rPr>
              <w:t>Authorisation by Niza</w:t>
            </w:r>
            <w:r w:rsidR="00404A28">
              <w:rPr>
                <w:b/>
                <w:i/>
              </w:rPr>
              <w:t>m</w:t>
            </w:r>
            <w:r>
              <w:rPr>
                <w:b/>
                <w:i/>
              </w:rPr>
              <w:t xml:space="preserve"> VII</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11CC3" w14:textId="77777777" w:rsidR="00884A08" w:rsidRDefault="005A51CD" w:rsidP="009154CA">
            <w:pPr>
              <w:spacing w:before="60" w:after="60"/>
              <w:jc w:val="right"/>
              <w:rPr>
                <w:lang w:eastAsia="zh-CN"/>
              </w:rPr>
            </w:pPr>
            <w:r>
              <w:rPr>
                <w:lang w:eastAsia="zh-CN"/>
              </w:rPr>
              <w:t>Para</w:t>
            </w:r>
            <w:r w:rsidR="00FF4C16">
              <w:rPr>
                <w:lang w:eastAsia="zh-CN"/>
              </w:rPr>
              <w:t xml:space="preserve"> 221</w:t>
            </w:r>
          </w:p>
        </w:tc>
      </w:tr>
      <w:tr w:rsidR="00884A08" w14:paraId="75C9541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94AC0" w14:textId="77777777" w:rsidR="00884A08" w:rsidRPr="00884A08" w:rsidRDefault="00884A08" w:rsidP="00884A08">
            <w:pPr>
              <w:tabs>
                <w:tab w:val="left" w:pos="525"/>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5A362" w14:textId="77777777" w:rsidR="00884A08" w:rsidRPr="00884A08" w:rsidRDefault="00884A08" w:rsidP="009154CA">
            <w:pPr>
              <w:spacing w:before="60" w:after="60"/>
              <w:rPr>
                <w:b/>
                <w:i/>
              </w:rPr>
            </w:pPr>
            <w:r>
              <w:rPr>
                <w:b/>
                <w:i/>
              </w:rPr>
              <w:t>Moin’s intention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9B533" w14:textId="77777777" w:rsidR="00884A08" w:rsidRDefault="000F0C45" w:rsidP="000F0C45">
            <w:pPr>
              <w:tabs>
                <w:tab w:val="left" w:pos="1217"/>
              </w:tabs>
              <w:spacing w:before="60" w:after="60"/>
              <w:jc w:val="right"/>
              <w:rPr>
                <w:lang w:eastAsia="zh-CN"/>
              </w:rPr>
            </w:pPr>
            <w:r>
              <w:rPr>
                <w:lang w:eastAsia="zh-CN"/>
              </w:rPr>
              <w:t>Para 231</w:t>
            </w:r>
          </w:p>
        </w:tc>
      </w:tr>
      <w:tr w:rsidR="00884A08" w14:paraId="472F4F8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D06FF" w14:textId="77777777" w:rsidR="00884A08" w:rsidRPr="00884A08" w:rsidRDefault="00884A08" w:rsidP="00884A08">
            <w:pPr>
              <w:tabs>
                <w:tab w:val="left" w:pos="525"/>
              </w:tabs>
              <w:spacing w:before="60" w:after="60"/>
              <w:rPr>
                <w:bCs/>
                <w:i/>
                <w:lang w:eastAsia="zh-CN"/>
              </w:rPr>
            </w:pPr>
            <w:r>
              <w:rPr>
                <w:bCs/>
                <w:i/>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24777" w14:textId="77777777" w:rsidR="00884A08" w:rsidRPr="00884A08" w:rsidRDefault="00884A08" w:rsidP="009154CA">
            <w:pPr>
              <w:spacing w:before="60" w:after="60"/>
              <w:rPr>
                <w:bCs/>
                <w:i/>
              </w:rPr>
            </w:pPr>
            <w:r>
              <w:rPr>
                <w:bCs/>
                <w:i/>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C907A" w14:textId="77777777" w:rsidR="00884A08" w:rsidRDefault="000F0C45" w:rsidP="009154CA">
            <w:pPr>
              <w:spacing w:before="60" w:after="60"/>
              <w:jc w:val="right"/>
              <w:rPr>
                <w:lang w:eastAsia="zh-CN"/>
              </w:rPr>
            </w:pPr>
            <w:r>
              <w:rPr>
                <w:lang w:eastAsia="zh-CN"/>
              </w:rPr>
              <w:t>Para 231</w:t>
            </w:r>
          </w:p>
        </w:tc>
      </w:tr>
      <w:tr w:rsidR="00884A08" w14:paraId="105D349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B5C50" w14:textId="77777777" w:rsidR="00884A08" w:rsidRPr="00937410" w:rsidRDefault="00937410" w:rsidP="00884A08">
            <w:pPr>
              <w:tabs>
                <w:tab w:val="left" w:pos="525"/>
              </w:tabs>
              <w:spacing w:before="60" w:after="60"/>
              <w:rPr>
                <w:bCs/>
                <w:i/>
                <w:lang w:eastAsia="zh-CN"/>
              </w:rPr>
            </w:pPr>
            <w:r w:rsidRPr="00937410">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15A94" w14:textId="77777777" w:rsidR="00884A08" w:rsidRPr="00937410" w:rsidRDefault="00937410" w:rsidP="009154CA">
            <w:pPr>
              <w:spacing w:before="60" w:after="60"/>
              <w:rPr>
                <w:bCs/>
                <w:i/>
              </w:rPr>
            </w:pPr>
            <w:r w:rsidRPr="00937410">
              <w:rPr>
                <w:bCs/>
                <w:i/>
              </w:rPr>
              <w:t>Issue estoppel</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CC0CC" w14:textId="77777777" w:rsidR="00884A08" w:rsidRDefault="00A07E16" w:rsidP="009154CA">
            <w:pPr>
              <w:spacing w:before="60" w:after="60"/>
              <w:jc w:val="right"/>
              <w:rPr>
                <w:lang w:eastAsia="zh-CN"/>
              </w:rPr>
            </w:pPr>
            <w:r>
              <w:rPr>
                <w:lang w:eastAsia="zh-CN"/>
              </w:rPr>
              <w:t>Para 233</w:t>
            </w:r>
          </w:p>
        </w:tc>
      </w:tr>
      <w:tr w:rsidR="00884A08" w14:paraId="3334B48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66C13" w14:textId="77777777" w:rsidR="00884A08" w:rsidRPr="004B4CED" w:rsidRDefault="004B4CED" w:rsidP="00884A08">
            <w:pPr>
              <w:tabs>
                <w:tab w:val="left" w:pos="525"/>
              </w:tabs>
              <w:spacing w:before="60" w:after="60"/>
              <w:rPr>
                <w:bCs/>
                <w:i/>
                <w:lang w:eastAsia="zh-CN"/>
              </w:rPr>
            </w:pPr>
            <w:r>
              <w:rPr>
                <w:bCs/>
                <w:i/>
                <w:lang w:eastAsia="zh-CN"/>
              </w:rPr>
              <w:t>(iii)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D0719" w14:textId="77777777" w:rsidR="00884A08" w:rsidRPr="004B4CED" w:rsidRDefault="004B4CED" w:rsidP="009154CA">
            <w:pPr>
              <w:spacing w:before="60" w:after="60"/>
              <w:rPr>
                <w:bCs/>
                <w:i/>
              </w:rPr>
            </w:pPr>
            <w:r>
              <w:rPr>
                <w:bCs/>
                <w:i/>
              </w:rPr>
              <w:t>The transfer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F6AB" w14:textId="77777777" w:rsidR="00884A08" w:rsidRDefault="00A95D52" w:rsidP="009154CA">
            <w:pPr>
              <w:spacing w:before="60" w:after="60"/>
              <w:jc w:val="right"/>
              <w:rPr>
                <w:lang w:eastAsia="zh-CN"/>
              </w:rPr>
            </w:pPr>
            <w:r>
              <w:rPr>
                <w:lang w:eastAsia="zh-CN"/>
              </w:rPr>
              <w:t>Para 239</w:t>
            </w:r>
          </w:p>
        </w:tc>
      </w:tr>
      <w:tr w:rsidR="00884A08" w14:paraId="7BEEAAF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E2737" w14:textId="77777777" w:rsidR="00884A08" w:rsidRDefault="00893658" w:rsidP="00884A08">
            <w:pPr>
              <w:tabs>
                <w:tab w:val="left" w:pos="525"/>
              </w:tabs>
              <w:spacing w:before="60" w:after="60"/>
              <w:rPr>
                <w:b/>
                <w:i/>
                <w:lang w:eastAsia="zh-CN"/>
              </w:rPr>
            </w:pPr>
            <w:r>
              <w:rPr>
                <w:b/>
                <w:i/>
                <w:lang w:eastAsia="zh-CN"/>
              </w:rPr>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314BD" w14:textId="77777777" w:rsidR="00884A08" w:rsidRDefault="00893658" w:rsidP="009154CA">
            <w:pPr>
              <w:spacing w:before="60" w:after="60"/>
              <w:rPr>
                <w:b/>
                <w:i/>
              </w:rPr>
            </w:pPr>
            <w:r>
              <w:rPr>
                <w:b/>
                <w:i/>
              </w:rPr>
              <w:t>Rahimtoola’s intention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7380" w14:textId="77777777" w:rsidR="00884A08" w:rsidRDefault="006109BB" w:rsidP="009154CA">
            <w:pPr>
              <w:spacing w:before="60" w:after="60"/>
              <w:jc w:val="right"/>
              <w:rPr>
                <w:lang w:eastAsia="zh-CN"/>
              </w:rPr>
            </w:pPr>
            <w:r>
              <w:rPr>
                <w:lang w:eastAsia="zh-CN"/>
              </w:rPr>
              <w:t>Para 241</w:t>
            </w:r>
          </w:p>
        </w:tc>
      </w:tr>
      <w:tr w:rsidR="00893658" w14:paraId="01A5F9A8"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2ED01" w14:textId="77777777" w:rsidR="00893658" w:rsidRPr="00893658" w:rsidRDefault="00893658" w:rsidP="00884A08">
            <w:pPr>
              <w:tabs>
                <w:tab w:val="left" w:pos="525"/>
              </w:tabs>
              <w:spacing w:before="60" w:after="60"/>
              <w:rPr>
                <w:b/>
                <w:iCs/>
                <w:lang w:eastAsia="zh-CN"/>
              </w:rPr>
            </w:pPr>
            <w:r>
              <w:rPr>
                <w:b/>
                <w:iCs/>
                <w:lang w:eastAsia="zh-CN"/>
              </w:rPr>
              <w:lastRenderedPageBreak/>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AF649" w14:textId="77777777" w:rsidR="00893658" w:rsidRPr="00893658" w:rsidRDefault="00893658" w:rsidP="009154CA">
            <w:pPr>
              <w:spacing w:before="60" w:after="60"/>
              <w:rPr>
                <w:b/>
                <w:iCs/>
              </w:rPr>
            </w:pPr>
            <w:r>
              <w:rPr>
                <w:b/>
                <w:iCs/>
              </w:rPr>
              <w:t>The law</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72DD5" w14:textId="77777777" w:rsidR="00893658" w:rsidRDefault="002C13CA" w:rsidP="009154CA">
            <w:pPr>
              <w:spacing w:before="60" w:after="60"/>
              <w:jc w:val="right"/>
              <w:rPr>
                <w:lang w:eastAsia="zh-CN"/>
              </w:rPr>
            </w:pPr>
            <w:r>
              <w:rPr>
                <w:lang w:eastAsia="zh-CN"/>
              </w:rPr>
              <w:t xml:space="preserve">Para </w:t>
            </w:r>
            <w:r w:rsidR="00960453">
              <w:rPr>
                <w:lang w:eastAsia="zh-CN"/>
              </w:rPr>
              <w:t>243</w:t>
            </w:r>
          </w:p>
        </w:tc>
      </w:tr>
      <w:tr w:rsidR="00893658" w14:paraId="5138C28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75B20" w14:textId="77777777" w:rsidR="00893658" w:rsidRDefault="00893658" w:rsidP="00884A08">
            <w:pPr>
              <w:tabs>
                <w:tab w:val="left" w:pos="525"/>
              </w:tabs>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FC434" w14:textId="77777777" w:rsidR="00893658" w:rsidRDefault="00893658" w:rsidP="009154CA">
            <w:pPr>
              <w:spacing w:before="60" w:after="60"/>
              <w:rPr>
                <w:b/>
                <w:i/>
              </w:rPr>
            </w:pPr>
            <w:r>
              <w:rPr>
                <w:b/>
                <w:i/>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6BB35" w14:textId="77777777" w:rsidR="00893658" w:rsidRDefault="002C13CA" w:rsidP="009154CA">
            <w:pPr>
              <w:spacing w:before="60" w:after="60"/>
              <w:jc w:val="right"/>
              <w:rPr>
                <w:lang w:eastAsia="zh-CN"/>
              </w:rPr>
            </w:pPr>
            <w:r>
              <w:rPr>
                <w:lang w:eastAsia="zh-CN"/>
              </w:rPr>
              <w:t xml:space="preserve">Para </w:t>
            </w:r>
            <w:r w:rsidR="00960453">
              <w:rPr>
                <w:lang w:eastAsia="zh-CN"/>
              </w:rPr>
              <w:t>243</w:t>
            </w:r>
          </w:p>
        </w:tc>
      </w:tr>
      <w:tr w:rsidR="00893658" w14:paraId="3E82F51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CCDC8" w14:textId="77777777" w:rsidR="00893658" w:rsidRDefault="00893658" w:rsidP="00884A08">
            <w:pPr>
              <w:tabs>
                <w:tab w:val="left" w:pos="525"/>
              </w:tabs>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F1F5C" w14:textId="77777777" w:rsidR="00893658" w:rsidRDefault="00893658" w:rsidP="009154CA">
            <w:pPr>
              <w:spacing w:before="60" w:after="60"/>
              <w:rPr>
                <w:b/>
                <w:i/>
              </w:rPr>
            </w:pPr>
            <w:r>
              <w:rPr>
                <w:b/>
                <w:i/>
              </w:rPr>
              <w:t>Express trust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304FC" w14:textId="77777777" w:rsidR="00893658" w:rsidRDefault="002C13CA" w:rsidP="009154CA">
            <w:pPr>
              <w:spacing w:before="60" w:after="60"/>
              <w:jc w:val="right"/>
              <w:rPr>
                <w:lang w:eastAsia="zh-CN"/>
              </w:rPr>
            </w:pPr>
            <w:r>
              <w:rPr>
                <w:lang w:eastAsia="zh-CN"/>
              </w:rPr>
              <w:t xml:space="preserve">Para </w:t>
            </w:r>
            <w:r w:rsidR="00401747">
              <w:rPr>
                <w:lang w:eastAsia="zh-CN"/>
              </w:rPr>
              <w:t>244</w:t>
            </w:r>
          </w:p>
        </w:tc>
      </w:tr>
      <w:tr w:rsidR="00893658" w14:paraId="41B6540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04586" w14:textId="77777777" w:rsidR="00893658" w:rsidRPr="00893658" w:rsidRDefault="00893658" w:rsidP="00884A08">
            <w:pPr>
              <w:tabs>
                <w:tab w:val="left" w:pos="525"/>
              </w:tabs>
              <w:spacing w:before="60" w:after="60"/>
              <w:rPr>
                <w:bCs/>
                <w:i/>
                <w:lang w:eastAsia="zh-CN"/>
              </w:rPr>
            </w:pPr>
            <w:r>
              <w:rPr>
                <w:bCs/>
                <w:i/>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EFEF" w14:textId="77777777" w:rsidR="00893658" w:rsidRPr="00893658" w:rsidRDefault="00893658" w:rsidP="009154CA">
            <w:pPr>
              <w:spacing w:before="60" w:after="60"/>
              <w:rPr>
                <w:bCs/>
                <w:i/>
              </w:rPr>
            </w:pPr>
            <w:r>
              <w:rPr>
                <w:bCs/>
                <w:i/>
              </w:rPr>
              <w:t>The three certainties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C7DE4" w14:textId="77777777" w:rsidR="00893658" w:rsidRDefault="002C13CA" w:rsidP="009154CA">
            <w:pPr>
              <w:spacing w:before="60" w:after="60"/>
              <w:jc w:val="right"/>
              <w:rPr>
                <w:lang w:eastAsia="zh-CN"/>
              </w:rPr>
            </w:pPr>
            <w:r>
              <w:rPr>
                <w:lang w:eastAsia="zh-CN"/>
              </w:rPr>
              <w:t xml:space="preserve">Para </w:t>
            </w:r>
            <w:r w:rsidR="00401747">
              <w:rPr>
                <w:lang w:eastAsia="zh-CN"/>
              </w:rPr>
              <w:t>244</w:t>
            </w:r>
          </w:p>
        </w:tc>
      </w:tr>
      <w:tr w:rsidR="00893658" w14:paraId="6463EC4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2F707" w14:textId="77777777" w:rsidR="00893658" w:rsidRDefault="00893658" w:rsidP="00884A08">
            <w:pPr>
              <w:tabs>
                <w:tab w:val="left" w:pos="525"/>
              </w:tabs>
              <w:spacing w:before="60" w:after="60"/>
              <w:rPr>
                <w:bCs/>
                <w:i/>
                <w:lang w:eastAsia="zh-CN"/>
              </w:rPr>
            </w:pPr>
            <w:r>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B7087" w14:textId="77777777" w:rsidR="00893658" w:rsidRDefault="00893658" w:rsidP="009154CA">
            <w:pPr>
              <w:spacing w:before="60" w:after="60"/>
              <w:rPr>
                <w:bCs/>
                <w:i/>
              </w:rPr>
            </w:pPr>
            <w:r>
              <w:rPr>
                <w:bCs/>
                <w:i/>
              </w:rPr>
              <w:t>Agency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D299" w14:textId="77777777" w:rsidR="00893658" w:rsidRDefault="002C13CA" w:rsidP="009154CA">
            <w:pPr>
              <w:spacing w:before="60" w:after="60"/>
              <w:jc w:val="right"/>
              <w:rPr>
                <w:lang w:eastAsia="zh-CN"/>
              </w:rPr>
            </w:pPr>
            <w:r>
              <w:rPr>
                <w:lang w:eastAsia="zh-CN"/>
              </w:rPr>
              <w:t xml:space="preserve">Para </w:t>
            </w:r>
            <w:r w:rsidR="00FF62E6">
              <w:rPr>
                <w:lang w:eastAsia="zh-CN"/>
              </w:rPr>
              <w:t>246</w:t>
            </w:r>
          </w:p>
        </w:tc>
      </w:tr>
      <w:tr w:rsidR="00893658" w14:paraId="04E7B4D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B6E0D" w14:textId="77777777" w:rsidR="00893658" w:rsidRPr="00814669" w:rsidRDefault="00814669" w:rsidP="00884A08">
            <w:pPr>
              <w:tabs>
                <w:tab w:val="left" w:pos="525"/>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9CCE6" w14:textId="77777777" w:rsidR="00893658" w:rsidRPr="00814669" w:rsidRDefault="00814669" w:rsidP="009154CA">
            <w:pPr>
              <w:spacing w:before="60" w:after="60"/>
              <w:rPr>
                <w:b/>
                <w:i/>
              </w:rPr>
            </w:pPr>
            <w:r>
              <w:rPr>
                <w:b/>
                <w:i/>
              </w:rPr>
              <w:t>Constructive trust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68E24" w14:textId="77777777" w:rsidR="00893658" w:rsidRDefault="002C13CA" w:rsidP="009154CA">
            <w:pPr>
              <w:spacing w:before="60" w:after="60"/>
              <w:jc w:val="right"/>
              <w:rPr>
                <w:lang w:eastAsia="zh-CN"/>
              </w:rPr>
            </w:pPr>
            <w:r>
              <w:rPr>
                <w:lang w:eastAsia="zh-CN"/>
              </w:rPr>
              <w:t xml:space="preserve">Para </w:t>
            </w:r>
            <w:r w:rsidR="00EB3319">
              <w:rPr>
                <w:lang w:eastAsia="zh-CN"/>
              </w:rPr>
              <w:t>248</w:t>
            </w:r>
          </w:p>
        </w:tc>
      </w:tr>
      <w:tr w:rsidR="00893658" w14:paraId="1EE2B8F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1C466" w14:textId="77777777" w:rsidR="00893658" w:rsidRPr="00814669" w:rsidRDefault="00814669" w:rsidP="00884A08">
            <w:pPr>
              <w:tabs>
                <w:tab w:val="left" w:pos="525"/>
              </w:tabs>
              <w:spacing w:before="60" w:after="60"/>
              <w:rPr>
                <w:bCs/>
                <w:i/>
                <w:lang w:eastAsia="zh-CN"/>
              </w:rPr>
            </w:pPr>
            <w:r>
              <w:rPr>
                <w:bCs/>
                <w:i/>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8462C" w14:textId="77777777" w:rsidR="00893658" w:rsidRDefault="00814669" w:rsidP="009154CA">
            <w:pPr>
              <w:spacing w:before="60" w:after="60"/>
              <w:rPr>
                <w:bCs/>
                <w:i/>
              </w:rPr>
            </w:pPr>
            <w:r>
              <w:rPr>
                <w:bCs/>
                <w:i/>
              </w:rPr>
              <w:t>The law</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01B2" w14:textId="77777777" w:rsidR="00893658" w:rsidRDefault="002C13CA" w:rsidP="009154CA">
            <w:pPr>
              <w:spacing w:before="60" w:after="60"/>
              <w:jc w:val="right"/>
              <w:rPr>
                <w:lang w:eastAsia="zh-CN"/>
              </w:rPr>
            </w:pPr>
            <w:r>
              <w:rPr>
                <w:lang w:eastAsia="zh-CN"/>
              </w:rPr>
              <w:t xml:space="preserve">Para </w:t>
            </w:r>
            <w:r w:rsidR="00EB3319">
              <w:rPr>
                <w:lang w:eastAsia="zh-CN"/>
              </w:rPr>
              <w:t>248</w:t>
            </w:r>
          </w:p>
        </w:tc>
      </w:tr>
      <w:tr w:rsidR="00893658" w14:paraId="34DDF84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DE6FD" w14:textId="77777777" w:rsidR="00893658" w:rsidRDefault="00814669" w:rsidP="00884A08">
            <w:pPr>
              <w:tabs>
                <w:tab w:val="left" w:pos="525"/>
              </w:tabs>
              <w:spacing w:before="60" w:after="60"/>
              <w:rPr>
                <w:bCs/>
                <w:i/>
                <w:lang w:eastAsia="zh-CN"/>
              </w:rPr>
            </w:pPr>
            <w:r>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37844" w14:textId="77777777" w:rsidR="00893658" w:rsidRDefault="00814669" w:rsidP="009154CA">
            <w:pPr>
              <w:spacing w:before="60" w:after="60"/>
              <w:rPr>
                <w:bCs/>
                <w:i/>
              </w:rPr>
            </w:pPr>
            <w:r>
              <w:rPr>
                <w:bCs/>
                <w:i/>
              </w:rPr>
              <w:t>Constructive trust “of the first kind”</w:t>
            </w:r>
            <w:r w:rsidR="004B2D86">
              <w:rPr>
                <w:bCs/>
                <w:i/>
              </w:rPr>
              <w:t xml:space="preserve"> generally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98205" w14:textId="77777777" w:rsidR="00893658" w:rsidRDefault="002C13CA" w:rsidP="009154CA">
            <w:pPr>
              <w:spacing w:before="60" w:after="60"/>
              <w:jc w:val="right"/>
              <w:rPr>
                <w:lang w:eastAsia="zh-CN"/>
              </w:rPr>
            </w:pPr>
            <w:r>
              <w:rPr>
                <w:lang w:eastAsia="zh-CN"/>
              </w:rPr>
              <w:t xml:space="preserve">Para </w:t>
            </w:r>
            <w:r w:rsidR="004E012F">
              <w:rPr>
                <w:lang w:eastAsia="zh-CN"/>
              </w:rPr>
              <w:t>250</w:t>
            </w:r>
          </w:p>
        </w:tc>
      </w:tr>
      <w:tr w:rsidR="00893658" w14:paraId="3BD2165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B4677" w14:textId="77777777" w:rsidR="00893658" w:rsidRDefault="00814669" w:rsidP="00884A08">
            <w:pPr>
              <w:tabs>
                <w:tab w:val="left" w:pos="525"/>
              </w:tabs>
              <w:spacing w:before="60" w:after="60"/>
              <w:rPr>
                <w:bCs/>
                <w:i/>
                <w:lang w:eastAsia="zh-CN"/>
              </w:rPr>
            </w:pPr>
            <w:r>
              <w:rPr>
                <w:bCs/>
                <w:i/>
                <w:lang w:eastAsia="zh-CN"/>
              </w:rPr>
              <w:t>(iii)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B0850" w14:textId="77777777" w:rsidR="00893658" w:rsidRPr="000D3782" w:rsidRDefault="00814669" w:rsidP="009154CA">
            <w:pPr>
              <w:spacing w:before="60" w:after="60"/>
              <w:rPr>
                <w:i/>
                <w:lang w:val="fr-FR"/>
              </w:rPr>
            </w:pPr>
            <w:r w:rsidRPr="000D3782">
              <w:rPr>
                <w:i/>
                <w:lang w:val="fr-FR"/>
              </w:rPr>
              <w:t>A trustee de son tort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AD109" w14:textId="77777777" w:rsidR="00893658" w:rsidRDefault="002C13CA" w:rsidP="009154CA">
            <w:pPr>
              <w:spacing w:before="60" w:after="60"/>
              <w:jc w:val="right"/>
              <w:rPr>
                <w:lang w:eastAsia="zh-CN"/>
              </w:rPr>
            </w:pPr>
            <w:r>
              <w:rPr>
                <w:lang w:eastAsia="zh-CN"/>
              </w:rPr>
              <w:t xml:space="preserve">Para </w:t>
            </w:r>
            <w:r w:rsidR="00A021B7">
              <w:rPr>
                <w:lang w:eastAsia="zh-CN"/>
              </w:rPr>
              <w:t>251</w:t>
            </w:r>
          </w:p>
        </w:tc>
      </w:tr>
      <w:tr w:rsidR="00814669" w14:paraId="559E6BB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F4A9" w14:textId="77777777" w:rsidR="00814669" w:rsidRPr="00814669" w:rsidRDefault="00814669" w:rsidP="00884A08">
            <w:pPr>
              <w:tabs>
                <w:tab w:val="left" w:pos="525"/>
              </w:tabs>
              <w:spacing w:before="60" w:after="60"/>
              <w:rPr>
                <w:b/>
                <w:i/>
                <w:lang w:eastAsia="zh-CN"/>
              </w:rPr>
            </w:pPr>
            <w:r>
              <w:rPr>
                <w:b/>
                <w:i/>
                <w:lang w:eastAsia="zh-CN"/>
              </w:rPr>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6A912" w14:textId="77777777" w:rsidR="00814669" w:rsidRPr="00814669" w:rsidRDefault="00814669" w:rsidP="009154CA">
            <w:pPr>
              <w:spacing w:before="60" w:after="60"/>
              <w:rPr>
                <w:b/>
                <w:i/>
              </w:rPr>
            </w:pPr>
            <w:r>
              <w:rPr>
                <w:b/>
                <w:i/>
              </w:rPr>
              <w:t>Resulting trust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101CA" w14:textId="77777777" w:rsidR="00814669" w:rsidRDefault="002C13CA" w:rsidP="009154CA">
            <w:pPr>
              <w:spacing w:before="60" w:after="60"/>
              <w:jc w:val="right"/>
              <w:rPr>
                <w:lang w:eastAsia="zh-CN"/>
              </w:rPr>
            </w:pPr>
            <w:r>
              <w:rPr>
                <w:lang w:eastAsia="zh-CN"/>
              </w:rPr>
              <w:t xml:space="preserve">Para </w:t>
            </w:r>
            <w:r w:rsidR="009667DE">
              <w:rPr>
                <w:lang w:eastAsia="zh-CN"/>
              </w:rPr>
              <w:t>252</w:t>
            </w:r>
          </w:p>
        </w:tc>
      </w:tr>
      <w:tr w:rsidR="008E7EC5" w14:paraId="1419930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804D5" w14:textId="77777777" w:rsidR="008E7EC5" w:rsidRPr="008D048A" w:rsidRDefault="008E7EC5" w:rsidP="00884A08">
            <w:pPr>
              <w:tabs>
                <w:tab w:val="left" w:pos="525"/>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E2AAF" w14:textId="77777777" w:rsidR="008E7EC5" w:rsidRPr="008D048A" w:rsidRDefault="008E7EC5" w:rsidP="009154CA">
            <w:pPr>
              <w:spacing w:before="60" w:after="60"/>
              <w:rPr>
                <w:b/>
                <w:iCs/>
              </w:rPr>
            </w:pPr>
            <w:r>
              <w:rPr>
                <w:b/>
                <w:iCs/>
              </w:rPr>
              <w:t>The question of “choice” as to trustee and the Ispahani letter</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8441C" w14:textId="77777777" w:rsidR="008E7EC5" w:rsidRDefault="002C13CA" w:rsidP="009154CA">
            <w:pPr>
              <w:spacing w:before="60" w:after="60"/>
              <w:jc w:val="right"/>
              <w:rPr>
                <w:lang w:eastAsia="zh-CN"/>
              </w:rPr>
            </w:pPr>
            <w:r>
              <w:rPr>
                <w:lang w:eastAsia="zh-CN"/>
              </w:rPr>
              <w:t xml:space="preserve">Para </w:t>
            </w:r>
            <w:r w:rsidR="006A74FD">
              <w:rPr>
                <w:lang w:eastAsia="zh-CN"/>
              </w:rPr>
              <w:t>255</w:t>
            </w:r>
          </w:p>
        </w:tc>
      </w:tr>
      <w:tr w:rsidR="00A45507" w14:paraId="268280C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B525C" w14:textId="77777777" w:rsidR="00A45507" w:rsidRPr="008D048A" w:rsidRDefault="00A45507" w:rsidP="00884A08">
            <w:pPr>
              <w:tabs>
                <w:tab w:val="left" w:pos="525"/>
              </w:tabs>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357D4" w14:textId="77777777" w:rsidR="00A45507" w:rsidRPr="008D048A" w:rsidRDefault="00A45507" w:rsidP="009154CA">
            <w:pPr>
              <w:spacing w:before="60" w:after="60"/>
              <w:rPr>
                <w:b/>
                <w:iCs/>
              </w:rPr>
            </w:pPr>
            <w:r>
              <w:rPr>
                <w:b/>
                <w:iCs/>
              </w:rPr>
              <w:t>An absolute interest in Pakistan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D5A01" w14:textId="77777777" w:rsidR="00A45507" w:rsidRDefault="002C13CA" w:rsidP="009154CA">
            <w:pPr>
              <w:spacing w:before="60" w:after="60"/>
              <w:jc w:val="right"/>
              <w:rPr>
                <w:lang w:eastAsia="zh-CN"/>
              </w:rPr>
            </w:pPr>
            <w:r>
              <w:rPr>
                <w:lang w:eastAsia="zh-CN"/>
              </w:rPr>
              <w:t xml:space="preserve">Para </w:t>
            </w:r>
            <w:r w:rsidR="00A45507">
              <w:rPr>
                <w:lang w:eastAsia="zh-CN"/>
              </w:rPr>
              <w:t>258</w:t>
            </w:r>
          </w:p>
        </w:tc>
      </w:tr>
      <w:tr w:rsidR="00814669" w14:paraId="5092577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1BEA" w14:textId="77777777" w:rsidR="00814669" w:rsidRPr="008D048A" w:rsidRDefault="008D048A" w:rsidP="00884A08">
            <w:pPr>
              <w:tabs>
                <w:tab w:val="left" w:pos="525"/>
              </w:tabs>
              <w:spacing w:before="60" w:after="60"/>
              <w:rPr>
                <w:b/>
                <w:iCs/>
                <w:lang w:eastAsia="zh-CN"/>
              </w:rPr>
            </w:pPr>
            <w:r w:rsidRPr="008D048A">
              <w:rPr>
                <w:b/>
                <w:iCs/>
                <w:lang w:eastAsia="zh-CN"/>
              </w:rPr>
              <w:t>(</w:t>
            </w:r>
            <w:r w:rsidR="00BA2658">
              <w:rPr>
                <w:b/>
                <w:iCs/>
                <w:lang w:eastAsia="zh-CN"/>
              </w:rPr>
              <w:t>6</w:t>
            </w:r>
            <w:r w:rsidRPr="008D048A">
              <w:rPr>
                <w:b/>
                <w:iCs/>
                <w:lang w:eastAsia="zh-CN"/>
              </w:rPr>
              <w:t>)</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5DBDD" w14:textId="77777777" w:rsidR="00814669" w:rsidRPr="008D048A" w:rsidRDefault="008D048A" w:rsidP="009154CA">
            <w:pPr>
              <w:spacing w:before="60" w:after="60"/>
              <w:rPr>
                <w:b/>
                <w:iCs/>
              </w:rPr>
            </w:pPr>
            <w:r w:rsidRPr="008D048A">
              <w:rPr>
                <w:b/>
                <w:iCs/>
              </w:rPr>
              <w:t>Conclusions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090DE" w14:textId="77777777" w:rsidR="00814669" w:rsidRDefault="002C13CA" w:rsidP="009154CA">
            <w:pPr>
              <w:spacing w:before="60" w:after="60"/>
              <w:jc w:val="right"/>
              <w:rPr>
                <w:lang w:eastAsia="zh-CN"/>
              </w:rPr>
            </w:pPr>
            <w:r>
              <w:rPr>
                <w:lang w:eastAsia="zh-CN"/>
              </w:rPr>
              <w:t xml:space="preserve">Para </w:t>
            </w:r>
            <w:r w:rsidR="00BA2658">
              <w:rPr>
                <w:lang w:eastAsia="zh-CN"/>
              </w:rPr>
              <w:t>259</w:t>
            </w:r>
          </w:p>
        </w:tc>
      </w:tr>
      <w:tr w:rsidR="008D048A" w14:paraId="640383E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30ACA" w14:textId="77777777" w:rsidR="008D048A" w:rsidRPr="008D048A" w:rsidRDefault="007B35FE" w:rsidP="00884A08">
            <w:pPr>
              <w:tabs>
                <w:tab w:val="left" w:pos="525"/>
              </w:tabs>
              <w:spacing w:before="60" w:after="60"/>
              <w:rPr>
                <w:b/>
                <w:iCs/>
                <w:lang w:eastAsia="zh-CN"/>
              </w:rPr>
            </w:pPr>
            <w:r>
              <w:rPr>
                <w:b/>
                <w:iCs/>
                <w:lang w:eastAsia="zh-CN"/>
              </w:rPr>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1B096" w14:textId="77777777" w:rsidR="008D048A" w:rsidRPr="008D048A" w:rsidRDefault="007B35FE" w:rsidP="009154CA">
            <w:pPr>
              <w:spacing w:before="60" w:after="60"/>
              <w:rPr>
                <w:b/>
                <w:iCs/>
              </w:rPr>
            </w:pPr>
            <w:r>
              <w:rPr>
                <w:b/>
                <w:iCs/>
              </w:rPr>
              <w:t>NO TRUST IN ANY EVENT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5617" w14:textId="77777777" w:rsidR="008D048A" w:rsidRDefault="002C13CA" w:rsidP="009154CA">
            <w:pPr>
              <w:spacing w:before="60" w:after="60"/>
              <w:jc w:val="right"/>
              <w:rPr>
                <w:lang w:eastAsia="zh-CN"/>
              </w:rPr>
            </w:pPr>
            <w:r>
              <w:rPr>
                <w:lang w:eastAsia="zh-CN"/>
              </w:rPr>
              <w:t xml:space="preserve">Para </w:t>
            </w:r>
            <w:r w:rsidR="006B6451">
              <w:rPr>
                <w:lang w:eastAsia="zh-CN"/>
              </w:rPr>
              <w:t>260</w:t>
            </w:r>
          </w:p>
        </w:tc>
      </w:tr>
      <w:tr w:rsidR="008D048A" w14:paraId="164E746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7FCB2" w14:textId="77777777" w:rsidR="008D048A" w:rsidRPr="008D048A" w:rsidRDefault="00AE33F2" w:rsidP="00884A08">
            <w:pPr>
              <w:tabs>
                <w:tab w:val="left" w:pos="525"/>
              </w:tabs>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63950" w14:textId="77777777" w:rsidR="008D048A" w:rsidRPr="008D048A" w:rsidRDefault="00AE33F2"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1AD9F" w14:textId="77777777" w:rsidR="008D048A" w:rsidRDefault="002C13CA" w:rsidP="009154CA">
            <w:pPr>
              <w:spacing w:before="60" w:after="60"/>
              <w:jc w:val="right"/>
              <w:rPr>
                <w:lang w:eastAsia="zh-CN"/>
              </w:rPr>
            </w:pPr>
            <w:r>
              <w:rPr>
                <w:lang w:eastAsia="zh-CN"/>
              </w:rPr>
              <w:t xml:space="preserve">Para </w:t>
            </w:r>
            <w:r w:rsidR="009C6302">
              <w:rPr>
                <w:lang w:eastAsia="zh-CN"/>
              </w:rPr>
              <w:t>260</w:t>
            </w:r>
          </w:p>
        </w:tc>
      </w:tr>
      <w:tr w:rsidR="008D048A" w14:paraId="342BB9C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4130B" w14:textId="77777777" w:rsidR="008D048A" w:rsidRPr="008D048A" w:rsidRDefault="00AE33F2" w:rsidP="00884A08">
            <w:pPr>
              <w:tabs>
                <w:tab w:val="left" w:pos="525"/>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B6A5C" w14:textId="77777777" w:rsidR="008D048A" w:rsidRPr="008D048A" w:rsidRDefault="00AE33F2" w:rsidP="009154CA">
            <w:pPr>
              <w:spacing w:before="60" w:after="60"/>
              <w:rPr>
                <w:b/>
                <w:iCs/>
              </w:rPr>
            </w:pPr>
            <w:r>
              <w:rPr>
                <w:b/>
                <w:iCs/>
              </w:rPr>
              <w:t xml:space="preserve">No trust relationship can arise </w:t>
            </w:r>
            <w:r w:rsidR="00754020">
              <w:rPr>
                <w:b/>
                <w:iCs/>
              </w:rPr>
              <w:t>as a matter of private law</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C0B56" w14:textId="77777777" w:rsidR="008D048A" w:rsidRDefault="002C13CA" w:rsidP="009154CA">
            <w:pPr>
              <w:spacing w:before="60" w:after="60"/>
              <w:jc w:val="right"/>
              <w:rPr>
                <w:lang w:eastAsia="zh-CN"/>
              </w:rPr>
            </w:pPr>
            <w:r>
              <w:rPr>
                <w:lang w:eastAsia="zh-CN"/>
              </w:rPr>
              <w:t xml:space="preserve">Para </w:t>
            </w:r>
            <w:r w:rsidR="00EF5C6A">
              <w:rPr>
                <w:lang w:eastAsia="zh-CN"/>
              </w:rPr>
              <w:t>262</w:t>
            </w:r>
          </w:p>
        </w:tc>
      </w:tr>
      <w:tr w:rsidR="008D048A" w14:paraId="085B3A7B"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22750" w14:textId="77777777" w:rsidR="008D048A" w:rsidRPr="008D048A" w:rsidRDefault="002B57B9" w:rsidP="00884A08">
            <w:pPr>
              <w:tabs>
                <w:tab w:val="left" w:pos="525"/>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AE7C0" w14:textId="77777777" w:rsidR="008D048A" w:rsidRPr="008D048A" w:rsidRDefault="00BA072C" w:rsidP="009154CA">
            <w:pPr>
              <w:spacing w:before="60" w:after="60"/>
              <w:rPr>
                <w:b/>
                <w:iCs/>
              </w:rPr>
            </w:pPr>
            <w:r>
              <w:rPr>
                <w:b/>
                <w:iCs/>
              </w:rPr>
              <w:t>A court should exercise caution when considering whether a trust arises in the case of sovereign states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999BA" w14:textId="77777777" w:rsidR="008D048A" w:rsidRDefault="002C13CA" w:rsidP="009154CA">
            <w:pPr>
              <w:spacing w:before="60" w:after="60"/>
              <w:jc w:val="right"/>
              <w:rPr>
                <w:lang w:eastAsia="zh-CN"/>
              </w:rPr>
            </w:pPr>
            <w:r>
              <w:rPr>
                <w:lang w:eastAsia="zh-CN"/>
              </w:rPr>
              <w:t xml:space="preserve">Para </w:t>
            </w:r>
            <w:r w:rsidR="0065564A">
              <w:rPr>
                <w:lang w:eastAsia="zh-CN"/>
              </w:rPr>
              <w:t>266</w:t>
            </w:r>
          </w:p>
        </w:tc>
      </w:tr>
      <w:tr w:rsidR="00627104" w14:paraId="25EBC94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F4638" w14:textId="77777777" w:rsidR="00627104" w:rsidRDefault="00627104" w:rsidP="00884A08">
            <w:pPr>
              <w:tabs>
                <w:tab w:val="left" w:pos="525"/>
              </w:tabs>
              <w:spacing w:before="60" w:after="60"/>
              <w:rPr>
                <w:b/>
                <w:iCs/>
                <w:lang w:eastAsia="zh-CN"/>
              </w:rPr>
            </w:pPr>
            <w:r>
              <w:rPr>
                <w:b/>
                <w:iCs/>
                <w:lang w:eastAsia="zh-CN"/>
              </w:rPr>
              <w:t>J.</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9B66" w14:textId="77777777" w:rsidR="00627104" w:rsidRDefault="00627104" w:rsidP="009154CA">
            <w:pPr>
              <w:spacing w:before="60" w:after="60"/>
              <w:rPr>
                <w:b/>
                <w:iCs/>
              </w:rPr>
            </w:pPr>
            <w:r>
              <w:rPr>
                <w:b/>
                <w:iCs/>
              </w:rPr>
              <w:t>THE RESTITUTION CLAIM</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75B6" w14:textId="77777777" w:rsidR="00627104" w:rsidRDefault="002C13CA" w:rsidP="009154CA">
            <w:pPr>
              <w:spacing w:before="60" w:after="60"/>
              <w:jc w:val="right"/>
              <w:rPr>
                <w:lang w:eastAsia="zh-CN"/>
              </w:rPr>
            </w:pPr>
            <w:r>
              <w:rPr>
                <w:lang w:eastAsia="zh-CN"/>
              </w:rPr>
              <w:t xml:space="preserve">Para </w:t>
            </w:r>
            <w:r w:rsidR="00FA309D">
              <w:rPr>
                <w:lang w:eastAsia="zh-CN"/>
              </w:rPr>
              <w:t>271</w:t>
            </w:r>
          </w:p>
        </w:tc>
      </w:tr>
      <w:tr w:rsidR="00627104" w14:paraId="65E6367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5232C" w14:textId="77777777" w:rsidR="00627104" w:rsidRDefault="00567957" w:rsidP="00884A08">
            <w:pPr>
              <w:tabs>
                <w:tab w:val="left" w:pos="525"/>
              </w:tabs>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3749" w14:textId="77777777" w:rsidR="00627104" w:rsidRDefault="00567957"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CBF5E" w14:textId="77777777" w:rsidR="00627104" w:rsidRDefault="002C13CA" w:rsidP="009154CA">
            <w:pPr>
              <w:spacing w:before="60" w:after="60"/>
              <w:jc w:val="right"/>
              <w:rPr>
                <w:lang w:eastAsia="zh-CN"/>
              </w:rPr>
            </w:pPr>
            <w:r>
              <w:rPr>
                <w:lang w:eastAsia="zh-CN"/>
              </w:rPr>
              <w:t xml:space="preserve">Para </w:t>
            </w:r>
            <w:r w:rsidR="00FA309D">
              <w:rPr>
                <w:lang w:eastAsia="zh-CN"/>
              </w:rPr>
              <w:t>271</w:t>
            </w:r>
          </w:p>
        </w:tc>
      </w:tr>
      <w:tr w:rsidR="00627104" w14:paraId="358152AA"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356DB" w14:textId="77777777" w:rsidR="00627104" w:rsidRDefault="00BF53A1" w:rsidP="00884A08">
            <w:pPr>
              <w:tabs>
                <w:tab w:val="left" w:pos="525"/>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7E62E" w14:textId="77777777" w:rsidR="00627104" w:rsidRDefault="00BF53A1" w:rsidP="009154CA">
            <w:pPr>
              <w:spacing w:before="60" w:after="60"/>
              <w:rPr>
                <w:b/>
                <w:iCs/>
              </w:rPr>
            </w:pPr>
            <w:r>
              <w:rPr>
                <w:b/>
                <w:bCs/>
              </w:rPr>
              <w:t>Pakistan’s raising of the procedural bar of sovereign immunity prevented time running against any claimants to the Fund, which only began to run when the procedural bar was waived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254A" w14:textId="77777777" w:rsidR="00627104" w:rsidRDefault="002C13CA" w:rsidP="009154CA">
            <w:pPr>
              <w:spacing w:before="60" w:after="60"/>
              <w:jc w:val="right"/>
              <w:rPr>
                <w:lang w:eastAsia="zh-CN"/>
              </w:rPr>
            </w:pPr>
            <w:r>
              <w:rPr>
                <w:lang w:eastAsia="zh-CN"/>
              </w:rPr>
              <w:t xml:space="preserve">Para </w:t>
            </w:r>
            <w:r w:rsidR="003F771C">
              <w:rPr>
                <w:lang w:eastAsia="zh-CN"/>
              </w:rPr>
              <w:t>276</w:t>
            </w:r>
          </w:p>
        </w:tc>
      </w:tr>
      <w:tr w:rsidR="00627104" w14:paraId="149D6C91"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D01E0" w14:textId="77777777" w:rsidR="00627104" w:rsidRDefault="00E47F60" w:rsidP="00884A08">
            <w:pPr>
              <w:tabs>
                <w:tab w:val="left" w:pos="525"/>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DB81B" w14:textId="77777777" w:rsidR="00627104" w:rsidRDefault="00E47F60" w:rsidP="009154CA">
            <w:pPr>
              <w:spacing w:before="60" w:after="60"/>
              <w:rPr>
                <w:b/>
                <w:iCs/>
              </w:rPr>
            </w:pPr>
            <w:r>
              <w:rPr>
                <w:b/>
                <w:iCs/>
              </w:rPr>
              <w:t>Abuse of process in raising the limitation defence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CB376" w14:textId="77777777" w:rsidR="00627104" w:rsidRDefault="002C13CA" w:rsidP="009154CA">
            <w:pPr>
              <w:spacing w:before="60" w:after="60"/>
              <w:jc w:val="right"/>
              <w:rPr>
                <w:lang w:eastAsia="zh-CN"/>
              </w:rPr>
            </w:pPr>
            <w:r>
              <w:rPr>
                <w:lang w:eastAsia="zh-CN"/>
              </w:rPr>
              <w:t xml:space="preserve">Para </w:t>
            </w:r>
            <w:r w:rsidR="007B4DF8">
              <w:rPr>
                <w:lang w:eastAsia="zh-CN"/>
              </w:rPr>
              <w:t>280</w:t>
            </w:r>
          </w:p>
        </w:tc>
      </w:tr>
      <w:tr w:rsidR="00E47F60" w14:paraId="7E3DE468"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AC114" w14:textId="77777777" w:rsidR="00E47F60" w:rsidRDefault="001B7F13" w:rsidP="00884A08">
            <w:pPr>
              <w:tabs>
                <w:tab w:val="left" w:pos="525"/>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E0445" w14:textId="77777777" w:rsidR="00E47F60" w:rsidRDefault="001B7F13" w:rsidP="009154CA">
            <w:pPr>
              <w:spacing w:before="60" w:after="60"/>
              <w:rPr>
                <w:b/>
                <w:iCs/>
              </w:rPr>
            </w:pPr>
            <w:r>
              <w:rPr>
                <w:b/>
                <w:iCs/>
              </w:rPr>
              <w:t>Claim against the Bank</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830A" w14:textId="77777777" w:rsidR="00E47F60" w:rsidRDefault="002C13CA" w:rsidP="009154CA">
            <w:pPr>
              <w:spacing w:before="60" w:after="60"/>
              <w:jc w:val="right"/>
              <w:rPr>
                <w:lang w:eastAsia="zh-CN"/>
              </w:rPr>
            </w:pPr>
            <w:r>
              <w:rPr>
                <w:lang w:eastAsia="zh-CN"/>
              </w:rPr>
              <w:t xml:space="preserve">Para </w:t>
            </w:r>
            <w:r w:rsidR="007B4DF8">
              <w:rPr>
                <w:lang w:eastAsia="zh-CN"/>
              </w:rPr>
              <w:t>286</w:t>
            </w:r>
          </w:p>
        </w:tc>
      </w:tr>
      <w:tr w:rsidR="00E47F60" w14:paraId="036547F8"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05874" w14:textId="77777777" w:rsidR="00E47F60" w:rsidRDefault="00324C54" w:rsidP="00324C54">
            <w:pPr>
              <w:tabs>
                <w:tab w:val="left" w:pos="614"/>
              </w:tabs>
              <w:spacing w:before="60" w:after="60"/>
              <w:rPr>
                <w:b/>
                <w:iCs/>
                <w:lang w:eastAsia="zh-CN"/>
              </w:rPr>
            </w:pPr>
            <w:r>
              <w:rPr>
                <w:b/>
                <w:iCs/>
                <w:lang w:eastAsia="zh-CN"/>
              </w:rPr>
              <w:t>K.</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E188F" w14:textId="77777777" w:rsidR="00E47F60" w:rsidRDefault="00324C54" w:rsidP="009154CA">
            <w:pPr>
              <w:spacing w:before="60" w:after="60"/>
              <w:rPr>
                <w:b/>
                <w:iCs/>
              </w:rPr>
            </w:pPr>
            <w:r>
              <w:rPr>
                <w:b/>
                <w:iCs/>
              </w:rPr>
              <w:t xml:space="preserve">FOREIGN ACT OF STATE </w:t>
            </w:r>
            <w:r w:rsidR="005358A4">
              <w:rPr>
                <w:b/>
                <w:iCs/>
              </w:rPr>
              <w:t xml:space="preserve">DOCTRINE </w:t>
            </w:r>
            <w:r>
              <w:rPr>
                <w:b/>
                <w:iCs/>
              </w:rPr>
              <w:t>AND NON-JUSTICIABILITY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0E52F" w14:textId="77777777" w:rsidR="00E47F60" w:rsidRDefault="002C13CA" w:rsidP="009154CA">
            <w:pPr>
              <w:spacing w:before="60" w:after="60"/>
              <w:jc w:val="right"/>
              <w:rPr>
                <w:lang w:eastAsia="zh-CN"/>
              </w:rPr>
            </w:pPr>
            <w:r>
              <w:rPr>
                <w:lang w:eastAsia="zh-CN"/>
              </w:rPr>
              <w:t xml:space="preserve">Para </w:t>
            </w:r>
            <w:r w:rsidR="00087B2D">
              <w:rPr>
                <w:lang w:eastAsia="zh-CN"/>
              </w:rPr>
              <w:t>292</w:t>
            </w:r>
          </w:p>
        </w:tc>
      </w:tr>
      <w:tr w:rsidR="00E47F60" w14:paraId="02EAA36F"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AD5D" w14:textId="77777777" w:rsidR="00E47F60" w:rsidRDefault="000D0CAA" w:rsidP="00884A08">
            <w:pPr>
              <w:tabs>
                <w:tab w:val="left" w:pos="525"/>
              </w:tabs>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5B26F" w14:textId="77777777" w:rsidR="00E47F60" w:rsidRDefault="000D0CAA" w:rsidP="009154CA">
            <w:pPr>
              <w:spacing w:before="60" w:after="60"/>
              <w:rPr>
                <w:b/>
                <w:iCs/>
              </w:rPr>
            </w:pPr>
            <w:r>
              <w:rPr>
                <w:b/>
                <w:iCs/>
              </w:rPr>
              <w:t>The nature of the Doctrine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2A82" w14:textId="77777777" w:rsidR="00E47F60" w:rsidRDefault="002C13CA" w:rsidP="009154CA">
            <w:pPr>
              <w:spacing w:before="60" w:after="60"/>
              <w:jc w:val="right"/>
              <w:rPr>
                <w:lang w:eastAsia="zh-CN"/>
              </w:rPr>
            </w:pPr>
            <w:r>
              <w:rPr>
                <w:lang w:eastAsia="zh-CN"/>
              </w:rPr>
              <w:t>Para 292</w:t>
            </w:r>
          </w:p>
        </w:tc>
      </w:tr>
      <w:tr w:rsidR="000D0CAA" w14:paraId="3061A2B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C8381" w14:textId="77777777" w:rsidR="000D0CAA" w:rsidRDefault="000D0CAA" w:rsidP="00884A08">
            <w:pPr>
              <w:tabs>
                <w:tab w:val="left" w:pos="525"/>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DF62E" w14:textId="77777777" w:rsidR="000D0CAA" w:rsidRDefault="000D0CAA" w:rsidP="009154CA">
            <w:pPr>
              <w:spacing w:before="60" w:after="60"/>
              <w:rPr>
                <w:b/>
                <w:iCs/>
              </w:rPr>
            </w:pPr>
            <w:r>
              <w:rPr>
                <w:b/>
                <w:iCs/>
              </w:rPr>
              <w:t>As</w:t>
            </w:r>
            <w:r w:rsidR="005358A4">
              <w:rPr>
                <w:b/>
                <w:iCs/>
              </w:rPr>
              <w:t>pects of the Doctrine</w:t>
            </w:r>
            <w:r w:rsidR="00BF6BF7">
              <w:rPr>
                <w:b/>
                <w:iCs/>
              </w:rPr>
              <w:t xml:space="preserve"> relied upon by Pakistan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3F78" w14:textId="77777777" w:rsidR="000D0CAA" w:rsidRDefault="002C13CA" w:rsidP="009154CA">
            <w:pPr>
              <w:spacing w:before="60" w:after="60"/>
              <w:jc w:val="right"/>
              <w:rPr>
                <w:lang w:eastAsia="zh-CN"/>
              </w:rPr>
            </w:pPr>
            <w:r>
              <w:rPr>
                <w:lang w:eastAsia="zh-CN"/>
              </w:rPr>
              <w:t>Para 295</w:t>
            </w:r>
          </w:p>
        </w:tc>
      </w:tr>
      <w:tr w:rsidR="000D0CAA" w14:paraId="1C7C915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BB181" w14:textId="77777777" w:rsidR="000D0CAA" w:rsidRDefault="00BF6BF7" w:rsidP="00884A08">
            <w:pPr>
              <w:tabs>
                <w:tab w:val="left" w:pos="525"/>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55ABC" w14:textId="77777777" w:rsidR="000D0CAA" w:rsidRDefault="00BF6BF7" w:rsidP="009154CA">
            <w:pPr>
              <w:spacing w:before="60" w:after="60"/>
              <w:rPr>
                <w:b/>
                <w:iCs/>
              </w:rPr>
            </w:pPr>
            <w:r>
              <w:rPr>
                <w:b/>
                <w:iCs/>
              </w:rPr>
              <w:t>Justiciability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6B2F8" w14:textId="77777777" w:rsidR="000D0CAA" w:rsidRDefault="00FB2968" w:rsidP="009154CA">
            <w:pPr>
              <w:spacing w:before="60" w:after="60"/>
              <w:jc w:val="right"/>
              <w:rPr>
                <w:lang w:eastAsia="zh-CN"/>
              </w:rPr>
            </w:pPr>
            <w:r>
              <w:rPr>
                <w:lang w:eastAsia="zh-CN"/>
              </w:rPr>
              <w:t>Para 301</w:t>
            </w:r>
          </w:p>
        </w:tc>
      </w:tr>
      <w:tr w:rsidR="000D0CAA" w14:paraId="457AF8B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F6CE5" w14:textId="77777777" w:rsidR="000D0CAA" w:rsidRPr="00BF6BF7" w:rsidRDefault="00BF6BF7" w:rsidP="00884A08">
            <w:pPr>
              <w:tabs>
                <w:tab w:val="left" w:pos="525"/>
              </w:tabs>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18E4C" w14:textId="77777777" w:rsidR="000D0CAA" w:rsidRPr="00BF6BF7" w:rsidRDefault="00BF6BF7" w:rsidP="009154CA">
            <w:pPr>
              <w:spacing w:before="60" w:after="60"/>
              <w:rPr>
                <w:b/>
                <w:i/>
              </w:rPr>
            </w:pPr>
            <w:r>
              <w:rPr>
                <w:b/>
                <w:i/>
              </w:rPr>
              <w:t>The ambit of Pakistan’s case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ABE2" w14:textId="77777777" w:rsidR="000D0CAA" w:rsidRDefault="00FB2968" w:rsidP="009154CA">
            <w:pPr>
              <w:spacing w:before="60" w:after="60"/>
              <w:jc w:val="right"/>
              <w:rPr>
                <w:lang w:eastAsia="zh-CN"/>
              </w:rPr>
            </w:pPr>
            <w:r>
              <w:rPr>
                <w:lang w:eastAsia="zh-CN"/>
              </w:rPr>
              <w:t>Para 301</w:t>
            </w:r>
          </w:p>
        </w:tc>
      </w:tr>
      <w:tr w:rsidR="000D0CAA" w14:paraId="68ACCC5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5130D" w14:textId="77777777" w:rsidR="000D0CAA" w:rsidRPr="00BF6BF7" w:rsidRDefault="00BF6BF7" w:rsidP="00884A08">
            <w:pPr>
              <w:tabs>
                <w:tab w:val="left" w:pos="525"/>
              </w:tabs>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88986" w14:textId="77777777" w:rsidR="000D0CAA" w:rsidRPr="00BF6BF7" w:rsidRDefault="00BF6BF7" w:rsidP="009154CA">
            <w:pPr>
              <w:spacing w:before="60" w:after="60"/>
              <w:rPr>
                <w:b/>
                <w:i/>
              </w:rPr>
            </w:pPr>
            <w:r>
              <w:rPr>
                <w:b/>
                <w:i/>
              </w:rPr>
              <w:t xml:space="preserve">Partial </w:t>
            </w:r>
            <w:r w:rsidR="00DC5FAE">
              <w:rPr>
                <w:b/>
                <w:i/>
              </w:rPr>
              <w:t>non-justiciability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0D589" w14:textId="77777777" w:rsidR="000D0CAA" w:rsidRDefault="00265374" w:rsidP="009154CA">
            <w:pPr>
              <w:spacing w:before="60" w:after="60"/>
              <w:jc w:val="right"/>
              <w:rPr>
                <w:lang w:eastAsia="zh-CN"/>
              </w:rPr>
            </w:pPr>
            <w:r>
              <w:rPr>
                <w:lang w:eastAsia="zh-CN"/>
              </w:rPr>
              <w:t>Para 303</w:t>
            </w:r>
          </w:p>
        </w:tc>
      </w:tr>
      <w:tr w:rsidR="00DC5FAE" w14:paraId="36D95207"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85B88" w14:textId="77777777" w:rsidR="00DC5FAE" w:rsidRDefault="00DC5FAE" w:rsidP="00884A08">
            <w:pPr>
              <w:tabs>
                <w:tab w:val="left" w:pos="525"/>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C4B25" w14:textId="77777777" w:rsidR="00DC5FAE" w:rsidRDefault="00DC5FAE" w:rsidP="009154CA">
            <w:pPr>
              <w:spacing w:before="60" w:after="60"/>
              <w:rPr>
                <w:b/>
                <w:i/>
              </w:rPr>
            </w:pPr>
            <w:r>
              <w:rPr>
                <w:b/>
                <w:i/>
              </w:rPr>
              <w:t>Non-justiciability</w:t>
            </w:r>
            <w:r w:rsidR="00142673">
              <w:rPr>
                <w:b/>
                <w:i/>
              </w:rPr>
              <w:t>: Rule 3 expanded</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BA302" w14:textId="77777777" w:rsidR="00DC5FAE" w:rsidRDefault="00265374" w:rsidP="009154CA">
            <w:pPr>
              <w:spacing w:before="60" w:after="60"/>
              <w:jc w:val="right"/>
              <w:rPr>
                <w:lang w:eastAsia="zh-CN"/>
              </w:rPr>
            </w:pPr>
            <w:r>
              <w:rPr>
                <w:lang w:eastAsia="zh-CN"/>
              </w:rPr>
              <w:t>Para 306</w:t>
            </w:r>
          </w:p>
        </w:tc>
      </w:tr>
      <w:tr w:rsidR="00DC5FAE" w14:paraId="724D7A4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CA943" w14:textId="77777777" w:rsidR="00DC5FAE" w:rsidRPr="00843785" w:rsidRDefault="00843785" w:rsidP="00884A08">
            <w:pPr>
              <w:tabs>
                <w:tab w:val="left" w:pos="525"/>
              </w:tabs>
              <w:spacing w:before="60" w:after="60"/>
              <w:rPr>
                <w:bCs/>
                <w:i/>
                <w:lang w:eastAsia="zh-CN"/>
              </w:rPr>
            </w:pPr>
            <w:r>
              <w:rPr>
                <w:bCs/>
                <w:i/>
                <w:lang w:eastAsia="zh-CN"/>
              </w:rPr>
              <w:lastRenderedPageBreak/>
              <w:t>(i)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65D90" w14:textId="77777777" w:rsidR="00DC5FAE" w:rsidRPr="00843785" w:rsidRDefault="00843785" w:rsidP="009154CA">
            <w:pPr>
              <w:spacing w:before="60" w:after="60"/>
              <w:rPr>
                <w:bCs/>
                <w:i/>
              </w:rPr>
            </w:pPr>
            <w:r>
              <w:rPr>
                <w:bCs/>
                <w:i/>
              </w:rPr>
              <w:t>The ambit of Rule 3</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01835" w14:textId="77777777" w:rsidR="00DC5FAE" w:rsidRDefault="00265374" w:rsidP="009154CA">
            <w:pPr>
              <w:spacing w:before="60" w:after="60"/>
              <w:jc w:val="right"/>
              <w:rPr>
                <w:lang w:eastAsia="zh-CN"/>
              </w:rPr>
            </w:pPr>
            <w:r>
              <w:rPr>
                <w:lang w:eastAsia="zh-CN"/>
              </w:rPr>
              <w:t>Para 306</w:t>
            </w:r>
          </w:p>
        </w:tc>
      </w:tr>
      <w:tr w:rsidR="00DC5FAE" w14:paraId="4237B7C0"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7D0A7" w14:textId="77777777" w:rsidR="00DC5FAE" w:rsidRPr="00735655" w:rsidRDefault="00735655" w:rsidP="00884A08">
            <w:pPr>
              <w:tabs>
                <w:tab w:val="left" w:pos="525"/>
              </w:tabs>
              <w:spacing w:before="60" w:after="60"/>
              <w:rPr>
                <w:bCs/>
                <w:i/>
                <w:lang w:eastAsia="zh-CN"/>
              </w:rPr>
            </w:pPr>
            <w:r>
              <w:rPr>
                <w:bCs/>
                <w:i/>
                <w:lang w:eastAsia="zh-CN"/>
              </w:rPr>
              <w:t>(ii)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C639F" w14:textId="77777777" w:rsidR="00DC5FAE" w:rsidRPr="00735655" w:rsidRDefault="00735655" w:rsidP="009154CA">
            <w:pPr>
              <w:spacing w:before="60" w:after="60"/>
              <w:rPr>
                <w:bCs/>
                <w:i/>
              </w:rPr>
            </w:pPr>
            <w:r>
              <w:rPr>
                <w:bCs/>
                <w:i/>
              </w:rPr>
              <w:t>The public policy exception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69324" w14:textId="77777777" w:rsidR="00DC5FAE" w:rsidRDefault="00C4150D" w:rsidP="009154CA">
            <w:pPr>
              <w:spacing w:before="60" w:after="60"/>
              <w:jc w:val="right"/>
              <w:rPr>
                <w:lang w:eastAsia="zh-CN"/>
              </w:rPr>
            </w:pPr>
            <w:r>
              <w:rPr>
                <w:lang w:eastAsia="zh-CN"/>
              </w:rPr>
              <w:t>Para 307</w:t>
            </w:r>
          </w:p>
        </w:tc>
      </w:tr>
      <w:tr w:rsidR="00C35E10" w14:paraId="77EF6A3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11B43" w14:textId="77777777" w:rsidR="00C35E10" w:rsidRDefault="00C35E10" w:rsidP="00884A08">
            <w:pPr>
              <w:tabs>
                <w:tab w:val="left" w:pos="525"/>
              </w:tabs>
              <w:spacing w:before="60" w:after="60"/>
              <w:rPr>
                <w:bCs/>
                <w:i/>
                <w:lang w:eastAsia="zh-CN"/>
              </w:rPr>
            </w:pPr>
            <w:r>
              <w:rPr>
                <w:bCs/>
                <w:i/>
                <w:lang w:eastAsia="zh-CN"/>
              </w:rPr>
              <w:t>(iii)</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FC35D" w14:textId="77777777" w:rsidR="00C35E10" w:rsidRDefault="00C35E10" w:rsidP="009154CA">
            <w:pPr>
              <w:spacing w:before="60" w:after="60"/>
              <w:rPr>
                <w:bCs/>
                <w:i/>
              </w:rPr>
            </w:pPr>
            <w:r>
              <w:rPr>
                <w:bCs/>
                <w:i/>
              </w:rPr>
              <w:t>Synthesis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6A185" w14:textId="77777777" w:rsidR="00C35E10" w:rsidRDefault="00A156E5" w:rsidP="009154CA">
            <w:pPr>
              <w:spacing w:before="60" w:after="60"/>
              <w:jc w:val="right"/>
              <w:rPr>
                <w:lang w:eastAsia="zh-CN"/>
              </w:rPr>
            </w:pPr>
            <w:r>
              <w:rPr>
                <w:lang w:eastAsia="zh-CN"/>
              </w:rPr>
              <w:t>Para 309</w:t>
            </w:r>
          </w:p>
        </w:tc>
      </w:tr>
      <w:tr w:rsidR="00715108" w14:paraId="0E5E564E"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C156" w14:textId="77777777" w:rsidR="00715108" w:rsidRPr="00FA78C5" w:rsidRDefault="00FA78C5" w:rsidP="00884A08">
            <w:pPr>
              <w:tabs>
                <w:tab w:val="left" w:pos="525"/>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4E0FA" w14:textId="77777777" w:rsidR="00715108" w:rsidRPr="00FA78C5" w:rsidRDefault="00FA78C5" w:rsidP="009154CA">
            <w:pPr>
              <w:spacing w:before="60" w:after="60"/>
              <w:rPr>
                <w:b/>
                <w:iCs/>
              </w:rPr>
            </w:pPr>
            <w:r>
              <w:rPr>
                <w:b/>
                <w:iCs/>
              </w:rPr>
              <w:t>Application in the present case</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79D67" w14:textId="77777777" w:rsidR="00715108" w:rsidRDefault="00E70BA3" w:rsidP="009154CA">
            <w:pPr>
              <w:spacing w:before="60" w:after="60"/>
              <w:jc w:val="right"/>
              <w:rPr>
                <w:lang w:eastAsia="zh-CN"/>
              </w:rPr>
            </w:pPr>
            <w:r>
              <w:rPr>
                <w:lang w:eastAsia="zh-CN"/>
              </w:rPr>
              <w:t>Para 313</w:t>
            </w:r>
          </w:p>
        </w:tc>
      </w:tr>
      <w:tr w:rsidR="00715108" w14:paraId="4D9B728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1B8AA" w14:textId="77777777" w:rsidR="00715108" w:rsidRPr="00E33E44" w:rsidRDefault="00E33E44" w:rsidP="00884A08">
            <w:pPr>
              <w:tabs>
                <w:tab w:val="left" w:pos="525"/>
              </w:tabs>
              <w:spacing w:before="60" w:after="60"/>
              <w:rPr>
                <w:b/>
                <w:iCs/>
                <w:lang w:eastAsia="zh-CN"/>
              </w:rPr>
            </w:pPr>
            <w:r>
              <w:rPr>
                <w:b/>
                <w:iCs/>
                <w:lang w:eastAsia="zh-CN"/>
              </w:rPr>
              <w:t>L.</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632CB" w14:textId="77777777" w:rsidR="00715108" w:rsidRPr="00E33E44" w:rsidRDefault="00E33E44" w:rsidP="009154CA">
            <w:pPr>
              <w:spacing w:before="60" w:after="60"/>
              <w:rPr>
                <w:b/>
                <w:iCs/>
              </w:rPr>
            </w:pPr>
            <w:r>
              <w:rPr>
                <w:b/>
                <w:iCs/>
              </w:rPr>
              <w:t>ILLEGALITY</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751D6" w14:textId="77777777" w:rsidR="00715108" w:rsidRDefault="00A46D01" w:rsidP="009154CA">
            <w:pPr>
              <w:spacing w:before="60" w:after="60"/>
              <w:jc w:val="right"/>
              <w:rPr>
                <w:lang w:eastAsia="zh-CN"/>
              </w:rPr>
            </w:pPr>
            <w:r>
              <w:rPr>
                <w:lang w:eastAsia="zh-CN"/>
              </w:rPr>
              <w:t>Para 315</w:t>
            </w:r>
          </w:p>
        </w:tc>
      </w:tr>
      <w:tr w:rsidR="00715108" w14:paraId="474EA90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4B10D" w14:textId="77777777" w:rsidR="00715108" w:rsidRPr="00DB1C4F" w:rsidRDefault="00DB1C4F" w:rsidP="00884A08">
            <w:pPr>
              <w:tabs>
                <w:tab w:val="left" w:pos="525"/>
              </w:tabs>
              <w:spacing w:before="60" w:after="60"/>
              <w:rPr>
                <w:b/>
                <w:iCs/>
                <w:lang w:eastAsia="zh-CN"/>
              </w:rPr>
            </w:pPr>
            <w:r>
              <w:rPr>
                <w:b/>
                <w:iCs/>
                <w:lang w:eastAsia="zh-CN"/>
              </w:rPr>
              <w:t>(1)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93909" w14:textId="77777777" w:rsidR="00715108" w:rsidRPr="00DB1C4F" w:rsidRDefault="00BF1EB0" w:rsidP="009154CA">
            <w:pPr>
              <w:spacing w:before="60" w:after="60"/>
              <w:rPr>
                <w:b/>
                <w:iCs/>
              </w:rPr>
            </w:pPr>
            <w:r>
              <w:rPr>
                <w:b/>
                <w:iCs/>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DC4AB" w14:textId="77777777" w:rsidR="00715108" w:rsidRDefault="00A46D01" w:rsidP="009154CA">
            <w:pPr>
              <w:spacing w:before="60" w:after="60"/>
              <w:jc w:val="right"/>
              <w:rPr>
                <w:lang w:eastAsia="zh-CN"/>
              </w:rPr>
            </w:pPr>
            <w:r>
              <w:rPr>
                <w:lang w:eastAsia="zh-CN"/>
              </w:rPr>
              <w:t>Para 315</w:t>
            </w:r>
          </w:p>
        </w:tc>
      </w:tr>
      <w:tr w:rsidR="00715108" w14:paraId="16F5AA5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6DC14" w14:textId="77777777" w:rsidR="00715108" w:rsidRPr="005E6BA2" w:rsidRDefault="005E6BA2" w:rsidP="00884A08">
            <w:pPr>
              <w:tabs>
                <w:tab w:val="left" w:pos="525"/>
              </w:tabs>
              <w:spacing w:before="60" w:after="60"/>
              <w:rPr>
                <w:b/>
                <w:iCs/>
                <w:lang w:eastAsia="zh-CN"/>
              </w:rPr>
            </w:pPr>
            <w:r>
              <w:rPr>
                <w:b/>
                <w:iCs/>
                <w:lang w:eastAsia="zh-CN"/>
              </w:rPr>
              <w:t>(2)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5B05A" w14:textId="77777777" w:rsidR="00715108" w:rsidRPr="005E6BA2" w:rsidRDefault="005E6BA2" w:rsidP="009154CA">
            <w:pPr>
              <w:spacing w:before="60" w:after="60"/>
              <w:rPr>
                <w:b/>
                <w:iCs/>
              </w:rPr>
            </w:pPr>
            <w:r>
              <w:rPr>
                <w:b/>
                <w:iCs/>
              </w:rPr>
              <w:t>Is illegality “analytically irrelevant”?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B324D" w14:textId="77777777" w:rsidR="00715108" w:rsidRDefault="00ED6A68" w:rsidP="009154CA">
            <w:pPr>
              <w:spacing w:before="60" w:after="60"/>
              <w:jc w:val="right"/>
              <w:rPr>
                <w:lang w:eastAsia="zh-CN"/>
              </w:rPr>
            </w:pPr>
            <w:r>
              <w:rPr>
                <w:lang w:eastAsia="zh-CN"/>
              </w:rPr>
              <w:t>Para 319</w:t>
            </w:r>
          </w:p>
        </w:tc>
      </w:tr>
      <w:tr w:rsidR="005E6BA2" w14:paraId="2A3C4D19"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564F5" w14:textId="77777777" w:rsidR="005E6BA2" w:rsidRPr="005E6BA2" w:rsidRDefault="006125C9" w:rsidP="00884A08">
            <w:pPr>
              <w:tabs>
                <w:tab w:val="left" w:pos="525"/>
              </w:tabs>
              <w:spacing w:before="60" w:after="60"/>
              <w:rPr>
                <w:b/>
                <w:iCs/>
                <w:lang w:eastAsia="zh-CN"/>
              </w:rPr>
            </w:pPr>
            <w:r>
              <w:rPr>
                <w:b/>
                <w:iCs/>
                <w:lang w:eastAsia="zh-CN"/>
              </w:rPr>
              <w:t>(3)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F0D88" w14:textId="77777777" w:rsidR="005E6BA2" w:rsidRPr="005E6BA2" w:rsidRDefault="006125C9" w:rsidP="009154CA">
            <w:pPr>
              <w:spacing w:before="60" w:after="60"/>
              <w:rPr>
                <w:b/>
                <w:iCs/>
              </w:rPr>
            </w:pPr>
            <w:r>
              <w:rPr>
                <w:b/>
                <w:iCs/>
              </w:rPr>
              <w:t>The significance of the settlement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6DDEB" w14:textId="77777777" w:rsidR="005E6BA2" w:rsidRDefault="0079136A" w:rsidP="009154CA">
            <w:pPr>
              <w:spacing w:before="60" w:after="60"/>
              <w:jc w:val="right"/>
              <w:rPr>
                <w:lang w:eastAsia="zh-CN"/>
              </w:rPr>
            </w:pPr>
            <w:r>
              <w:rPr>
                <w:lang w:eastAsia="zh-CN"/>
              </w:rPr>
              <w:t>Para 324</w:t>
            </w:r>
          </w:p>
        </w:tc>
      </w:tr>
      <w:tr w:rsidR="005E6BA2" w14:paraId="4DB2753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691EB" w14:textId="77777777" w:rsidR="005E6BA2" w:rsidRPr="005E6BA2" w:rsidRDefault="006125C9" w:rsidP="00884A08">
            <w:pPr>
              <w:tabs>
                <w:tab w:val="left" w:pos="525"/>
              </w:tabs>
              <w:spacing w:before="60" w:after="60"/>
              <w:rPr>
                <w:b/>
                <w:iCs/>
                <w:lang w:eastAsia="zh-CN"/>
              </w:rPr>
            </w:pPr>
            <w:r>
              <w:rPr>
                <w:b/>
                <w:iCs/>
                <w:lang w:eastAsia="zh-CN"/>
              </w:rPr>
              <w:t>(4)</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8DC69" w14:textId="77777777" w:rsidR="005E6BA2" w:rsidRPr="005E6BA2" w:rsidRDefault="0022669F" w:rsidP="009154CA">
            <w:pPr>
              <w:spacing w:before="60" w:after="60"/>
              <w:rPr>
                <w:b/>
                <w:iCs/>
              </w:rPr>
            </w:pPr>
            <w:r>
              <w:rPr>
                <w:b/>
                <w:iCs/>
              </w:rPr>
              <w:t>Different types of illegality alleged by Pakistan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C5B2B" w14:textId="77777777" w:rsidR="005E6BA2" w:rsidRDefault="005C6AED" w:rsidP="009154CA">
            <w:pPr>
              <w:spacing w:before="60" w:after="60"/>
              <w:jc w:val="right"/>
              <w:rPr>
                <w:lang w:eastAsia="zh-CN"/>
              </w:rPr>
            </w:pPr>
            <w:r>
              <w:rPr>
                <w:lang w:eastAsia="zh-CN"/>
              </w:rPr>
              <w:t>Para 327</w:t>
            </w:r>
          </w:p>
        </w:tc>
      </w:tr>
      <w:tr w:rsidR="005E6BA2" w14:paraId="2961F9C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7645E" w14:textId="77777777" w:rsidR="005E6BA2" w:rsidRPr="0022669F" w:rsidRDefault="0022669F" w:rsidP="00884A08">
            <w:pPr>
              <w:tabs>
                <w:tab w:val="left" w:pos="525"/>
              </w:tabs>
              <w:spacing w:before="60" w:after="60"/>
              <w:rPr>
                <w:b/>
                <w:i/>
                <w:lang w:eastAsia="zh-CN"/>
              </w:rPr>
            </w:pPr>
            <w:r>
              <w:rPr>
                <w:b/>
                <w:i/>
                <w:lang w:eastAsia="zh-CN"/>
              </w:rPr>
              <w:t>(a)</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25C7E" w14:textId="77777777" w:rsidR="005E6BA2" w:rsidRPr="0022669F" w:rsidRDefault="0022669F" w:rsidP="009154CA">
            <w:pPr>
              <w:spacing w:before="60" w:after="60"/>
              <w:rPr>
                <w:b/>
                <w:i/>
              </w:rPr>
            </w:pPr>
            <w:r>
              <w:rPr>
                <w:b/>
                <w:i/>
              </w:rPr>
              <w:t>Introduction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3084A" w14:textId="77777777" w:rsidR="005E6BA2" w:rsidRDefault="005C6AED" w:rsidP="009154CA">
            <w:pPr>
              <w:spacing w:before="60" w:after="60"/>
              <w:jc w:val="right"/>
              <w:rPr>
                <w:lang w:eastAsia="zh-CN"/>
              </w:rPr>
            </w:pPr>
            <w:r>
              <w:rPr>
                <w:lang w:eastAsia="zh-CN"/>
              </w:rPr>
              <w:t>Para 327</w:t>
            </w:r>
          </w:p>
        </w:tc>
      </w:tr>
      <w:tr w:rsidR="005E6BA2" w14:paraId="7E1BAE7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7A9D9" w14:textId="77777777" w:rsidR="005E6BA2" w:rsidRPr="0022669F" w:rsidRDefault="0022669F" w:rsidP="00884A08">
            <w:pPr>
              <w:tabs>
                <w:tab w:val="left" w:pos="525"/>
              </w:tabs>
              <w:spacing w:before="60" w:after="60"/>
              <w:rPr>
                <w:b/>
                <w:i/>
                <w:lang w:eastAsia="zh-CN"/>
              </w:rPr>
            </w:pPr>
            <w:r>
              <w:rPr>
                <w:b/>
                <w:i/>
                <w:lang w:eastAsia="zh-CN"/>
              </w:rPr>
              <w:t>(b)</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BB4E9" w14:textId="77777777" w:rsidR="005E6BA2" w:rsidRPr="0022669F" w:rsidRDefault="0022669F" w:rsidP="009154CA">
            <w:pPr>
              <w:spacing w:before="60" w:after="60"/>
              <w:rPr>
                <w:b/>
                <w:i/>
              </w:rPr>
            </w:pPr>
            <w:r>
              <w:rPr>
                <w:b/>
                <w:i/>
              </w:rPr>
              <w:t>The Indian Independence Act 1947</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828A3" w14:textId="77777777" w:rsidR="005E6BA2" w:rsidRDefault="00457983" w:rsidP="009154CA">
            <w:pPr>
              <w:spacing w:before="60" w:after="60"/>
              <w:jc w:val="right"/>
              <w:rPr>
                <w:lang w:eastAsia="zh-CN"/>
              </w:rPr>
            </w:pPr>
            <w:r>
              <w:rPr>
                <w:lang w:eastAsia="zh-CN"/>
              </w:rPr>
              <w:t>Para 330</w:t>
            </w:r>
          </w:p>
        </w:tc>
      </w:tr>
      <w:tr w:rsidR="00554C62" w14:paraId="290F6F82"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B605" w14:textId="77777777" w:rsidR="00554C62" w:rsidRDefault="00554C62" w:rsidP="00884A08">
            <w:pPr>
              <w:tabs>
                <w:tab w:val="left" w:pos="525"/>
              </w:tabs>
              <w:spacing w:before="60" w:after="60"/>
              <w:rPr>
                <w:b/>
                <w:i/>
                <w:lang w:eastAsia="zh-CN"/>
              </w:rPr>
            </w:pPr>
            <w:r>
              <w:rPr>
                <w:b/>
                <w:i/>
                <w:lang w:eastAsia="zh-CN"/>
              </w:rPr>
              <w:t>(c)</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38681" w14:textId="77777777" w:rsidR="00554C62" w:rsidRDefault="00554C62" w:rsidP="009154CA">
            <w:pPr>
              <w:spacing w:before="60" w:after="60"/>
              <w:rPr>
                <w:b/>
                <w:i/>
              </w:rPr>
            </w:pPr>
            <w:r>
              <w:rPr>
                <w:b/>
                <w:i/>
              </w:rPr>
              <w:t>The Standstill Agreement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BCE8B" w14:textId="77777777" w:rsidR="00554C62" w:rsidRDefault="00457983" w:rsidP="009154CA">
            <w:pPr>
              <w:spacing w:before="60" w:after="60"/>
              <w:jc w:val="right"/>
              <w:rPr>
                <w:lang w:eastAsia="zh-CN"/>
              </w:rPr>
            </w:pPr>
            <w:r>
              <w:rPr>
                <w:lang w:eastAsia="zh-CN"/>
              </w:rPr>
              <w:t>Para 332</w:t>
            </w:r>
          </w:p>
        </w:tc>
      </w:tr>
      <w:tr w:rsidR="00554C62" w14:paraId="7754125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58CDE" w14:textId="77777777" w:rsidR="00554C62" w:rsidRDefault="00554C62" w:rsidP="00884A08">
            <w:pPr>
              <w:tabs>
                <w:tab w:val="left" w:pos="525"/>
              </w:tabs>
              <w:spacing w:before="60" w:after="60"/>
              <w:rPr>
                <w:b/>
                <w:i/>
                <w:lang w:eastAsia="zh-CN"/>
              </w:rPr>
            </w:pPr>
            <w:r>
              <w:rPr>
                <w:b/>
                <w:i/>
                <w:lang w:eastAsia="zh-CN"/>
              </w:rPr>
              <w:t>(d)</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F4CB" w14:textId="77777777" w:rsidR="00554C62" w:rsidRDefault="00554C62" w:rsidP="009154CA">
            <w:pPr>
              <w:spacing w:before="60" w:after="60"/>
              <w:rPr>
                <w:b/>
                <w:i/>
              </w:rPr>
            </w:pPr>
            <w:r>
              <w:rPr>
                <w:b/>
                <w:i/>
              </w:rPr>
              <w:t>The Charter of the United Nations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0E8E9" w14:textId="77777777" w:rsidR="00554C62" w:rsidRDefault="00025C95" w:rsidP="00025C95">
            <w:pPr>
              <w:spacing w:before="60" w:after="60"/>
              <w:jc w:val="right"/>
              <w:rPr>
                <w:lang w:eastAsia="zh-CN"/>
              </w:rPr>
            </w:pPr>
            <w:r>
              <w:rPr>
                <w:lang w:eastAsia="zh-CN"/>
              </w:rPr>
              <w:t>Para 334</w:t>
            </w:r>
          </w:p>
        </w:tc>
      </w:tr>
      <w:tr w:rsidR="00554C62" w14:paraId="4F7CE295"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FF8A1" w14:textId="77777777" w:rsidR="00554C62" w:rsidRPr="00F64A75" w:rsidRDefault="00F64A75" w:rsidP="00F64A75">
            <w:pPr>
              <w:tabs>
                <w:tab w:val="left" w:pos="435"/>
              </w:tabs>
              <w:spacing w:before="60" w:after="60"/>
              <w:rPr>
                <w:b/>
                <w:iCs/>
                <w:lang w:eastAsia="zh-CN"/>
              </w:rPr>
            </w:pPr>
            <w:r>
              <w:rPr>
                <w:b/>
                <w:iCs/>
                <w:lang w:eastAsia="zh-CN"/>
              </w:rPr>
              <w:t>(5)</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229B4" w14:textId="77777777" w:rsidR="00554C62" w:rsidRPr="00F64A75" w:rsidRDefault="00F64A75" w:rsidP="009154CA">
            <w:pPr>
              <w:spacing w:before="60" w:after="60"/>
              <w:rPr>
                <w:b/>
                <w:iCs/>
              </w:rPr>
            </w:pPr>
            <w:r>
              <w:rPr>
                <w:b/>
                <w:iCs/>
              </w:rPr>
              <w:t>Overall conclusion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6C9E9" w14:textId="77777777" w:rsidR="00554C62" w:rsidRDefault="0074729A" w:rsidP="009154CA">
            <w:pPr>
              <w:spacing w:before="60" w:after="60"/>
              <w:jc w:val="right"/>
              <w:rPr>
                <w:lang w:eastAsia="zh-CN"/>
              </w:rPr>
            </w:pPr>
            <w:r>
              <w:rPr>
                <w:lang w:eastAsia="zh-CN"/>
              </w:rPr>
              <w:t>Para 339</w:t>
            </w:r>
          </w:p>
        </w:tc>
      </w:tr>
      <w:tr w:rsidR="00554C62" w14:paraId="7AD82606"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608C" w14:textId="77777777" w:rsidR="00554C62" w:rsidRPr="00F64A75" w:rsidRDefault="00930C87" w:rsidP="00884A08">
            <w:pPr>
              <w:tabs>
                <w:tab w:val="left" w:pos="525"/>
              </w:tabs>
              <w:spacing w:before="60" w:after="60"/>
              <w:rPr>
                <w:b/>
                <w:iCs/>
                <w:lang w:eastAsia="zh-CN"/>
              </w:rPr>
            </w:pPr>
            <w:r>
              <w:rPr>
                <w:b/>
                <w:iCs/>
                <w:lang w:eastAsia="zh-CN"/>
              </w:rPr>
              <w:t>M</w:t>
            </w:r>
            <w:r w:rsidR="00F64A75">
              <w:rPr>
                <w:b/>
                <w:iCs/>
                <w:lang w:eastAsia="zh-CN"/>
              </w:rPr>
              <w:t>.</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9C58" w14:textId="77777777" w:rsidR="00554C62" w:rsidRPr="00F64A75" w:rsidRDefault="00F64A75" w:rsidP="009154CA">
            <w:pPr>
              <w:spacing w:before="60" w:after="60"/>
              <w:rPr>
                <w:b/>
                <w:iCs/>
              </w:rPr>
            </w:pPr>
            <w:r>
              <w:rPr>
                <w:b/>
                <w:iCs/>
              </w:rPr>
              <w:t>CONCLUSIONS AND DISPOSITION</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3D2BA" w14:textId="77777777" w:rsidR="00554C62" w:rsidRDefault="00EC2292" w:rsidP="009154CA">
            <w:pPr>
              <w:spacing w:before="60" w:after="60"/>
              <w:jc w:val="right"/>
              <w:rPr>
                <w:lang w:eastAsia="zh-CN"/>
              </w:rPr>
            </w:pPr>
            <w:r>
              <w:rPr>
                <w:lang w:eastAsia="zh-CN"/>
              </w:rPr>
              <w:t>Para 340</w:t>
            </w:r>
          </w:p>
        </w:tc>
      </w:tr>
      <w:tr w:rsidR="00662472" w14:paraId="5F60B8BF" w14:textId="77777777" w:rsidTr="00662472">
        <w:tc>
          <w:tcPr>
            <w:tcW w:w="82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37A924" w14:textId="77777777" w:rsidR="00662472" w:rsidRDefault="00662472" w:rsidP="00662472">
            <w:pPr>
              <w:spacing w:before="60" w:after="60"/>
              <w:jc w:val="center"/>
              <w:rPr>
                <w:lang w:eastAsia="zh-CN"/>
              </w:rPr>
            </w:pPr>
            <w:r>
              <w:rPr>
                <w:rFonts w:ascii="Arial" w:eastAsia="Arial" w:hAnsi="Arial"/>
                <w:b/>
                <w:spacing w:val="20"/>
                <w:sz w:val="20"/>
                <w:lang w:eastAsia="zh-CN"/>
              </w:rPr>
              <w:t>ANNEXES</w:t>
            </w:r>
          </w:p>
        </w:tc>
      </w:tr>
      <w:tr w:rsidR="00662472" w14:paraId="0DB78F2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C5C18" w14:textId="77777777" w:rsidR="00662472" w:rsidRDefault="000C3F30" w:rsidP="009154CA">
            <w:pPr>
              <w:spacing w:before="60" w:after="60"/>
              <w:rPr>
                <w:b/>
                <w:iCs/>
                <w:lang w:eastAsia="zh-CN"/>
              </w:rPr>
            </w:pPr>
            <w:r>
              <w:rPr>
                <w:b/>
                <w:iCs/>
                <w:lang w:eastAsia="zh-CN"/>
              </w:rPr>
              <w:t>Annex 1</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5BCFE" w14:textId="77777777" w:rsidR="00662472" w:rsidRDefault="000C3F30" w:rsidP="009154CA">
            <w:pPr>
              <w:spacing w:before="60" w:after="60"/>
              <w:rPr>
                <w:b/>
                <w:bCs/>
                <w:iCs/>
              </w:rPr>
            </w:pPr>
            <w:r>
              <w:rPr>
                <w:b/>
                <w:bCs/>
                <w:iCs/>
              </w:rPr>
              <w:t>GLOSSARY OF NAMES AND TERMS USED IN THE JUDGMENT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01F8F" w14:textId="77777777" w:rsidR="00662472" w:rsidRDefault="00FA4A43" w:rsidP="009154CA">
            <w:pPr>
              <w:spacing w:before="60" w:after="60"/>
              <w:jc w:val="right"/>
              <w:rPr>
                <w:lang w:eastAsia="zh-CN"/>
              </w:rPr>
            </w:pPr>
            <w:r>
              <w:rPr>
                <w:lang w:eastAsia="zh-CN"/>
              </w:rPr>
              <w:t xml:space="preserve">Para 1 fn </w:t>
            </w:r>
            <w:r w:rsidR="004901A4">
              <w:rPr>
                <w:lang w:eastAsia="zh-CN"/>
              </w:rPr>
              <w:t>1</w:t>
            </w:r>
          </w:p>
        </w:tc>
      </w:tr>
      <w:tr w:rsidR="00662472" w14:paraId="5AB4AF03"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AF18E" w14:textId="77777777" w:rsidR="00662472" w:rsidRDefault="009B03E2" w:rsidP="009154CA">
            <w:pPr>
              <w:spacing w:before="60" w:after="60"/>
              <w:rPr>
                <w:b/>
                <w:iCs/>
                <w:lang w:eastAsia="zh-CN"/>
              </w:rPr>
            </w:pPr>
            <w:r>
              <w:rPr>
                <w:b/>
                <w:iCs/>
                <w:lang w:eastAsia="zh-CN"/>
              </w:rPr>
              <w:t>Annex 2</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A523" w14:textId="77777777" w:rsidR="00662472" w:rsidRDefault="00107AA2" w:rsidP="009154CA">
            <w:pPr>
              <w:spacing w:before="60" w:after="60"/>
              <w:rPr>
                <w:b/>
                <w:bCs/>
                <w:iCs/>
              </w:rPr>
            </w:pPr>
            <w:r>
              <w:rPr>
                <w:b/>
                <w:bCs/>
                <w:iCs/>
              </w:rPr>
              <w:t>MAP SHOWING THE POSITION OF HYDERABAD IN 1948</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8ED4F" w14:textId="77777777" w:rsidR="00662472" w:rsidRDefault="00FA4A43" w:rsidP="009154CA">
            <w:pPr>
              <w:spacing w:before="60" w:after="60"/>
              <w:jc w:val="right"/>
              <w:rPr>
                <w:lang w:eastAsia="zh-CN"/>
              </w:rPr>
            </w:pPr>
            <w:r>
              <w:rPr>
                <w:lang w:eastAsia="zh-CN"/>
              </w:rPr>
              <w:t>Para 68</w:t>
            </w:r>
          </w:p>
        </w:tc>
      </w:tr>
      <w:tr w:rsidR="00F0401F" w14:paraId="26D98DBD"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AF296" w14:textId="77777777" w:rsidR="00F0401F" w:rsidRDefault="00F0401F" w:rsidP="009154CA">
            <w:pPr>
              <w:spacing w:before="60" w:after="60"/>
              <w:rPr>
                <w:b/>
                <w:iCs/>
                <w:lang w:eastAsia="zh-CN"/>
              </w:rPr>
            </w:pPr>
            <w:r>
              <w:rPr>
                <w:b/>
                <w:iCs/>
                <w:lang w:eastAsia="zh-CN"/>
              </w:rPr>
              <w:t>Annex 3</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93EEF" w14:textId="77777777" w:rsidR="00F0401F" w:rsidRDefault="00F0401F" w:rsidP="009154CA">
            <w:pPr>
              <w:spacing w:before="60" w:after="60"/>
              <w:rPr>
                <w:b/>
                <w:bCs/>
                <w:iCs/>
              </w:rPr>
            </w:pPr>
            <w:r>
              <w:rPr>
                <w:b/>
                <w:bCs/>
                <w:iCs/>
              </w:rPr>
              <w:t xml:space="preserve">TRANSACTIONS ON THE HYDERABAD </w:t>
            </w:r>
            <w:r w:rsidR="00FA4AFA">
              <w:rPr>
                <w:b/>
                <w:bCs/>
                <w:iCs/>
              </w:rPr>
              <w:t>STATE BANK</w:t>
            </w:r>
            <w:r>
              <w:rPr>
                <w:b/>
                <w:bCs/>
                <w:iCs/>
              </w:rPr>
              <w:t xml:space="preserve"> ACCOUNT, THE SECOND ACCOUNT AND THE RAHIMTOOLA ACCOUNT</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01384" w14:textId="77777777" w:rsidR="00F0401F" w:rsidRDefault="00F34D77" w:rsidP="001F4696">
            <w:pPr>
              <w:spacing w:before="60" w:after="60"/>
              <w:jc w:val="right"/>
              <w:rPr>
                <w:lang w:eastAsia="zh-CN"/>
              </w:rPr>
            </w:pPr>
            <w:r>
              <w:rPr>
                <w:lang w:eastAsia="zh-CN"/>
              </w:rPr>
              <w:t>Para 91</w:t>
            </w:r>
          </w:p>
        </w:tc>
      </w:tr>
      <w:tr w:rsidR="00F77CDF" w14:paraId="653B200B" w14:textId="77777777" w:rsidTr="00F77CDF">
        <w:tc>
          <w:tcPr>
            <w:tcW w:w="829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31F5CE3" w14:textId="77777777" w:rsidR="00F77CDF" w:rsidRDefault="00F77CDF" w:rsidP="00F77CDF">
            <w:pPr>
              <w:spacing w:before="60" w:after="60"/>
              <w:jc w:val="center"/>
              <w:rPr>
                <w:lang w:eastAsia="zh-CN"/>
              </w:rPr>
            </w:pPr>
            <w:r>
              <w:rPr>
                <w:rFonts w:ascii="Arial" w:eastAsia="Arial" w:hAnsi="Arial"/>
                <w:b/>
                <w:spacing w:val="20"/>
                <w:sz w:val="20"/>
                <w:lang w:eastAsia="zh-CN"/>
              </w:rPr>
              <w:t>TABLES</w:t>
            </w:r>
          </w:p>
        </w:tc>
      </w:tr>
      <w:tr w:rsidR="00FB3A55" w14:paraId="0577DAB4"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92CF4" w14:textId="77777777" w:rsidR="00FB3A55" w:rsidRPr="00717412" w:rsidRDefault="00FB3A55" w:rsidP="009154CA">
            <w:pPr>
              <w:spacing w:before="60" w:after="60"/>
              <w:rPr>
                <w:iCs/>
                <w:lang w:eastAsia="zh-CN"/>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E46CA" w14:textId="77777777" w:rsidR="00FB3A55" w:rsidRPr="00717412" w:rsidRDefault="00CD1A11" w:rsidP="009154CA">
            <w:pPr>
              <w:spacing w:before="60" w:after="60"/>
              <w:rPr>
                <w:iCs/>
              </w:rPr>
            </w:pPr>
            <w:r w:rsidRPr="00717412">
              <w:rPr>
                <w:iCs/>
                <w:u w:val="single"/>
              </w:rPr>
              <w:t>Table 1</w:t>
            </w:r>
            <w:r w:rsidRPr="00717412">
              <w:rPr>
                <w:iCs/>
              </w:rPr>
              <w:t>: Witness evidence given under Civil Evidence Act Notices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E650F" w14:textId="77777777" w:rsidR="00FB3A55" w:rsidRDefault="00CD1A11" w:rsidP="009154CA">
            <w:pPr>
              <w:spacing w:before="60" w:after="60"/>
              <w:jc w:val="right"/>
              <w:rPr>
                <w:lang w:eastAsia="zh-CN"/>
              </w:rPr>
            </w:pPr>
            <w:r>
              <w:rPr>
                <w:lang w:eastAsia="zh-CN"/>
              </w:rPr>
              <w:t>Para 40</w:t>
            </w:r>
          </w:p>
        </w:tc>
      </w:tr>
      <w:tr w:rsidR="00FB3A55" w14:paraId="535C78EC" w14:textId="77777777" w:rsidTr="00FA4A43">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DCE3B" w14:textId="77777777" w:rsidR="00FB3A55" w:rsidRPr="00717412" w:rsidRDefault="00FB3A55" w:rsidP="009154CA">
            <w:pPr>
              <w:spacing w:before="60" w:after="60"/>
              <w:rPr>
                <w:iCs/>
                <w:lang w:eastAsia="zh-CN"/>
              </w:rPr>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D9908" w14:textId="77777777" w:rsidR="00FB3A55" w:rsidRPr="00717412" w:rsidRDefault="00814A76" w:rsidP="009154CA">
            <w:pPr>
              <w:spacing w:before="60" w:after="60"/>
              <w:rPr>
                <w:iCs/>
              </w:rPr>
            </w:pPr>
            <w:r w:rsidRPr="00717412">
              <w:rPr>
                <w:iCs/>
                <w:u w:val="single"/>
              </w:rPr>
              <w:t>Table 2</w:t>
            </w:r>
            <w:r w:rsidRPr="00717412">
              <w:rPr>
                <w:iCs/>
              </w:rPr>
              <w:t>: Documents put in under Civil Evidence Act Notices</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9B74" w14:textId="77777777" w:rsidR="00FB3A55" w:rsidRDefault="00814A76" w:rsidP="009154CA">
            <w:pPr>
              <w:spacing w:before="60" w:after="60"/>
              <w:jc w:val="right"/>
              <w:rPr>
                <w:lang w:eastAsia="zh-CN"/>
              </w:rPr>
            </w:pPr>
            <w:r>
              <w:rPr>
                <w:lang w:eastAsia="zh-CN"/>
              </w:rPr>
              <w:t>Para 46</w:t>
            </w:r>
          </w:p>
        </w:tc>
      </w:tr>
    </w:tbl>
    <w:p w14:paraId="1D97D007" w14:textId="77777777" w:rsidR="000E78C3" w:rsidRDefault="000E78C3">
      <w:pPr>
        <w:pStyle w:val="CoverDesc"/>
      </w:pPr>
    </w:p>
    <w:p w14:paraId="64144B4C" w14:textId="77777777" w:rsidR="000E78C3" w:rsidRDefault="000D3EFA" w:rsidP="00BA495E">
      <w:pPr>
        <w:keepNext/>
        <w:suppressAutoHyphens w:val="0"/>
        <w:spacing w:after="160"/>
        <w:rPr>
          <w:b/>
        </w:rPr>
      </w:pPr>
      <w:r>
        <w:rPr>
          <w:b/>
        </w:rPr>
        <w:br w:type="page"/>
      </w:r>
      <w:r w:rsidR="00166C1A">
        <w:rPr>
          <w:b/>
        </w:rPr>
        <w:lastRenderedPageBreak/>
        <w:t>Mr Justice Marcus Smith:</w:t>
      </w:r>
    </w:p>
    <w:p w14:paraId="799989A2" w14:textId="77777777" w:rsidR="000E78C3" w:rsidRDefault="000E78C3" w:rsidP="00BA495E">
      <w:pPr>
        <w:keepNext/>
        <w:spacing w:after="240"/>
      </w:pPr>
    </w:p>
    <w:p w14:paraId="124202B1" w14:textId="77777777" w:rsidR="00D1053A" w:rsidRPr="00B81603" w:rsidRDefault="00D31E08" w:rsidP="00BA495E">
      <w:pPr>
        <w:keepNext/>
        <w:tabs>
          <w:tab w:val="left" w:pos="567"/>
        </w:tabs>
        <w:autoSpaceDE w:val="0"/>
        <w:spacing w:before="240" w:after="240"/>
        <w:jc w:val="both"/>
        <w:rPr>
          <w:b/>
          <w:lang w:val="en-US"/>
        </w:rPr>
      </w:pPr>
      <w:r>
        <w:rPr>
          <w:b/>
          <w:lang w:val="en-US"/>
        </w:rPr>
        <w:t>A.</w:t>
      </w:r>
      <w:r>
        <w:rPr>
          <w:b/>
          <w:lang w:val="en-US"/>
        </w:rPr>
        <w:tab/>
      </w:r>
      <w:r w:rsidR="000E18C9">
        <w:rPr>
          <w:b/>
          <w:lang w:val="en-US"/>
        </w:rPr>
        <w:t>INTRODUCTION</w:t>
      </w:r>
      <w:bookmarkStart w:id="1" w:name="_Hlk509249848"/>
    </w:p>
    <w:p w14:paraId="096DF714" w14:textId="77777777" w:rsidR="00B572E1" w:rsidRPr="00B572E1" w:rsidRDefault="00B572E1" w:rsidP="00BA495E">
      <w:pPr>
        <w:keepNext/>
        <w:tabs>
          <w:tab w:val="left" w:pos="567"/>
        </w:tabs>
        <w:autoSpaceDE w:val="0"/>
        <w:spacing w:before="240" w:after="240"/>
        <w:jc w:val="both"/>
        <w:rPr>
          <w:b/>
          <w:bCs/>
        </w:rPr>
      </w:pPr>
      <w:r w:rsidRPr="00B572E1">
        <w:rPr>
          <w:b/>
          <w:bCs/>
        </w:rPr>
        <w:t>(1)</w:t>
      </w:r>
      <w:r w:rsidRPr="00B572E1">
        <w:rPr>
          <w:b/>
          <w:bCs/>
        </w:rPr>
        <w:tab/>
        <w:t>Overview</w:t>
      </w:r>
    </w:p>
    <w:p w14:paraId="5AAC6546" w14:textId="77777777" w:rsidR="006166A3" w:rsidRDefault="00B81603" w:rsidP="007E67DC">
      <w:pPr>
        <w:numPr>
          <w:ilvl w:val="0"/>
          <w:numId w:val="2"/>
        </w:numPr>
        <w:autoSpaceDE w:val="0"/>
        <w:spacing w:before="240" w:after="240"/>
        <w:jc w:val="both"/>
      </w:pPr>
      <w:r>
        <w:t xml:space="preserve">On 20 September 1948, </w:t>
      </w:r>
      <w:r w:rsidR="00295325">
        <w:t xml:space="preserve">Nawab </w:t>
      </w:r>
      <w:r w:rsidR="007B2A64">
        <w:t>Moin</w:t>
      </w:r>
      <w:r w:rsidR="00503A2D">
        <w:t xml:space="preserve"> Nawaz Jung (</w:t>
      </w:r>
      <w:r w:rsidR="00503A2D">
        <w:rPr>
          <w:b/>
          <w:bCs/>
        </w:rPr>
        <w:t>Moin</w:t>
      </w:r>
      <w:r w:rsidR="00503A2D">
        <w:t>)</w:t>
      </w:r>
      <w:r w:rsidR="00503A2D">
        <w:rPr>
          <w:rStyle w:val="FootnoteReference"/>
        </w:rPr>
        <w:footnoteReference w:id="2"/>
      </w:r>
      <w:r w:rsidR="007B2A64">
        <w:t xml:space="preserve"> caused </w:t>
      </w:r>
      <w:r w:rsidR="00CB228E">
        <w:t>the sum o</w:t>
      </w:r>
      <w:r w:rsidR="002C365D">
        <w:t>f</w:t>
      </w:r>
      <w:r w:rsidR="00CB228E">
        <w:t xml:space="preserve"> £</w:t>
      </w:r>
      <w:r w:rsidR="002C365D">
        <w:t>1,007,940</w:t>
      </w:r>
      <w:r w:rsidR="00042A8A">
        <w:t xml:space="preserve"> </w:t>
      </w:r>
      <w:r w:rsidR="002C365D">
        <w:t>9</w:t>
      </w:r>
      <w:r w:rsidR="00042A8A">
        <w:t>s 0d</w:t>
      </w:r>
      <w:r w:rsidR="00CB228E">
        <w:t xml:space="preserve"> to be transferred from an account </w:t>
      </w:r>
      <w:r w:rsidR="00A735BF">
        <w:t xml:space="preserve">of the Government of Hyderabad held at </w:t>
      </w:r>
      <w:r w:rsidR="00346EE4">
        <w:t xml:space="preserve">Westminster Bank (the </w:t>
      </w:r>
      <w:r w:rsidR="00346EE4">
        <w:rPr>
          <w:b/>
          <w:bCs/>
        </w:rPr>
        <w:t>Bank</w:t>
      </w:r>
      <w:r w:rsidR="002422A0" w:rsidRPr="002422A0">
        <w:rPr>
          <w:rStyle w:val="FootnoteReference"/>
        </w:rPr>
        <w:footnoteReference w:id="3"/>
      </w:r>
      <w:r w:rsidR="00346EE4">
        <w:t>)</w:t>
      </w:r>
      <w:r w:rsidR="00346EE4">
        <w:rPr>
          <w:b/>
          <w:bCs/>
        </w:rPr>
        <w:t xml:space="preserve"> </w:t>
      </w:r>
      <w:r w:rsidR="00A735BF">
        <w:t xml:space="preserve">to an account </w:t>
      </w:r>
      <w:r w:rsidR="00346EE4">
        <w:t xml:space="preserve">in the name of </w:t>
      </w:r>
      <w:r w:rsidR="00014FA0">
        <w:t>Habib Ibrahim Ra</w:t>
      </w:r>
      <w:r w:rsidR="00D36B36">
        <w:t>himtoola (</w:t>
      </w:r>
      <w:r w:rsidR="00D36B36">
        <w:rPr>
          <w:b/>
          <w:bCs/>
        </w:rPr>
        <w:t>Rahimtoola</w:t>
      </w:r>
      <w:r w:rsidR="00D36B36">
        <w:t>)</w:t>
      </w:r>
      <w:r w:rsidR="00071FCD">
        <w:t>,</w:t>
      </w:r>
      <w:r w:rsidR="00D36B36">
        <w:t xml:space="preserve"> also at the Bank</w:t>
      </w:r>
      <w:r w:rsidR="006166A3">
        <w:t xml:space="preserve">. </w:t>
      </w:r>
      <w:r w:rsidR="003B7C5E">
        <w:t xml:space="preserve">I shall refer to this transaction as the </w:t>
      </w:r>
      <w:r w:rsidR="003B7C5E">
        <w:rPr>
          <w:b/>
          <w:bCs/>
        </w:rPr>
        <w:t>Transfer</w:t>
      </w:r>
      <w:r w:rsidR="003B7C5E">
        <w:t>.</w:t>
      </w:r>
      <w:r w:rsidR="003B7C5E">
        <w:rPr>
          <w:b/>
          <w:bCs/>
        </w:rPr>
        <w:t xml:space="preserve"> </w:t>
      </w:r>
      <w:r w:rsidR="009A5E56">
        <w:t xml:space="preserve">Until 17 September 1948, </w:t>
      </w:r>
      <w:r w:rsidR="006166A3">
        <w:t xml:space="preserve">Moin </w:t>
      </w:r>
      <w:r w:rsidR="009A5E56">
        <w:t xml:space="preserve">had been Finance Minister </w:t>
      </w:r>
      <w:r w:rsidR="008924CF">
        <w:t xml:space="preserve">and Minister for External Affairs </w:t>
      </w:r>
      <w:r w:rsidR="00362254">
        <w:t xml:space="preserve">for the Government of Hyderabad. His status </w:t>
      </w:r>
      <w:r w:rsidR="00362254">
        <w:rPr>
          <w:u w:val="single"/>
        </w:rPr>
        <w:t>after</w:t>
      </w:r>
      <w:r w:rsidR="00362254">
        <w:t xml:space="preserve"> 17 September </w:t>
      </w:r>
      <w:r w:rsidR="002A333F">
        <w:t>1948 is one of the many questions of fact and law that will have to be resolved in th</w:t>
      </w:r>
      <w:r w:rsidR="00C33CCB">
        <w:t>is</w:t>
      </w:r>
      <w:r w:rsidR="002A333F">
        <w:t xml:space="preserve"> Judgment.</w:t>
      </w:r>
      <w:r w:rsidR="007B0753">
        <w:t xml:space="preserve"> Equally, the authority of Moin to make this transfer is a matter </w:t>
      </w:r>
      <w:r w:rsidR="00361452">
        <w:t>of dispute</w:t>
      </w:r>
      <w:r w:rsidR="00F8616F">
        <w:t xml:space="preserve"> that will have to be considered</w:t>
      </w:r>
      <w:r w:rsidR="001E6909">
        <w:t xml:space="preserve"> and resolved</w:t>
      </w:r>
      <w:r w:rsidR="00361452">
        <w:t>.</w:t>
      </w:r>
    </w:p>
    <w:p w14:paraId="22B61250" w14:textId="77777777" w:rsidR="00F0135D" w:rsidRDefault="00CC086B" w:rsidP="007E67DC">
      <w:pPr>
        <w:numPr>
          <w:ilvl w:val="0"/>
          <w:numId w:val="2"/>
        </w:numPr>
        <w:autoSpaceDE w:val="0"/>
        <w:spacing w:before="240" w:after="240"/>
        <w:jc w:val="both"/>
      </w:pPr>
      <w:r>
        <w:t xml:space="preserve">I shall refer to the </w:t>
      </w:r>
      <w:r w:rsidR="00F8616F">
        <w:t>s</w:t>
      </w:r>
      <w:r>
        <w:t xml:space="preserve">tate of Hyderabad – in all its emanations – as </w:t>
      </w:r>
      <w:r>
        <w:rPr>
          <w:b/>
          <w:bCs/>
        </w:rPr>
        <w:t>Hyderabad</w:t>
      </w:r>
      <w:r>
        <w:t xml:space="preserve">. </w:t>
      </w:r>
      <w:r w:rsidR="00E40500">
        <w:t xml:space="preserve">It will, in due course, be necessary to consider Hyderabad’s status as a sovereign </w:t>
      </w:r>
      <w:r w:rsidR="00F8616F">
        <w:t>s</w:t>
      </w:r>
      <w:r w:rsidR="00E40500">
        <w:t>t</w:t>
      </w:r>
      <w:r w:rsidR="00665726">
        <w:t>ate and as a State of the Union of India (</w:t>
      </w:r>
      <w:r w:rsidR="00665726">
        <w:rPr>
          <w:b/>
          <w:bCs/>
        </w:rPr>
        <w:t>India</w:t>
      </w:r>
      <w:r w:rsidR="0028534A">
        <w:t xml:space="preserve"> or</w:t>
      </w:r>
      <w:r w:rsidR="001C7017">
        <w:t>,</w:t>
      </w:r>
      <w:r w:rsidR="0028534A">
        <w:t xml:space="preserve"> </w:t>
      </w:r>
      <w:r w:rsidR="001C7017">
        <w:t xml:space="preserve">if the context requires, </w:t>
      </w:r>
      <w:r w:rsidR="0028534A">
        <w:t xml:space="preserve">the </w:t>
      </w:r>
      <w:r w:rsidR="0028534A">
        <w:rPr>
          <w:b/>
          <w:bCs/>
        </w:rPr>
        <w:t>Union of India</w:t>
      </w:r>
      <w:r w:rsidR="0038223D" w:rsidRPr="0038223D">
        <w:rPr>
          <w:rStyle w:val="FootnoteReference"/>
        </w:rPr>
        <w:footnoteReference w:id="4"/>
      </w:r>
      <w:r w:rsidR="00665726">
        <w:t xml:space="preserve">). </w:t>
      </w:r>
      <w:r w:rsidR="002C64D8">
        <w:t xml:space="preserve">Where it </w:t>
      </w:r>
      <w:r w:rsidR="008F509D">
        <w:t>is necessary to differentiate between the different emanations</w:t>
      </w:r>
      <w:r w:rsidR="003C08F5">
        <w:t xml:space="preserve"> of Hyderabad</w:t>
      </w:r>
      <w:r w:rsidR="008F509D">
        <w:t xml:space="preserve">, </w:t>
      </w:r>
      <w:r w:rsidR="006C6F4E">
        <w:t>I do so: otherwise, I shall simply refer to Hyderabad.</w:t>
      </w:r>
    </w:p>
    <w:p w14:paraId="3DE93F69" w14:textId="77777777" w:rsidR="00F244CC" w:rsidRDefault="007B0753" w:rsidP="00F244CC">
      <w:pPr>
        <w:numPr>
          <w:ilvl w:val="0"/>
          <w:numId w:val="2"/>
        </w:numPr>
        <w:autoSpaceDE w:val="0"/>
        <w:spacing w:before="240" w:after="240"/>
        <w:jc w:val="both"/>
      </w:pPr>
      <w:r>
        <w:t xml:space="preserve">Rahimtoola </w:t>
      </w:r>
      <w:r w:rsidR="00361452">
        <w:t>was at th</w:t>
      </w:r>
      <w:r w:rsidR="00272E3C">
        <w:t xml:space="preserve">e time of the </w:t>
      </w:r>
      <w:r w:rsidR="003B7C5E">
        <w:t>T</w:t>
      </w:r>
      <w:r w:rsidR="00272E3C">
        <w:t xml:space="preserve">ransfer </w:t>
      </w:r>
      <w:r w:rsidR="00361452">
        <w:t xml:space="preserve">the High Commissioner </w:t>
      </w:r>
      <w:r w:rsidR="00087B4B">
        <w:t xml:space="preserve">to the United Kingdom </w:t>
      </w:r>
      <w:r w:rsidR="00361452">
        <w:t xml:space="preserve">for </w:t>
      </w:r>
      <w:r w:rsidR="001868A9">
        <w:t xml:space="preserve">the </w:t>
      </w:r>
      <w:r w:rsidR="006167CA">
        <w:t xml:space="preserve">Islamic Republic of </w:t>
      </w:r>
      <w:r w:rsidR="001868A9">
        <w:t>Pakistan</w:t>
      </w:r>
      <w:r w:rsidR="006167CA">
        <w:t xml:space="preserve"> (</w:t>
      </w:r>
      <w:r w:rsidR="006167CA">
        <w:rPr>
          <w:b/>
          <w:bCs/>
        </w:rPr>
        <w:t>Pakistan</w:t>
      </w:r>
      <w:r w:rsidR="00A946E9" w:rsidRPr="0038223D">
        <w:rPr>
          <w:rStyle w:val="FootnoteReference"/>
        </w:rPr>
        <w:footnoteReference w:id="5"/>
      </w:r>
      <w:r w:rsidR="006167CA">
        <w:t>)</w:t>
      </w:r>
      <w:r w:rsidR="00E57536">
        <w:t xml:space="preserve">, a position he held until </w:t>
      </w:r>
      <w:r w:rsidR="00927A7F">
        <w:t xml:space="preserve">early 1952, when he moved to hold other high office for Pakistan. </w:t>
      </w:r>
      <w:r w:rsidR="00FD69B1">
        <w:t xml:space="preserve">Whether the </w:t>
      </w:r>
      <w:r w:rsidR="003B7C5E">
        <w:t>T</w:t>
      </w:r>
      <w:r w:rsidR="00FD69B1">
        <w:t xml:space="preserve">ransfer was made to Rahimtoola </w:t>
      </w:r>
      <w:r w:rsidR="00FD69B1" w:rsidRPr="00FD69B1">
        <w:t>personally</w:t>
      </w:r>
      <w:r w:rsidR="00FD69B1">
        <w:t xml:space="preserve"> or to </w:t>
      </w:r>
      <w:r w:rsidR="00807412">
        <w:t>Rahi</w:t>
      </w:r>
      <w:r w:rsidR="0021086D">
        <w:t>m</w:t>
      </w:r>
      <w:r w:rsidR="00807412">
        <w:t>toola</w:t>
      </w:r>
      <w:r w:rsidR="00FD69B1">
        <w:t xml:space="preserve"> in his capacity as High Commissioner</w:t>
      </w:r>
      <w:r w:rsidR="00807412">
        <w:t xml:space="preserve"> is also a matter of controversy</w:t>
      </w:r>
      <w:r w:rsidR="00E0494A">
        <w:t>.</w:t>
      </w:r>
      <w:r w:rsidR="00F244CC">
        <w:t xml:space="preserve"> </w:t>
      </w:r>
    </w:p>
    <w:p w14:paraId="38326966" w14:textId="77777777" w:rsidR="00B6288F" w:rsidRDefault="00E0494A" w:rsidP="00F244CC">
      <w:pPr>
        <w:numPr>
          <w:ilvl w:val="0"/>
          <w:numId w:val="2"/>
        </w:numPr>
        <w:autoSpaceDE w:val="0"/>
        <w:spacing w:before="240" w:after="240"/>
        <w:jc w:val="both"/>
      </w:pPr>
      <w:r>
        <w:t xml:space="preserve">So, too, are the circumstances of the </w:t>
      </w:r>
      <w:r w:rsidR="00E85E16">
        <w:t>T</w:t>
      </w:r>
      <w:r>
        <w:t xml:space="preserve">ransfer and the basis upon which </w:t>
      </w:r>
      <w:r w:rsidR="00AB5DA6">
        <w:t xml:space="preserve">Rahimtoola </w:t>
      </w:r>
      <w:r w:rsidR="00A73ACA">
        <w:t xml:space="preserve">held </w:t>
      </w:r>
      <w:r w:rsidR="00AB5DA6">
        <w:t>these money</w:t>
      </w:r>
      <w:r w:rsidR="00157502">
        <w:t>s</w:t>
      </w:r>
      <w:r w:rsidR="003F7ABE">
        <w:t>.</w:t>
      </w:r>
    </w:p>
    <w:p w14:paraId="0102481F" w14:textId="77777777" w:rsidR="00594F53" w:rsidRPr="00594F53" w:rsidRDefault="00A14D25" w:rsidP="007E67DC">
      <w:pPr>
        <w:numPr>
          <w:ilvl w:val="0"/>
          <w:numId w:val="2"/>
        </w:numPr>
        <w:autoSpaceDE w:val="0"/>
        <w:spacing w:before="240" w:after="240"/>
        <w:jc w:val="both"/>
      </w:pPr>
      <w:r>
        <w:t xml:space="preserve">I shall refer to the </w:t>
      </w:r>
      <w:r w:rsidR="00951098">
        <w:t xml:space="preserve">account out of which the monies were transferred as the </w:t>
      </w:r>
      <w:r w:rsidR="00951098">
        <w:rPr>
          <w:b/>
          <w:bCs/>
        </w:rPr>
        <w:t>Second Account</w:t>
      </w:r>
      <w:r w:rsidR="00951098">
        <w:t>. (There was, as will be described, a</w:t>
      </w:r>
      <w:r w:rsidR="007E1CE0">
        <w:t xml:space="preserve">n earlier </w:t>
      </w:r>
      <w:r w:rsidR="00E779B5">
        <w:t xml:space="preserve">established </w:t>
      </w:r>
      <w:r w:rsidR="007E1CE0">
        <w:t>account</w:t>
      </w:r>
      <w:r w:rsidR="00E779B5">
        <w:t>,</w:t>
      </w:r>
      <w:r w:rsidR="007E1CE0">
        <w:t xml:space="preserve"> </w:t>
      </w:r>
      <w:r w:rsidR="00B52371">
        <w:t>out of</w:t>
      </w:r>
      <w:r w:rsidR="007E1CE0">
        <w:t xml:space="preserve"> which monies were transferred to </w:t>
      </w:r>
      <w:r w:rsidR="00B52371">
        <w:t xml:space="preserve">fund </w:t>
      </w:r>
      <w:r w:rsidR="007E1CE0">
        <w:t xml:space="preserve">the </w:t>
      </w:r>
      <w:r w:rsidR="007E1CE0" w:rsidRPr="007E1CE0">
        <w:t xml:space="preserve">Second </w:t>
      </w:r>
      <w:r w:rsidR="003C5FD2" w:rsidRPr="007E1CE0">
        <w:t>Account</w:t>
      </w:r>
      <w:r w:rsidR="003C5FD2">
        <w:t>.)</w:t>
      </w:r>
      <w:r w:rsidR="00951098">
        <w:rPr>
          <w:b/>
          <w:bCs/>
        </w:rPr>
        <w:t xml:space="preserve"> </w:t>
      </w:r>
      <w:r w:rsidR="003C5FD2" w:rsidRPr="003C5FD2">
        <w:t>I shall refer</w:t>
      </w:r>
      <w:r w:rsidR="003C5FD2">
        <w:rPr>
          <w:b/>
          <w:bCs/>
        </w:rPr>
        <w:t xml:space="preserve"> </w:t>
      </w:r>
      <w:r w:rsidR="003C5FD2">
        <w:t xml:space="preserve">to the account receiving the monies as the </w:t>
      </w:r>
      <w:r w:rsidR="00594F53">
        <w:rPr>
          <w:b/>
          <w:bCs/>
        </w:rPr>
        <w:t xml:space="preserve">Rahimtoola Account </w:t>
      </w:r>
      <w:r w:rsidR="00594F53">
        <w:t>and the monies standing to the credit of that account</w:t>
      </w:r>
      <w:r w:rsidR="007E1CE0">
        <w:t xml:space="preserve"> (after the Transfer)</w:t>
      </w:r>
      <w:r w:rsidR="00594F53">
        <w:t xml:space="preserve"> as the </w:t>
      </w:r>
      <w:r w:rsidR="00594F53">
        <w:rPr>
          <w:b/>
          <w:bCs/>
        </w:rPr>
        <w:t>Fund</w:t>
      </w:r>
      <w:r w:rsidR="00594F53">
        <w:t>.</w:t>
      </w:r>
    </w:p>
    <w:p w14:paraId="4F958D7A" w14:textId="77777777" w:rsidR="006F3135" w:rsidRDefault="002422A0" w:rsidP="006F3135">
      <w:pPr>
        <w:numPr>
          <w:ilvl w:val="0"/>
          <w:numId w:val="2"/>
        </w:numPr>
        <w:autoSpaceDE w:val="0"/>
        <w:spacing w:before="240" w:after="240"/>
        <w:jc w:val="both"/>
      </w:pPr>
      <w:r w:rsidRPr="002422A0">
        <w:lastRenderedPageBreak/>
        <w:t>The Fund, I should say,</w:t>
      </w:r>
      <w:r>
        <w:t xml:space="preserve"> is no longer held by the Bank</w:t>
      </w:r>
      <w:r w:rsidR="00AC2338">
        <w:t>, but ha</w:t>
      </w:r>
      <w:r w:rsidR="0074316A">
        <w:t>s</w:t>
      </w:r>
      <w:r w:rsidR="00AC2338">
        <w:t xml:space="preserve"> been paid into Court</w:t>
      </w:r>
      <w:r w:rsidR="00B14292">
        <w:t>.</w:t>
      </w:r>
      <w:r w:rsidR="00AC2338">
        <w:rPr>
          <w:rStyle w:val="FootnoteReference"/>
        </w:rPr>
        <w:footnoteReference w:id="6"/>
      </w:r>
      <w:r w:rsidR="00B14292">
        <w:t xml:space="preserve"> </w:t>
      </w:r>
      <w:r w:rsidR="00940135">
        <w:t xml:space="preserve">A dispute as to the title of </w:t>
      </w:r>
      <w:r w:rsidR="00940135" w:rsidRPr="00751778">
        <w:t xml:space="preserve">the Fund </w:t>
      </w:r>
      <w:r w:rsidR="00863126" w:rsidRPr="00751778">
        <w:t xml:space="preserve">arose almost immediately. Initially, the dispute was between the ruler </w:t>
      </w:r>
      <w:r w:rsidR="00104BFE" w:rsidRPr="00751778">
        <w:t xml:space="preserve">of Hyderabad, </w:t>
      </w:r>
      <w:r w:rsidR="0032743A" w:rsidRPr="00751778">
        <w:t xml:space="preserve">His Exalted Highness, </w:t>
      </w:r>
      <w:r w:rsidR="00104BFE" w:rsidRPr="00751778">
        <w:t>the Seventh Nizam of Hyderabad (</w:t>
      </w:r>
      <w:r w:rsidR="00104BFE" w:rsidRPr="00751778">
        <w:rPr>
          <w:b/>
          <w:bCs/>
        </w:rPr>
        <w:t>Nizam VII</w:t>
      </w:r>
      <w:r w:rsidR="00104BFE" w:rsidRPr="00751778">
        <w:t>)</w:t>
      </w:r>
      <w:r w:rsidR="0093332C" w:rsidRPr="00751778">
        <w:t>, and Pakistan. That dispute resulted in proceedings</w:t>
      </w:r>
      <w:r w:rsidR="00BE02ED" w:rsidRPr="00751778">
        <w:t xml:space="preserve"> </w:t>
      </w:r>
      <w:r w:rsidR="001B37D9" w:rsidRPr="00751778">
        <w:t xml:space="preserve">commenced </w:t>
      </w:r>
      <w:r w:rsidR="00BE02ED" w:rsidRPr="00751778">
        <w:t xml:space="preserve">in the </w:t>
      </w:r>
      <w:r w:rsidR="0050346D" w:rsidRPr="00751778">
        <w:t>Chancery Division of the High Court of</w:t>
      </w:r>
      <w:r w:rsidR="0050346D">
        <w:t xml:space="preserve"> Justice under </w:t>
      </w:r>
      <w:r w:rsidR="005839C2">
        <w:t>Claim 1954 H No 2387</w:t>
      </w:r>
      <w:r w:rsidR="00BD049E">
        <w:t xml:space="preserve"> (</w:t>
      </w:r>
      <w:r w:rsidR="00AD24BF">
        <w:t xml:space="preserve">the </w:t>
      </w:r>
      <w:r w:rsidR="00AD24BF">
        <w:rPr>
          <w:b/>
          <w:bCs/>
        </w:rPr>
        <w:t>1954 Proceedings</w:t>
      </w:r>
      <w:r w:rsidR="00AD24BF" w:rsidRPr="00AD24BF">
        <w:t>)</w:t>
      </w:r>
      <w:r w:rsidR="005839C2">
        <w:t xml:space="preserve">. The claim </w:t>
      </w:r>
      <w:r w:rsidR="00F0135D">
        <w:t xml:space="preserve">was brought by Nizam VII and </w:t>
      </w:r>
      <w:r w:rsidR="00EE660C">
        <w:t>Hyderabad as plaintiffs against Moin, the Bank and Rahimtoola as defendants.</w:t>
      </w:r>
      <w:r w:rsidR="007D75BE">
        <w:t xml:space="preserve"> Early in the course of the </w:t>
      </w:r>
      <w:r w:rsidR="00AD24BF">
        <w:t>1954 P</w:t>
      </w:r>
      <w:r w:rsidR="007D75BE">
        <w:t xml:space="preserve">roceedings, Pakistan asserted </w:t>
      </w:r>
      <w:r w:rsidR="00272626">
        <w:t xml:space="preserve">sovereign immunity. </w:t>
      </w:r>
      <w:r w:rsidR="00A67BE9">
        <w:t xml:space="preserve">In a letter dated 8 July 1955 to her solicitors, Messrs Sanderson Lee Morgan Price </w:t>
      </w:r>
      <w:r w:rsidR="00BD049E">
        <w:t>&amp; Co</w:t>
      </w:r>
      <w:r w:rsidR="00AD24BF">
        <w:t xml:space="preserve"> (</w:t>
      </w:r>
      <w:r w:rsidR="00AD24BF">
        <w:rPr>
          <w:b/>
          <w:bCs/>
        </w:rPr>
        <w:t>Pakistan’s solicitors in the 1954 Proceedings</w:t>
      </w:r>
      <w:r w:rsidR="00AD24BF">
        <w:t>)</w:t>
      </w:r>
      <w:r w:rsidR="00E37F7D">
        <w:t>, Pakistan gave the following instructions:</w:t>
      </w:r>
      <w:r w:rsidR="00BD049E">
        <w:t xml:space="preserve"> </w:t>
      </w:r>
    </w:p>
    <w:p w14:paraId="37614E59" w14:textId="77777777" w:rsidR="006F3135" w:rsidRDefault="006F3135" w:rsidP="006F3135">
      <w:pPr>
        <w:autoSpaceDE w:val="0"/>
        <w:spacing w:before="240" w:after="240"/>
        <w:ind w:left="567"/>
        <w:jc w:val="both"/>
      </w:pPr>
      <w:r w:rsidRPr="006F3135">
        <w:rPr>
          <w:sz w:val="22"/>
          <w:szCs w:val="22"/>
        </w:rPr>
        <w:t>“With reference to the above mentioned action in which the plaintiffs are claiming the sums of £1,007,940.9.0d now standing to the credit of Mr Rahimtoola with Westminster Bank</w:t>
      </w:r>
      <w:r w:rsidR="004B07FC">
        <w:rPr>
          <w:sz w:val="22"/>
          <w:szCs w:val="22"/>
        </w:rPr>
        <w:t>,</w:t>
      </w:r>
      <w:r w:rsidRPr="006F3135">
        <w:rPr>
          <w:sz w:val="22"/>
          <w:szCs w:val="22"/>
        </w:rPr>
        <w:t xml:space="preserve"> I now instruct you on behalf of my Government to take such steps as may be necessary to bring to the attention of the Court the fact that my Government claims to be entitled to the said sum,</w:t>
      </w:r>
      <w:r w:rsidR="00227E88">
        <w:rPr>
          <w:sz w:val="22"/>
          <w:szCs w:val="22"/>
        </w:rPr>
        <w:t xml:space="preserve"> which is held by Mr Rahimtoola as its agent,</w:t>
      </w:r>
      <w:r w:rsidRPr="006F3135">
        <w:rPr>
          <w:sz w:val="22"/>
          <w:szCs w:val="22"/>
        </w:rPr>
        <w:t xml:space="preserve"> and declines to submit to the jurisdiction of the English Courts in any proceedings relating thereto and accordingly that my Government objects, on the ground of its sovereign immunity to the jurisdiction of the English Courts, to this action being proceeded with against Mr Rahi</w:t>
      </w:r>
      <w:r w:rsidR="0021086D">
        <w:rPr>
          <w:sz w:val="22"/>
          <w:szCs w:val="22"/>
        </w:rPr>
        <w:t>m</w:t>
      </w:r>
      <w:r w:rsidRPr="006F3135">
        <w:rPr>
          <w:sz w:val="22"/>
          <w:szCs w:val="22"/>
        </w:rPr>
        <w:t>toola, since it is one which directly or indirectly impleads my Government.</w:t>
      </w:r>
    </w:p>
    <w:p w14:paraId="2B078726" w14:textId="77777777" w:rsidR="006F3135" w:rsidRDefault="006F3135" w:rsidP="006F3135">
      <w:pPr>
        <w:autoSpaceDE w:val="0"/>
        <w:spacing w:before="240" w:after="240"/>
        <w:ind w:left="567"/>
        <w:jc w:val="both"/>
      </w:pPr>
      <w:r w:rsidRPr="006F3135">
        <w:rPr>
          <w:sz w:val="22"/>
          <w:szCs w:val="22"/>
        </w:rPr>
        <w:t>This letter is written by the direction of and on behalf of the Government of Pakistan.”</w:t>
      </w:r>
      <w:r w:rsidR="003A71B6">
        <w:rPr>
          <w:rStyle w:val="FootnoteReference"/>
          <w:sz w:val="22"/>
          <w:szCs w:val="22"/>
        </w:rPr>
        <w:footnoteReference w:id="7"/>
      </w:r>
      <w:r w:rsidRPr="006F3135">
        <w:rPr>
          <w:sz w:val="22"/>
          <w:szCs w:val="22"/>
        </w:rPr>
        <w:t xml:space="preserve"> </w:t>
      </w:r>
    </w:p>
    <w:p w14:paraId="5AD875F9" w14:textId="77777777" w:rsidR="00C9270F" w:rsidRDefault="00DC2A24" w:rsidP="007315B0">
      <w:pPr>
        <w:numPr>
          <w:ilvl w:val="0"/>
          <w:numId w:val="2"/>
        </w:numPr>
        <w:autoSpaceDE w:val="0"/>
        <w:spacing w:before="240" w:after="240"/>
        <w:jc w:val="both"/>
      </w:pPr>
      <w:r>
        <w:t xml:space="preserve">This objection to the 1954 Proceedings </w:t>
      </w:r>
      <w:r w:rsidR="003140D0">
        <w:t xml:space="preserve">and assertion of sovereign immunity </w:t>
      </w:r>
      <w:r>
        <w:t>went all the way to the House of Lords</w:t>
      </w:r>
      <w:r w:rsidR="00D2181A">
        <w:t>.</w:t>
      </w:r>
      <w:r w:rsidR="0038184F">
        <w:rPr>
          <w:rStyle w:val="FootnoteReference"/>
        </w:rPr>
        <w:footnoteReference w:id="8"/>
      </w:r>
      <w:r w:rsidR="00D2181A">
        <w:t xml:space="preserve"> </w:t>
      </w:r>
      <w:r w:rsidR="009D4D57">
        <w:t xml:space="preserve">The </w:t>
      </w:r>
      <w:r w:rsidR="00D2181A">
        <w:t>1954 P</w:t>
      </w:r>
      <w:r w:rsidR="009D4D57">
        <w:t xml:space="preserve">roceedings were stayed </w:t>
      </w:r>
      <w:r w:rsidR="00FB2DDE">
        <w:t xml:space="preserve">against the Bank, and set aside against Rahimtoola, </w:t>
      </w:r>
      <w:r w:rsidR="0051121B">
        <w:t>by order of the House of Lord</w:t>
      </w:r>
      <w:r w:rsidR="00227E88">
        <w:t>s</w:t>
      </w:r>
      <w:r w:rsidR="0051121B">
        <w:t xml:space="preserve"> </w:t>
      </w:r>
      <w:r w:rsidR="00D2181A">
        <w:t>on grounds</w:t>
      </w:r>
      <w:r w:rsidR="0051121B">
        <w:t xml:space="preserve"> of Pakistan’s successful assertion of sovereign immunity.</w:t>
      </w:r>
      <w:r w:rsidR="00B0538B">
        <w:t xml:space="preserve"> Pakistan </w:t>
      </w:r>
      <w:r w:rsidR="00B0538B" w:rsidRPr="00751778">
        <w:t>asserted sover</w:t>
      </w:r>
      <w:r w:rsidR="0032743A" w:rsidRPr="00751778">
        <w:t>e</w:t>
      </w:r>
      <w:r w:rsidR="00B0538B" w:rsidRPr="00751778">
        <w:t>ign immunity by reason o</w:t>
      </w:r>
      <w:r w:rsidR="007315B0" w:rsidRPr="00751778">
        <w:t>f</w:t>
      </w:r>
      <w:r w:rsidR="00B0538B" w:rsidRPr="00751778">
        <w:t xml:space="preserve"> the fact that Rahimtoola held the Fund as High Commissioner </w:t>
      </w:r>
      <w:r w:rsidR="0064556D" w:rsidRPr="00751778">
        <w:t xml:space="preserve">of Pakistan and that the claim </w:t>
      </w:r>
      <w:r w:rsidR="007315B0" w:rsidRPr="00751778">
        <w:t xml:space="preserve">brought by the plaintiffs </w:t>
      </w:r>
      <w:r w:rsidR="0064556D" w:rsidRPr="00751778">
        <w:t>directly or indirectly</w:t>
      </w:r>
      <w:r w:rsidR="0064556D">
        <w:t xml:space="preserve"> infringed </w:t>
      </w:r>
      <w:r w:rsidR="00C9270F">
        <w:t xml:space="preserve">Pakistan’s sovereign immunity. Although at no time in these proceedings did Pakistan assert any </w:t>
      </w:r>
      <w:r w:rsidR="00C9270F" w:rsidRPr="004C1306">
        <w:rPr>
          <w:u w:val="single"/>
        </w:rPr>
        <w:t>beneficial</w:t>
      </w:r>
      <w:r w:rsidR="00C9270F">
        <w:t xml:space="preserve"> interest in the Fund, the House of Lords held (upholding Upjohn J at first instance and overruling the Court of Appeal</w:t>
      </w:r>
      <w:r w:rsidR="00836872">
        <w:rPr>
          <w:rStyle w:val="FootnoteReference"/>
        </w:rPr>
        <w:footnoteReference w:id="9"/>
      </w:r>
      <w:r w:rsidR="00C9270F">
        <w:t xml:space="preserve">) </w:t>
      </w:r>
      <w:r w:rsidR="00AA476D">
        <w:t>that Pakistan’s bare legal title</w:t>
      </w:r>
      <w:r w:rsidR="001D6EB6">
        <w:t xml:space="preserve"> in the Fund, through Rahimtoola as High Commissioner,</w:t>
      </w:r>
      <w:r w:rsidR="00AA476D">
        <w:t xml:space="preserve"> was sufficient </w:t>
      </w:r>
      <w:r w:rsidR="001A782B">
        <w:t>to enable her to assert soverign immunity.</w:t>
      </w:r>
    </w:p>
    <w:p w14:paraId="3D32C200" w14:textId="77777777" w:rsidR="00F52C72" w:rsidRDefault="00F52C72" w:rsidP="007E67DC">
      <w:pPr>
        <w:numPr>
          <w:ilvl w:val="0"/>
          <w:numId w:val="2"/>
        </w:numPr>
        <w:autoSpaceDE w:val="0"/>
        <w:spacing w:before="240" w:after="240"/>
        <w:jc w:val="both"/>
      </w:pPr>
      <w:r>
        <w:t xml:space="preserve">Thus, at this stage, </w:t>
      </w:r>
      <w:r w:rsidR="004B195C">
        <w:t xml:space="preserve">it was not clear who the rival claimants to the Fund were. Nizam VII </w:t>
      </w:r>
      <w:r w:rsidR="0072167A">
        <w:t xml:space="preserve">and Hyderabad </w:t>
      </w:r>
      <w:r w:rsidR="004B195C">
        <w:t>had asserted an interest</w:t>
      </w:r>
      <w:r w:rsidR="0061102F">
        <w:t>.</w:t>
      </w:r>
      <w:r w:rsidR="0072167A">
        <w:rPr>
          <w:rStyle w:val="FootnoteReference"/>
        </w:rPr>
        <w:footnoteReference w:id="10"/>
      </w:r>
      <w:r w:rsidR="004B195C">
        <w:t xml:space="preserve"> Pakistan’s </w:t>
      </w:r>
      <w:r w:rsidR="00977483">
        <w:t xml:space="preserve">assertion of sovereign immunity, as I have stated, involved simply a reliance upon </w:t>
      </w:r>
      <w:r w:rsidR="00FE10D0">
        <w:t xml:space="preserve">Rahimtoola’s holding of the </w:t>
      </w:r>
      <w:r w:rsidR="00FE10D0" w:rsidRPr="004C1306">
        <w:rPr>
          <w:u w:val="single"/>
        </w:rPr>
        <w:t>legal</w:t>
      </w:r>
      <w:r w:rsidR="00FE10D0">
        <w:t xml:space="preserve"> estate </w:t>
      </w:r>
      <w:r w:rsidR="00FE10D0">
        <w:lastRenderedPageBreak/>
        <w:t>in the Fund.</w:t>
      </w:r>
      <w:r w:rsidR="00E505DB">
        <w:t xml:space="preserve"> </w:t>
      </w:r>
      <w:r w:rsidR="004A2C06">
        <w:t>T</w:t>
      </w:r>
      <w:r w:rsidR="00E505DB">
        <w:t>he only person</w:t>
      </w:r>
      <w:r w:rsidR="0061102F">
        <w:t>s</w:t>
      </w:r>
      <w:r w:rsidR="00E505DB">
        <w:t xml:space="preserve"> asserting a </w:t>
      </w:r>
      <w:r w:rsidR="00E505DB" w:rsidRPr="004A2C06">
        <w:rPr>
          <w:u w:val="single"/>
        </w:rPr>
        <w:t>beneficial</w:t>
      </w:r>
      <w:r w:rsidR="00E505DB">
        <w:t xml:space="preserve"> claim to the Fund w</w:t>
      </w:r>
      <w:r w:rsidR="0061102F">
        <w:t>ere</w:t>
      </w:r>
      <w:r w:rsidR="00E505DB">
        <w:t xml:space="preserve"> Nizam VII</w:t>
      </w:r>
      <w:r w:rsidR="0061102F">
        <w:t xml:space="preserve"> alternatively Hyderabad</w:t>
      </w:r>
      <w:r w:rsidR="00E505DB">
        <w:t>.</w:t>
      </w:r>
    </w:p>
    <w:p w14:paraId="5F494D18" w14:textId="77777777" w:rsidR="00B76080" w:rsidRPr="00751778" w:rsidRDefault="00B540DD" w:rsidP="00C1522D">
      <w:pPr>
        <w:numPr>
          <w:ilvl w:val="0"/>
          <w:numId w:val="2"/>
        </w:numPr>
        <w:autoSpaceDE w:val="0"/>
        <w:spacing w:before="240" w:after="240"/>
        <w:jc w:val="both"/>
      </w:pPr>
      <w:r>
        <w:t>There matter</w:t>
      </w:r>
      <w:r w:rsidR="002B3A8C">
        <w:t>s</w:t>
      </w:r>
      <w:r>
        <w:t xml:space="preserve"> rested. </w:t>
      </w:r>
      <w:r w:rsidR="00E067FB">
        <w:t>Although, i</w:t>
      </w:r>
      <w:r>
        <w:t>n the post-1956 period</w:t>
      </w:r>
      <w:r w:rsidR="00CF0A1A">
        <w:t>,</w:t>
      </w:r>
      <w:r>
        <w:t xml:space="preserve"> there </w:t>
      </w:r>
      <w:r w:rsidR="009E14AB">
        <w:t xml:space="preserve">was some attempt to </w:t>
      </w:r>
      <w:r w:rsidR="00D9449E">
        <w:t xml:space="preserve">reach agreement as to what should happen to the </w:t>
      </w:r>
      <w:r w:rsidR="005915E2">
        <w:t>Fund, these efforts came to naught.</w:t>
      </w:r>
      <w:r w:rsidR="001C50B7">
        <w:t xml:space="preserve"> In </w:t>
      </w:r>
      <w:r w:rsidR="00830143">
        <w:t>1963, Nizam VII created a trust over his interest in the Fund</w:t>
      </w:r>
      <w:r w:rsidR="006E72E9">
        <w:t xml:space="preserve"> (the </w:t>
      </w:r>
      <w:r w:rsidR="006E72E9">
        <w:rPr>
          <w:b/>
          <w:bCs/>
        </w:rPr>
        <w:t>1963 Settlement</w:t>
      </w:r>
      <w:r w:rsidR="006E72E9">
        <w:t>)</w:t>
      </w:r>
      <w:r w:rsidR="00830143">
        <w:t xml:space="preserve"> </w:t>
      </w:r>
      <w:r w:rsidR="006C4179">
        <w:t>and in 1965</w:t>
      </w:r>
      <w:r w:rsidR="00FB2DDE">
        <w:t xml:space="preserve"> </w:t>
      </w:r>
      <w:r w:rsidR="006C4179">
        <w:t xml:space="preserve">the capital </w:t>
      </w:r>
      <w:r w:rsidR="003F3904">
        <w:t xml:space="preserve">and </w:t>
      </w:r>
      <w:r w:rsidR="003F3904" w:rsidRPr="00751778">
        <w:t xml:space="preserve">income </w:t>
      </w:r>
      <w:r w:rsidR="005B1D70" w:rsidRPr="00751778">
        <w:t xml:space="preserve">of the 1963 Settlement were irrevocably appointed </w:t>
      </w:r>
      <w:r w:rsidR="003F3904" w:rsidRPr="00751778">
        <w:t>upon trust for his grandsons</w:t>
      </w:r>
      <w:r w:rsidR="00B76080" w:rsidRPr="00751778">
        <w:t xml:space="preserve"> (the </w:t>
      </w:r>
      <w:r w:rsidR="00B76080" w:rsidRPr="00751778">
        <w:rPr>
          <w:b/>
          <w:bCs/>
        </w:rPr>
        <w:t>1965 Appointment</w:t>
      </w:r>
      <w:r w:rsidR="00B76080" w:rsidRPr="00751778">
        <w:t>). Nizam VII’s grandsons were:</w:t>
      </w:r>
    </w:p>
    <w:p w14:paraId="1A1F7C6B" w14:textId="77777777" w:rsidR="00B76080" w:rsidRPr="00751778" w:rsidRDefault="00D205E2" w:rsidP="00B76080">
      <w:pPr>
        <w:numPr>
          <w:ilvl w:val="1"/>
          <w:numId w:val="2"/>
        </w:numPr>
        <w:autoSpaceDE w:val="0"/>
        <w:spacing w:before="240" w:after="240"/>
        <w:jc w:val="both"/>
      </w:pPr>
      <w:r w:rsidRPr="00751778">
        <w:t>Prince Mukarram Jah, t</w:t>
      </w:r>
      <w:r w:rsidR="00C52884" w:rsidRPr="00751778">
        <w:t xml:space="preserve">he person who, on </w:t>
      </w:r>
      <w:r w:rsidR="008A708D" w:rsidRPr="00751778">
        <w:t>Niza</w:t>
      </w:r>
      <w:r w:rsidR="00B76080" w:rsidRPr="00751778">
        <w:t>m</w:t>
      </w:r>
      <w:r w:rsidR="008A708D" w:rsidRPr="00751778">
        <w:t xml:space="preserve"> VII’s death</w:t>
      </w:r>
      <w:r w:rsidR="00B76080" w:rsidRPr="00751778">
        <w:t>,</w:t>
      </w:r>
      <w:r w:rsidR="008A708D" w:rsidRPr="00751778">
        <w:t xml:space="preserve"> succeeded to his title and became </w:t>
      </w:r>
      <w:r w:rsidRPr="00751778">
        <w:t xml:space="preserve">His Exalted Highness, </w:t>
      </w:r>
      <w:r w:rsidR="008A708D" w:rsidRPr="00751778">
        <w:t>the Eighth Nizam of Hyderabad (</w:t>
      </w:r>
      <w:r w:rsidR="003F3904" w:rsidRPr="00751778">
        <w:rPr>
          <w:b/>
          <w:bCs/>
        </w:rPr>
        <w:t>Nizam VIII</w:t>
      </w:r>
      <w:r w:rsidR="00DA7420" w:rsidRPr="00751778">
        <w:t>)</w:t>
      </w:r>
      <w:r w:rsidR="009756CF" w:rsidRPr="00751778">
        <w:t>;</w:t>
      </w:r>
      <w:r w:rsidR="003F3904" w:rsidRPr="00751778">
        <w:t xml:space="preserve"> and </w:t>
      </w:r>
    </w:p>
    <w:p w14:paraId="44F4E186" w14:textId="77777777" w:rsidR="00B76080" w:rsidRDefault="009756CF" w:rsidP="00B76080">
      <w:pPr>
        <w:numPr>
          <w:ilvl w:val="1"/>
          <w:numId w:val="2"/>
        </w:numPr>
        <w:autoSpaceDE w:val="0"/>
        <w:spacing w:before="240" w:after="240"/>
        <w:jc w:val="both"/>
      </w:pPr>
      <w:r w:rsidRPr="00751778">
        <w:t xml:space="preserve">Nizam VIII’s </w:t>
      </w:r>
      <w:r w:rsidR="00DA7420" w:rsidRPr="00751778">
        <w:t>younger</w:t>
      </w:r>
      <w:r w:rsidR="00DA7420">
        <w:t xml:space="preserve"> brother, </w:t>
      </w:r>
      <w:r w:rsidR="003F3904">
        <w:t>Prince Muffakham</w:t>
      </w:r>
      <w:r>
        <w:t xml:space="preserve"> Jah (</w:t>
      </w:r>
      <w:r>
        <w:rPr>
          <w:b/>
          <w:bCs/>
        </w:rPr>
        <w:t>Prince Muffakham</w:t>
      </w:r>
      <w:r>
        <w:t>)</w:t>
      </w:r>
      <w:r w:rsidR="003F3904">
        <w:t>.</w:t>
      </w:r>
      <w:r>
        <w:t xml:space="preserve"> </w:t>
      </w:r>
    </w:p>
    <w:p w14:paraId="017CA48E" w14:textId="77777777" w:rsidR="00B76080" w:rsidRDefault="009756CF" w:rsidP="00B76080">
      <w:pPr>
        <w:autoSpaceDE w:val="0"/>
        <w:spacing w:before="240" w:after="240"/>
        <w:ind w:left="567"/>
        <w:jc w:val="both"/>
      </w:pPr>
      <w:r>
        <w:t xml:space="preserve">Collectively, I will refer to </w:t>
      </w:r>
      <w:r w:rsidR="00135BD6">
        <w:t xml:space="preserve">Nizam VIII and Prince Muffakham as the </w:t>
      </w:r>
      <w:r w:rsidR="00135BD6">
        <w:rPr>
          <w:b/>
          <w:bCs/>
        </w:rPr>
        <w:t>Princes</w:t>
      </w:r>
      <w:r w:rsidR="00135BD6">
        <w:t>.</w:t>
      </w:r>
      <w:r w:rsidR="00B4288A">
        <w:t xml:space="preserve"> </w:t>
      </w:r>
    </w:p>
    <w:p w14:paraId="25C18B04" w14:textId="77777777" w:rsidR="00C1522D" w:rsidRDefault="00423C15" w:rsidP="00B76080">
      <w:pPr>
        <w:numPr>
          <w:ilvl w:val="0"/>
          <w:numId w:val="2"/>
        </w:numPr>
        <w:autoSpaceDE w:val="0"/>
        <w:spacing w:before="240" w:after="240"/>
        <w:jc w:val="both"/>
      </w:pPr>
      <w:r>
        <w:t xml:space="preserve">Also in 1965, Nizam VII assigned to the President of India </w:t>
      </w:r>
      <w:r w:rsidR="00C1522D">
        <w:t>his claim to the Fund</w:t>
      </w:r>
      <w:r w:rsidR="00B76080">
        <w:t xml:space="preserve"> (the </w:t>
      </w:r>
      <w:r w:rsidR="00B76080">
        <w:rPr>
          <w:b/>
          <w:bCs/>
        </w:rPr>
        <w:t>1965 Assignment</w:t>
      </w:r>
      <w:r w:rsidR="00B76080">
        <w:t>)</w:t>
      </w:r>
      <w:r w:rsidR="00C1522D">
        <w:t>.</w:t>
      </w:r>
      <w:r w:rsidR="00156A09">
        <w:t xml:space="preserve"> </w:t>
      </w:r>
    </w:p>
    <w:p w14:paraId="0CFEF179" w14:textId="77777777" w:rsidR="00423C15" w:rsidRDefault="00C1522D" w:rsidP="00C1522D">
      <w:pPr>
        <w:numPr>
          <w:ilvl w:val="0"/>
          <w:numId w:val="2"/>
        </w:numPr>
        <w:autoSpaceDE w:val="0"/>
        <w:spacing w:before="240" w:after="240"/>
        <w:jc w:val="both"/>
      </w:pPr>
      <w:r>
        <w:t xml:space="preserve">It will readily be appreciated that it is not possible for the same person </w:t>
      </w:r>
      <w:r w:rsidR="00485262">
        <w:t>validly to alienate the same property twice</w:t>
      </w:r>
      <w:r w:rsidR="00475C66">
        <w:t xml:space="preserve"> over</w:t>
      </w:r>
      <w:r w:rsidR="00D56081">
        <w:t xml:space="preserve">. </w:t>
      </w:r>
      <w:r w:rsidR="00485262">
        <w:t xml:space="preserve">Nizam VII’s actions </w:t>
      </w:r>
      <w:r w:rsidR="008F4D4D">
        <w:t xml:space="preserve">through the 1963 Settlement, the 1965 Appointment and the 1965 Assignment </w:t>
      </w:r>
      <w:r w:rsidR="00485262">
        <w:t xml:space="preserve">created rival claims to the </w:t>
      </w:r>
      <w:r w:rsidR="0034065A">
        <w:t xml:space="preserve">Fund as between </w:t>
      </w:r>
      <w:r w:rsidR="006779AE">
        <w:t xml:space="preserve">the Princes </w:t>
      </w:r>
      <w:r w:rsidR="00B4288A">
        <w:t xml:space="preserve">on the one hand and </w:t>
      </w:r>
      <w:r w:rsidR="006779AE">
        <w:t xml:space="preserve">India </w:t>
      </w:r>
      <w:r w:rsidR="00B4288A">
        <w:t>on the other.</w:t>
      </w:r>
      <w:r w:rsidR="00F075FE">
        <w:t xml:space="preserve"> Of course, these </w:t>
      </w:r>
      <w:r w:rsidR="00D56081">
        <w:t xml:space="preserve">rival </w:t>
      </w:r>
      <w:r w:rsidR="00F075FE">
        <w:t xml:space="preserve">claims were never </w:t>
      </w:r>
      <w:r w:rsidR="00D56081">
        <w:t xml:space="preserve">articulated </w:t>
      </w:r>
      <w:r w:rsidR="00F075FE">
        <w:t>in any formal way</w:t>
      </w:r>
      <w:r w:rsidR="00D56081">
        <w:t xml:space="preserve"> until the commencement of the</w:t>
      </w:r>
      <w:r w:rsidR="00B76080">
        <w:t xml:space="preserve"> present</w:t>
      </w:r>
      <w:r w:rsidR="00D56081">
        <w:t xml:space="preserve"> proceedings</w:t>
      </w:r>
      <w:r w:rsidR="00F075FE">
        <w:t>: there was no point</w:t>
      </w:r>
      <w:r w:rsidR="00D120CD">
        <w:t xml:space="preserve"> </w:t>
      </w:r>
      <w:r w:rsidR="00D3465D">
        <w:t>in doing so n</w:t>
      </w:r>
      <w:r w:rsidR="00D120CD">
        <w:t>or possibility</w:t>
      </w:r>
      <w:r w:rsidR="00D3465D">
        <w:t xml:space="preserve"> to do so</w:t>
      </w:r>
      <w:r w:rsidR="00F075FE">
        <w:t xml:space="preserve">, given the </w:t>
      </w:r>
      <w:r w:rsidR="006779AE">
        <w:t xml:space="preserve">stay imposed by </w:t>
      </w:r>
      <w:r w:rsidR="00A67D99">
        <w:t>the House of Lords</w:t>
      </w:r>
      <w:r w:rsidR="006779AE">
        <w:t xml:space="preserve"> in the 1954 Proceedings</w:t>
      </w:r>
      <w:r w:rsidR="00A67D99">
        <w:t>.</w:t>
      </w:r>
    </w:p>
    <w:p w14:paraId="2B8265D8" w14:textId="77777777" w:rsidR="004654F8" w:rsidRDefault="00A67D99" w:rsidP="00C1522D">
      <w:pPr>
        <w:numPr>
          <w:ilvl w:val="0"/>
          <w:numId w:val="2"/>
        </w:numPr>
        <w:autoSpaceDE w:val="0"/>
        <w:spacing w:before="240" w:after="240"/>
        <w:jc w:val="both"/>
      </w:pPr>
      <w:r>
        <w:t xml:space="preserve">In 2013, Pakistan commenced </w:t>
      </w:r>
      <w:r w:rsidR="002C0086">
        <w:t xml:space="preserve">the present </w:t>
      </w:r>
      <w:r>
        <w:t>proceedings</w:t>
      </w:r>
      <w:r w:rsidR="002C0086">
        <w:t>. These were</w:t>
      </w:r>
      <w:r>
        <w:t xml:space="preserve"> against </w:t>
      </w:r>
      <w:r w:rsidR="000F286C">
        <w:t xml:space="preserve">the </w:t>
      </w:r>
      <w:r>
        <w:t xml:space="preserve">Bank </w:t>
      </w:r>
      <w:r w:rsidR="00C330A6">
        <w:t>for payment of the Fund to Pakistan. This involved – for the first time</w:t>
      </w:r>
      <w:r w:rsidR="00931616">
        <w:t xml:space="preserve"> in legal proceedings</w:t>
      </w:r>
      <w:r w:rsidR="00C330A6">
        <w:t xml:space="preserve"> – a</w:t>
      </w:r>
      <w:r w:rsidR="004350B6">
        <w:t>n</w:t>
      </w:r>
      <w:r w:rsidR="00C330A6">
        <w:t xml:space="preserve"> assertion by Pakistan of </w:t>
      </w:r>
      <w:r w:rsidR="001F44DD">
        <w:t xml:space="preserve">a </w:t>
      </w:r>
      <w:r w:rsidR="001F44DD" w:rsidRPr="000F286C">
        <w:rPr>
          <w:u w:val="single"/>
        </w:rPr>
        <w:t>beneficial</w:t>
      </w:r>
      <w:r w:rsidR="001F44DD">
        <w:t xml:space="preserve"> interest in the Fund. Naturally, the other claimants to the Fund (the Princes and India) sought to join</w:t>
      </w:r>
      <w:r w:rsidR="004350B6">
        <w:t>, and were joined to,</w:t>
      </w:r>
      <w:r w:rsidR="001F44DD">
        <w:t xml:space="preserve"> the proceedings</w:t>
      </w:r>
      <w:r w:rsidR="000F286C">
        <w:t xml:space="preserve">. For its own part, the Bank </w:t>
      </w:r>
      <w:r w:rsidR="001F44DD">
        <w:t>interpleaded</w:t>
      </w:r>
      <w:r w:rsidR="00DF5045">
        <w:t xml:space="preserve">, </w:t>
      </w:r>
      <w:r w:rsidR="00BD1484">
        <w:t>stat</w:t>
      </w:r>
      <w:r w:rsidR="00DF5045">
        <w:t>ing</w:t>
      </w:r>
      <w:r w:rsidR="00BD1484">
        <w:t xml:space="preserve"> </w:t>
      </w:r>
      <w:r w:rsidR="00CF0A1A">
        <w:t xml:space="preserve">(as it had done in the 1954 Proceedings) </w:t>
      </w:r>
      <w:r w:rsidR="00BD1484">
        <w:t xml:space="preserve">that it </w:t>
      </w:r>
      <w:r w:rsidR="008E1D09">
        <w:t xml:space="preserve">claimed no interest in the Fund for itself and that it </w:t>
      </w:r>
      <w:r w:rsidR="00BD1484">
        <w:t>would pay the Fund to whoever the Court determined was entitled to it</w:t>
      </w:r>
      <w:r w:rsidR="001F44DD">
        <w:t xml:space="preserve">. </w:t>
      </w:r>
      <w:r w:rsidR="000B2749">
        <w:t>Pakistan having waived her sovereign immunity</w:t>
      </w:r>
      <w:r w:rsidR="00AE4DFA">
        <w:t xml:space="preserve"> in commencing the proceedings</w:t>
      </w:r>
      <w:r w:rsidR="000B2749">
        <w:t xml:space="preserve">, there was </w:t>
      </w:r>
      <w:r w:rsidR="00F5513A">
        <w:t xml:space="preserve">now an opportunity </w:t>
      </w:r>
      <w:r w:rsidR="004654F8">
        <w:t>for the ownership of the Fund to be determined.</w:t>
      </w:r>
    </w:p>
    <w:p w14:paraId="4489D81D" w14:textId="77777777" w:rsidR="002A3C88" w:rsidRDefault="001F6BF6" w:rsidP="00C1522D">
      <w:pPr>
        <w:numPr>
          <w:ilvl w:val="0"/>
          <w:numId w:val="2"/>
        </w:numPr>
        <w:autoSpaceDE w:val="0"/>
        <w:spacing w:before="240" w:after="240"/>
        <w:jc w:val="both"/>
      </w:pPr>
      <w:r>
        <w:t>The claims to the Fund operate at two levels</w:t>
      </w:r>
      <w:r w:rsidR="005E175E">
        <w:t xml:space="preserve"> or stages</w:t>
      </w:r>
      <w:r w:rsidR="002A3C88">
        <w:t>:</w:t>
      </w:r>
    </w:p>
    <w:p w14:paraId="77349B0C" w14:textId="77777777" w:rsidR="00A67D99" w:rsidRDefault="005E175E" w:rsidP="002A3C88">
      <w:pPr>
        <w:numPr>
          <w:ilvl w:val="1"/>
          <w:numId w:val="2"/>
        </w:numPr>
        <w:autoSpaceDE w:val="0"/>
        <w:spacing w:before="240" w:after="240"/>
        <w:jc w:val="both"/>
      </w:pPr>
      <w:r>
        <w:rPr>
          <w:i/>
          <w:iCs/>
        </w:rPr>
        <w:t xml:space="preserve">Stage 1. </w:t>
      </w:r>
      <w:r w:rsidR="00C0375D">
        <w:t xml:space="preserve">Stage 1 concerns the </w:t>
      </w:r>
      <w:r w:rsidR="001F6BF6">
        <w:t xml:space="preserve">question of whether the </w:t>
      </w:r>
      <w:r w:rsidR="00C0375D">
        <w:t>T</w:t>
      </w:r>
      <w:r w:rsidR="001F6BF6">
        <w:t xml:space="preserve">ransfer </w:t>
      </w:r>
      <w:r w:rsidR="00341E8B">
        <w:t xml:space="preserve">transferred the Fund beneficially to Pakistan (as Pakistan contends) or whether </w:t>
      </w:r>
      <w:r w:rsidR="003B5398">
        <w:t>Nizam VII retained the beneficial interest in the Fund (as the Princes and India contend)</w:t>
      </w:r>
      <w:r>
        <w:t xml:space="preserve"> with Rahimtoola simply holding the legal title</w:t>
      </w:r>
      <w:r w:rsidR="00E8348F">
        <w:t xml:space="preserve"> in the Fund</w:t>
      </w:r>
      <w:r>
        <w:t xml:space="preserve"> (</w:t>
      </w:r>
      <w:r w:rsidR="002C4A3B">
        <w:t>whether personally or in his capacity as High Commissioner)</w:t>
      </w:r>
      <w:r w:rsidR="007B1C84">
        <w:t xml:space="preserve"> on trust</w:t>
      </w:r>
      <w:r w:rsidR="003B5398">
        <w:t xml:space="preserve">. </w:t>
      </w:r>
      <w:r w:rsidR="00C9717A">
        <w:t xml:space="preserve">If this question </w:t>
      </w:r>
      <w:r w:rsidR="00E46A9F">
        <w:t>is resolved in favour of Pakistan, then there the matter ends. Niza</w:t>
      </w:r>
      <w:r w:rsidR="00BD3186">
        <w:t>m</w:t>
      </w:r>
      <w:r w:rsidR="00E46A9F">
        <w:t xml:space="preserve"> VII, having divested himself of the Fund absolutely, could have no interest to pass </w:t>
      </w:r>
      <w:r w:rsidR="00E8348F">
        <w:t xml:space="preserve">on </w:t>
      </w:r>
      <w:r w:rsidR="00E46A9F">
        <w:t>to either the Princes or to India.</w:t>
      </w:r>
      <w:r w:rsidR="00775034">
        <w:t xml:space="preserve"> On the other hand, if </w:t>
      </w:r>
      <w:r w:rsidR="00007804">
        <w:t>Nizam VII retained a beneficial interest to the Fund,</w:t>
      </w:r>
      <w:r w:rsidR="00E8348F">
        <w:t xml:space="preserve"> as is contended by the Princes and </w:t>
      </w:r>
      <w:r w:rsidR="001670EC">
        <w:t>India,</w:t>
      </w:r>
      <w:r w:rsidR="00007804">
        <w:t xml:space="preserve"> the question would arise as to </w:t>
      </w:r>
      <w:r w:rsidR="002C3733">
        <w:t>whether the Princes or India were entitled.</w:t>
      </w:r>
    </w:p>
    <w:p w14:paraId="382D2108" w14:textId="77777777" w:rsidR="00506DF3" w:rsidRDefault="001670EC" w:rsidP="001F018F">
      <w:pPr>
        <w:numPr>
          <w:ilvl w:val="1"/>
          <w:numId w:val="2"/>
        </w:numPr>
        <w:autoSpaceDE w:val="0"/>
        <w:spacing w:before="240" w:after="240"/>
        <w:jc w:val="both"/>
      </w:pPr>
      <w:r>
        <w:rPr>
          <w:i/>
          <w:iCs/>
        </w:rPr>
        <w:lastRenderedPageBreak/>
        <w:t>Stage 2.</w:t>
      </w:r>
      <w:r>
        <w:t xml:space="preserve"> Th</w:t>
      </w:r>
      <w:r w:rsidR="00A44362">
        <w:t xml:space="preserve">is stage concerns the contingent claims of the Princes and India. </w:t>
      </w:r>
      <w:r w:rsidR="00A44362">
        <w:rPr>
          <w:u w:val="single"/>
        </w:rPr>
        <w:t>Assuming</w:t>
      </w:r>
      <w:r w:rsidR="00A44362">
        <w:t xml:space="preserve"> Pakistan loses at Stage 1, </w:t>
      </w:r>
      <w:r w:rsidR="001F018F">
        <w:t xml:space="preserve">the rival claims of the Princes and India would fall to be determined. </w:t>
      </w:r>
      <w:r w:rsidR="007E0BC2">
        <w:t xml:space="preserve">This is a question that does not concern Pakistan (whose claim </w:t>
      </w:r>
      <w:r w:rsidR="00695C94">
        <w:t>only arises at Stage 1)</w:t>
      </w:r>
      <w:r w:rsidR="005E4FA4">
        <w:t>;</w:t>
      </w:r>
      <w:r w:rsidR="00695C94">
        <w:t xml:space="preserve"> and it is a </w:t>
      </w:r>
      <w:r w:rsidR="005B140B">
        <w:t xml:space="preserve">question </w:t>
      </w:r>
      <w:r w:rsidR="00695C94">
        <w:t xml:space="preserve">that </w:t>
      </w:r>
      <w:r w:rsidR="005B140B">
        <w:t xml:space="preserve">no longer troubles the </w:t>
      </w:r>
      <w:r w:rsidR="00695C94">
        <w:t>C</w:t>
      </w:r>
      <w:r w:rsidR="005B140B">
        <w:t xml:space="preserve">ourt. </w:t>
      </w:r>
      <w:r w:rsidR="00625554">
        <w:t xml:space="preserve">By a settlement concluded last year – the terms of which are unknown </w:t>
      </w:r>
      <w:r w:rsidR="004A249A">
        <w:t xml:space="preserve">both </w:t>
      </w:r>
      <w:r w:rsidR="00625554">
        <w:t xml:space="preserve">to me and to Pakistan </w:t>
      </w:r>
      <w:r w:rsidR="00B145D0">
        <w:t>–</w:t>
      </w:r>
      <w:r w:rsidR="00625554">
        <w:t xml:space="preserve"> </w:t>
      </w:r>
      <w:r w:rsidR="00B145D0">
        <w:t>the Princes and India have compromised their differences</w:t>
      </w:r>
      <w:r w:rsidR="00695C94">
        <w:t xml:space="preserve"> (the </w:t>
      </w:r>
      <w:r w:rsidR="00695C94">
        <w:rPr>
          <w:b/>
          <w:bCs/>
        </w:rPr>
        <w:t>Settlement</w:t>
      </w:r>
      <w:r w:rsidR="00695C94">
        <w:t>)</w:t>
      </w:r>
      <w:r w:rsidR="00B145D0">
        <w:t xml:space="preserve">. They each claim in right of Nizam VII and </w:t>
      </w:r>
      <w:r w:rsidR="00BC38DA">
        <w:t xml:space="preserve">they </w:t>
      </w:r>
      <w:r w:rsidR="00B145D0">
        <w:t xml:space="preserve">have agreed between themselves how the Fund is to be divided between them </w:t>
      </w:r>
      <w:r w:rsidR="00BC38DA">
        <w:t xml:space="preserve">should the question at Stage 1 be determined </w:t>
      </w:r>
      <w:r w:rsidR="00506DF3">
        <w:t>in their favour.</w:t>
      </w:r>
    </w:p>
    <w:p w14:paraId="36590B8B" w14:textId="77777777" w:rsidR="005B140B" w:rsidRDefault="00506DF3" w:rsidP="00506DF3">
      <w:pPr>
        <w:numPr>
          <w:ilvl w:val="0"/>
          <w:numId w:val="2"/>
        </w:numPr>
        <w:autoSpaceDE w:val="0"/>
        <w:spacing w:before="240" w:after="240"/>
        <w:jc w:val="both"/>
      </w:pPr>
      <w:r>
        <w:t xml:space="preserve">The question before the Court is, therefore, </w:t>
      </w:r>
      <w:r w:rsidR="00BC2A47">
        <w:t>the</w:t>
      </w:r>
      <w:r w:rsidR="00B07799">
        <w:t xml:space="preserve"> </w:t>
      </w:r>
      <w:r w:rsidR="003A16D5">
        <w:t xml:space="preserve">shortly-stated </w:t>
      </w:r>
      <w:r w:rsidR="00B07799">
        <w:t>one of whether it is Pakistan or the late Nizam VII who was, in 1948, entitled to the Fund.</w:t>
      </w:r>
      <w:r w:rsidR="00546AFA">
        <w:t xml:space="preserve"> </w:t>
      </w:r>
    </w:p>
    <w:p w14:paraId="111CB2F5" w14:textId="77777777" w:rsidR="00F7060B" w:rsidRPr="00F7060B" w:rsidRDefault="00F7060B" w:rsidP="00B829AF">
      <w:pPr>
        <w:keepNext/>
        <w:tabs>
          <w:tab w:val="left" w:pos="567"/>
        </w:tabs>
        <w:autoSpaceDE w:val="0"/>
        <w:spacing w:before="240" w:after="240"/>
        <w:jc w:val="both"/>
        <w:rPr>
          <w:b/>
          <w:bCs/>
        </w:rPr>
      </w:pPr>
      <w:r w:rsidRPr="00F7060B">
        <w:rPr>
          <w:b/>
          <w:bCs/>
        </w:rPr>
        <w:t>(2)</w:t>
      </w:r>
      <w:r w:rsidRPr="00F7060B">
        <w:rPr>
          <w:b/>
          <w:bCs/>
        </w:rPr>
        <w:tab/>
        <w:t>The parties</w:t>
      </w:r>
    </w:p>
    <w:p w14:paraId="150A2438" w14:textId="77777777" w:rsidR="004F00A5" w:rsidRDefault="00F7060B" w:rsidP="007E67DC">
      <w:pPr>
        <w:numPr>
          <w:ilvl w:val="0"/>
          <w:numId w:val="2"/>
        </w:numPr>
        <w:autoSpaceDE w:val="0"/>
        <w:spacing w:before="240" w:after="240"/>
        <w:jc w:val="both"/>
      </w:pPr>
      <w:r>
        <w:t xml:space="preserve">The </w:t>
      </w:r>
      <w:r w:rsidR="004F00A5">
        <w:t>parties to these proceedings are</w:t>
      </w:r>
      <w:r w:rsidR="005265C8">
        <w:t xml:space="preserve"> or were</w:t>
      </w:r>
      <w:r w:rsidR="004F00A5">
        <w:t>:</w:t>
      </w:r>
    </w:p>
    <w:p w14:paraId="411C2932" w14:textId="77777777" w:rsidR="004804D4" w:rsidRDefault="005265C8" w:rsidP="004804D4">
      <w:pPr>
        <w:numPr>
          <w:ilvl w:val="1"/>
          <w:numId w:val="2"/>
        </w:numPr>
        <w:autoSpaceDE w:val="0"/>
        <w:spacing w:before="240" w:after="240"/>
        <w:jc w:val="both"/>
      </w:pPr>
      <w:r>
        <w:rPr>
          <w:i/>
          <w:iCs/>
        </w:rPr>
        <w:t>Paki</w:t>
      </w:r>
      <w:r w:rsidR="00F40010">
        <w:rPr>
          <w:i/>
          <w:iCs/>
        </w:rPr>
        <w:t xml:space="preserve">stan. </w:t>
      </w:r>
      <w:r w:rsidR="00E70EFA">
        <w:t xml:space="preserve">Pakistan </w:t>
      </w:r>
      <w:r w:rsidR="008C0384">
        <w:t>claim</w:t>
      </w:r>
      <w:r w:rsidR="00F40010">
        <w:t>s</w:t>
      </w:r>
      <w:r w:rsidR="008C0384">
        <w:t xml:space="preserve"> through her High Commissioner for Pakistan </w:t>
      </w:r>
      <w:r w:rsidR="00CF0A1A">
        <w:t>in</w:t>
      </w:r>
      <w:r w:rsidR="008C0384">
        <w:t xml:space="preserve"> the United Kingdom</w:t>
      </w:r>
      <w:r w:rsidR="00F40010">
        <w:t>, who is the party formally named in the proceedings</w:t>
      </w:r>
      <w:r w:rsidR="0092103C">
        <w:t>. Pakistan contends that it is the person occupying the office of High Commissioner</w:t>
      </w:r>
      <w:r w:rsidR="004B1EFC">
        <w:t xml:space="preserve"> at the relevant time who holds legal and beneficial title to the Fund.</w:t>
      </w:r>
      <w:r w:rsidR="004B1EFC">
        <w:rPr>
          <w:rStyle w:val="FootnoteReference"/>
        </w:rPr>
        <w:footnoteReference w:id="11"/>
      </w:r>
      <w:r w:rsidR="007A348C">
        <w:t xml:space="preserve"> Although the claim is brought in the name of the High Commissioner, </w:t>
      </w:r>
      <w:r w:rsidR="00050A5B">
        <w:t>I shall refer to the claimant as Pakistan</w:t>
      </w:r>
      <w:r w:rsidR="0001706A">
        <w:t>, as occurred throughout the trial before me</w:t>
      </w:r>
      <w:r w:rsidR="00C56609">
        <w:t>.</w:t>
      </w:r>
    </w:p>
    <w:p w14:paraId="70654D7C" w14:textId="77777777" w:rsidR="004663BA" w:rsidRDefault="00C53781" w:rsidP="004804D4">
      <w:pPr>
        <w:numPr>
          <w:ilvl w:val="1"/>
          <w:numId w:val="2"/>
        </w:numPr>
        <w:autoSpaceDE w:val="0"/>
        <w:spacing w:before="240" w:after="240"/>
        <w:jc w:val="both"/>
      </w:pPr>
      <w:r>
        <w:rPr>
          <w:i/>
          <w:iCs/>
        </w:rPr>
        <w:t xml:space="preserve">India. </w:t>
      </w:r>
      <w:r w:rsidR="004663BA">
        <w:t>India</w:t>
      </w:r>
      <w:r>
        <w:t xml:space="preserve"> claims</w:t>
      </w:r>
      <w:r w:rsidR="00636D76">
        <w:t xml:space="preserve"> by virtue of the 1965 Assignment.</w:t>
      </w:r>
      <w:r w:rsidR="004A7ACF">
        <w:rPr>
          <w:rStyle w:val="FootnoteReference"/>
        </w:rPr>
        <w:footnoteReference w:id="12"/>
      </w:r>
      <w:r w:rsidR="00636D76">
        <w:t xml:space="preserve"> The President of India </w:t>
      </w:r>
      <w:r w:rsidR="00CC19B1">
        <w:t>is also a party: that is because the President of India is named as the assignee in the 1965 Assignment</w:t>
      </w:r>
      <w:r w:rsidR="009D6F3F">
        <w:t>. For the purposes of these proceedings, no distinction is to be drawn between India and the President of India</w:t>
      </w:r>
      <w:r w:rsidR="005265C8">
        <w:t>, and I shall use the term India to refer to both.</w:t>
      </w:r>
    </w:p>
    <w:p w14:paraId="795A8495" w14:textId="77777777" w:rsidR="001219DC" w:rsidRDefault="005265C8" w:rsidP="005900CF">
      <w:pPr>
        <w:numPr>
          <w:ilvl w:val="1"/>
          <w:numId w:val="2"/>
        </w:numPr>
        <w:autoSpaceDE w:val="0"/>
        <w:spacing w:before="240" w:after="240"/>
        <w:jc w:val="both"/>
      </w:pPr>
      <w:r w:rsidRPr="00C53781">
        <w:rPr>
          <w:i/>
          <w:iCs/>
        </w:rPr>
        <w:t>The Princes.</w:t>
      </w:r>
      <w:r w:rsidR="00C53781">
        <w:t xml:space="preserve"> The Princes claim by virtue of the </w:t>
      </w:r>
      <w:r w:rsidR="0094621B">
        <w:t>1963 Settlement and the 1965 Appointment</w:t>
      </w:r>
      <w:r w:rsidR="001219DC">
        <w:t>:</w:t>
      </w:r>
    </w:p>
    <w:p w14:paraId="209D2FC2" w14:textId="77777777" w:rsidR="00CC650B" w:rsidRDefault="005900CF" w:rsidP="001219DC">
      <w:pPr>
        <w:numPr>
          <w:ilvl w:val="2"/>
          <w:numId w:val="2"/>
        </w:numPr>
        <w:autoSpaceDE w:val="0"/>
        <w:spacing w:before="240" w:after="240"/>
        <w:jc w:val="both"/>
      </w:pPr>
      <w:r>
        <w:t xml:space="preserve">Nizam VIII was originally a party to these proceedings, but has since </w:t>
      </w:r>
      <w:r w:rsidR="00F14242">
        <w:t>been removed from the action because he no longer has any interest</w:t>
      </w:r>
      <w:r>
        <w:t xml:space="preserve"> in the Fund</w:t>
      </w:r>
      <w:r w:rsidR="00F14242">
        <w:t xml:space="preserve">. That interest has been assigned to </w:t>
      </w:r>
      <w:r w:rsidR="00F65E31">
        <w:t>Hillview</w:t>
      </w:r>
      <w:r w:rsidR="00D136A3">
        <w:t xml:space="preserve"> Assets Holdings Limited (</w:t>
      </w:r>
      <w:r w:rsidR="00D136A3">
        <w:rPr>
          <w:b/>
          <w:bCs/>
        </w:rPr>
        <w:t>Hillview</w:t>
      </w:r>
      <w:r w:rsidR="00D136A3">
        <w:t>)</w:t>
      </w:r>
      <w:r w:rsidR="00D02F12">
        <w:t>.</w:t>
      </w:r>
      <w:r w:rsidR="002074CE">
        <w:rPr>
          <w:rStyle w:val="FootnoteReference"/>
        </w:rPr>
        <w:footnoteReference w:id="13"/>
      </w:r>
      <w:r w:rsidR="004D73F0">
        <w:t xml:space="preserve"> Although I appreciate that Hillview has stepped into the shoes of Nizam VIII as a claimant to the Fund, it is </w:t>
      </w:r>
      <w:r w:rsidR="003155C1">
        <w:t>more straightforward to continue to refer to the interest of Nizam VIII.</w:t>
      </w:r>
    </w:p>
    <w:p w14:paraId="493DE10B" w14:textId="77777777" w:rsidR="001219DC" w:rsidRDefault="001219DC" w:rsidP="001219DC">
      <w:pPr>
        <w:numPr>
          <w:ilvl w:val="2"/>
          <w:numId w:val="2"/>
        </w:numPr>
        <w:autoSpaceDE w:val="0"/>
        <w:spacing w:before="240" w:after="240"/>
        <w:jc w:val="both"/>
      </w:pPr>
      <w:r>
        <w:t>Prince Mu</w:t>
      </w:r>
      <w:r w:rsidR="007E065E">
        <w:t xml:space="preserve">ffakham is a party to these proceedings; however, </w:t>
      </w:r>
      <w:r w:rsidR="00B735A5">
        <w:t xml:space="preserve">by an assignment Shannon Consulting Limited </w:t>
      </w:r>
      <w:r w:rsidR="008F433C">
        <w:t>(</w:t>
      </w:r>
      <w:r w:rsidR="008F433C" w:rsidRPr="008F433C">
        <w:rPr>
          <w:b/>
          <w:bCs/>
        </w:rPr>
        <w:t>Shannon</w:t>
      </w:r>
      <w:r w:rsidR="008F433C">
        <w:t xml:space="preserve">) </w:t>
      </w:r>
      <w:r w:rsidR="00B735A5" w:rsidRPr="008F433C">
        <w:t>is</w:t>
      </w:r>
      <w:r w:rsidR="00B735A5">
        <w:t xml:space="preserve"> also interested </w:t>
      </w:r>
      <w:r w:rsidR="00565936">
        <w:t xml:space="preserve">in the </w:t>
      </w:r>
      <w:r w:rsidR="00565936">
        <w:lastRenderedPageBreak/>
        <w:t>Fund.</w:t>
      </w:r>
      <w:r w:rsidR="00565936">
        <w:rPr>
          <w:rStyle w:val="FootnoteReference"/>
        </w:rPr>
        <w:footnoteReference w:id="14"/>
      </w:r>
      <w:r w:rsidR="00E31310">
        <w:t xml:space="preserve"> Again, it is more straightforward simply to refer to the interest of Prince Muffakham</w:t>
      </w:r>
      <w:r w:rsidR="003B107E">
        <w:t>.</w:t>
      </w:r>
    </w:p>
    <w:p w14:paraId="65EF4C58" w14:textId="77777777" w:rsidR="003B107E" w:rsidRDefault="003B107E" w:rsidP="003B107E">
      <w:pPr>
        <w:numPr>
          <w:ilvl w:val="1"/>
          <w:numId w:val="2"/>
        </w:numPr>
        <w:autoSpaceDE w:val="0"/>
        <w:spacing w:before="240" w:after="240"/>
        <w:jc w:val="both"/>
      </w:pPr>
      <w:r>
        <w:rPr>
          <w:i/>
          <w:iCs/>
        </w:rPr>
        <w:t>The Bank.</w:t>
      </w:r>
      <w:r>
        <w:t xml:space="preserve"> The Bank has played an important role as the custodian of the monies comprising the Fund and has provided valuable disclosure in the proceedings. After the disclosure process ended, and when </w:t>
      </w:r>
      <w:r w:rsidR="00DA569E">
        <w:t xml:space="preserve">once </w:t>
      </w:r>
      <w:r>
        <w:t xml:space="preserve">the Fund had been paid into Court, no useful purpose was served by the Bank </w:t>
      </w:r>
      <w:r w:rsidR="00DA569E">
        <w:t xml:space="preserve">continuing to </w:t>
      </w:r>
      <w:r>
        <w:t>participat</w:t>
      </w:r>
      <w:r w:rsidR="00DA569E">
        <w:t>e</w:t>
      </w:r>
      <w:r>
        <w:t xml:space="preserve"> in these proceedings,</w:t>
      </w:r>
      <w:r w:rsidR="0025096E">
        <w:rPr>
          <w:rStyle w:val="FootnoteReference"/>
        </w:rPr>
        <w:footnoteReference w:id="15"/>
      </w:r>
      <w:r>
        <w:t xml:space="preserve"> and the Bank did not appear before </w:t>
      </w:r>
      <w:r w:rsidR="00956D24">
        <w:t xml:space="preserve">me </w:t>
      </w:r>
      <w:r>
        <w:t>at the trial of these proceedings.</w:t>
      </w:r>
    </w:p>
    <w:p w14:paraId="2850B4A5" w14:textId="77777777" w:rsidR="003B107E" w:rsidRPr="008C36B3" w:rsidRDefault="00BB441B" w:rsidP="003B107E">
      <w:pPr>
        <w:numPr>
          <w:ilvl w:val="1"/>
          <w:numId w:val="2"/>
        </w:numPr>
        <w:autoSpaceDE w:val="0"/>
        <w:spacing w:before="240" w:after="240"/>
        <w:jc w:val="both"/>
      </w:pPr>
      <w:r>
        <w:rPr>
          <w:i/>
          <w:iCs/>
        </w:rPr>
        <w:t xml:space="preserve">The </w:t>
      </w:r>
      <w:r w:rsidR="00770886">
        <w:rPr>
          <w:i/>
          <w:iCs/>
        </w:rPr>
        <w:t>a</w:t>
      </w:r>
      <w:r>
        <w:rPr>
          <w:i/>
          <w:iCs/>
        </w:rPr>
        <w:t>dministrator of the estate of Nizam VII.</w:t>
      </w:r>
      <w:r>
        <w:t xml:space="preserve"> </w:t>
      </w:r>
      <w:r w:rsidR="00770886">
        <w:t xml:space="preserve">Christopher Lintott is the administrator of Nizam VII’s estate. He is joined purely so that </w:t>
      </w:r>
      <w:r w:rsidR="00745E1A">
        <w:t xml:space="preserve">the estate of Nizam VII is bound by the outcome of these proceedings. Like the Bank, the administrator </w:t>
      </w:r>
      <w:r w:rsidR="00956D24">
        <w:t>did not appear before me at the trial of these proceedings.</w:t>
      </w:r>
      <w:r w:rsidR="00A45F30">
        <w:rPr>
          <w:rStyle w:val="FootnoteReference"/>
        </w:rPr>
        <w:footnoteReference w:id="16"/>
      </w:r>
      <w:r w:rsidR="00005049">
        <w:t xml:space="preserve"> He is also party to, and bound by, the Settlement referred to above and advances no separate claim before me.</w:t>
      </w:r>
    </w:p>
    <w:p w14:paraId="3B2EEE44" w14:textId="77777777" w:rsidR="00093EEA" w:rsidRDefault="00072D3B" w:rsidP="0018507F">
      <w:pPr>
        <w:keepNext/>
        <w:tabs>
          <w:tab w:val="left" w:pos="567"/>
        </w:tabs>
        <w:autoSpaceDE w:val="0"/>
        <w:spacing w:before="240" w:after="240"/>
        <w:jc w:val="both"/>
      </w:pPr>
      <w:r>
        <w:rPr>
          <w:b/>
          <w:bCs/>
        </w:rPr>
        <w:t>(</w:t>
      </w:r>
      <w:r w:rsidR="003460C4">
        <w:rPr>
          <w:b/>
          <w:bCs/>
        </w:rPr>
        <w:t>3</w:t>
      </w:r>
      <w:r>
        <w:rPr>
          <w:b/>
          <w:bCs/>
        </w:rPr>
        <w:t>)</w:t>
      </w:r>
      <w:r>
        <w:rPr>
          <w:b/>
          <w:bCs/>
        </w:rPr>
        <w:tab/>
        <w:t>The issues</w:t>
      </w:r>
      <w:r w:rsidR="0045527A">
        <w:t xml:space="preserve"> </w:t>
      </w:r>
    </w:p>
    <w:p w14:paraId="127775C1" w14:textId="77777777" w:rsidR="00363059" w:rsidRPr="00363059" w:rsidRDefault="00363059" w:rsidP="0018507F">
      <w:pPr>
        <w:keepNext/>
        <w:tabs>
          <w:tab w:val="left" w:pos="567"/>
        </w:tabs>
        <w:autoSpaceDE w:val="0"/>
        <w:spacing w:before="240" w:after="240"/>
        <w:jc w:val="both"/>
        <w:rPr>
          <w:b/>
          <w:bCs/>
          <w:i/>
          <w:iCs/>
        </w:rPr>
      </w:pPr>
      <w:r>
        <w:rPr>
          <w:b/>
          <w:bCs/>
          <w:i/>
          <w:iCs/>
        </w:rPr>
        <w:t>(a)</w:t>
      </w:r>
      <w:r>
        <w:rPr>
          <w:b/>
          <w:bCs/>
          <w:i/>
          <w:iCs/>
        </w:rPr>
        <w:tab/>
      </w:r>
      <w:r w:rsidR="00D920F1">
        <w:rPr>
          <w:b/>
          <w:bCs/>
          <w:i/>
          <w:iCs/>
        </w:rPr>
        <w:t>Pakistan’s claims to be absolutely entitled to the Fund</w:t>
      </w:r>
    </w:p>
    <w:p w14:paraId="0BED38CB" w14:textId="77777777" w:rsidR="0074704B" w:rsidRDefault="00FD4DC7" w:rsidP="007E67DC">
      <w:pPr>
        <w:numPr>
          <w:ilvl w:val="0"/>
          <w:numId w:val="2"/>
        </w:numPr>
        <w:autoSpaceDE w:val="0"/>
        <w:spacing w:before="240" w:after="240"/>
        <w:jc w:val="both"/>
      </w:pPr>
      <w:r>
        <w:t xml:space="preserve">As I have noted, Pakistan claims to be absolutely entitled to the Fund. </w:t>
      </w:r>
      <w:r w:rsidR="008C79DA">
        <w:t>Paragraph 20.10 of Pakistan’s Pleading states:</w:t>
      </w:r>
    </w:p>
    <w:p w14:paraId="26A888C2" w14:textId="77777777" w:rsidR="00A04F9B" w:rsidRPr="008C79DA" w:rsidRDefault="008C79DA" w:rsidP="00A04F9B">
      <w:pPr>
        <w:autoSpaceDE w:val="0"/>
        <w:spacing w:before="240" w:after="240"/>
        <w:ind w:left="567"/>
        <w:jc w:val="both"/>
        <w:rPr>
          <w:sz w:val="22"/>
          <w:szCs w:val="22"/>
        </w:rPr>
      </w:pPr>
      <w:r>
        <w:rPr>
          <w:sz w:val="22"/>
          <w:szCs w:val="22"/>
        </w:rPr>
        <w:t>“</w:t>
      </w:r>
      <w:r w:rsidR="00571994">
        <w:rPr>
          <w:sz w:val="22"/>
          <w:szCs w:val="22"/>
        </w:rPr>
        <w:t xml:space="preserve">…Hyderabad transferred the monies to the Rahimtoola Account in order to compensate/reimburse/indemnify Pakistan </w:t>
      </w:r>
      <w:r w:rsidR="00D96324">
        <w:rPr>
          <w:sz w:val="22"/>
          <w:szCs w:val="22"/>
        </w:rPr>
        <w:t>in connection with assistance she had provided to Hyderabad/[Nizam VII]</w:t>
      </w:r>
      <w:r w:rsidR="000D3474">
        <w:rPr>
          <w:sz w:val="22"/>
          <w:szCs w:val="22"/>
        </w:rPr>
        <w:t xml:space="preserve"> and/or</w:t>
      </w:r>
      <w:r w:rsidR="0022337A">
        <w:rPr>
          <w:sz w:val="22"/>
          <w:szCs w:val="22"/>
        </w:rPr>
        <w:t xml:space="preserve"> to place the monies </w:t>
      </w:r>
      <w:r w:rsidR="00777201">
        <w:rPr>
          <w:sz w:val="22"/>
          <w:szCs w:val="22"/>
        </w:rPr>
        <w:t xml:space="preserve">in the hands of Pakistan, a friendly state which had assisted Hyderabad/[Nizam VII] </w:t>
      </w:r>
      <w:r w:rsidR="00242658">
        <w:rPr>
          <w:sz w:val="22"/>
          <w:szCs w:val="22"/>
        </w:rPr>
        <w:t xml:space="preserve">and keep the monies out of the hands of India. Pakistan assisted Hyderabad/[Nizam VII] </w:t>
      </w:r>
      <w:r w:rsidR="00017C50">
        <w:rPr>
          <w:sz w:val="22"/>
          <w:szCs w:val="22"/>
        </w:rPr>
        <w:t>by procuring/facilitating the supply and/or transportation of weapons via Pakistan to Hyderabad</w:t>
      </w:r>
      <w:r w:rsidR="00E928AA">
        <w:rPr>
          <w:sz w:val="22"/>
          <w:szCs w:val="22"/>
        </w:rPr>
        <w:t>, in support of Hyderabad’s attempts at self-defence against Indian aggression.</w:t>
      </w:r>
      <w:r w:rsidR="00EA51A4">
        <w:rPr>
          <w:sz w:val="22"/>
          <w:szCs w:val="22"/>
        </w:rPr>
        <w:t>”</w:t>
      </w:r>
    </w:p>
    <w:p w14:paraId="2A93391E" w14:textId="77777777" w:rsidR="0074704B" w:rsidRDefault="00536E08" w:rsidP="000B7ABD">
      <w:pPr>
        <w:numPr>
          <w:ilvl w:val="0"/>
          <w:numId w:val="2"/>
        </w:numPr>
        <w:autoSpaceDE w:val="0"/>
        <w:spacing w:before="240" w:after="240"/>
        <w:jc w:val="both"/>
      </w:pPr>
      <w:r>
        <w:t>Thus, Pak</w:t>
      </w:r>
      <w:r w:rsidR="00D317A1">
        <w:t>i</w:t>
      </w:r>
      <w:r>
        <w:t xml:space="preserve">stan </w:t>
      </w:r>
      <w:r w:rsidR="00D317A1">
        <w:t xml:space="preserve">claims an absolute entitlement to </w:t>
      </w:r>
      <w:r w:rsidR="0095731C">
        <w:t>the Fund on two alternative bases:</w:t>
      </w:r>
    </w:p>
    <w:p w14:paraId="6D03080A" w14:textId="77777777" w:rsidR="0095731C" w:rsidRDefault="006959E1" w:rsidP="0095731C">
      <w:pPr>
        <w:numPr>
          <w:ilvl w:val="1"/>
          <w:numId w:val="2"/>
        </w:numPr>
        <w:autoSpaceDE w:val="0"/>
        <w:spacing w:before="240" w:after="240"/>
        <w:jc w:val="both"/>
      </w:pPr>
      <w:r>
        <w:t xml:space="preserve">The monies were transferred to compensate/reimburse/indemnify Pakistan </w:t>
      </w:r>
      <w:r w:rsidR="004663D5">
        <w:t xml:space="preserve">for assistance provided by her in procuring/facilitating the supply and/or transportation </w:t>
      </w:r>
      <w:r w:rsidR="004663D5">
        <w:lastRenderedPageBreak/>
        <w:t xml:space="preserve">of </w:t>
      </w:r>
      <w:r w:rsidR="001D6EC6">
        <w:t xml:space="preserve">weapons. I shall refer to this basis for the </w:t>
      </w:r>
      <w:r w:rsidR="00E22AD5">
        <w:t xml:space="preserve">absolute </w:t>
      </w:r>
      <w:r w:rsidR="001D6EC6">
        <w:t xml:space="preserve">transfer of the Fund as the </w:t>
      </w:r>
      <w:r w:rsidR="001D6EC6">
        <w:rPr>
          <w:b/>
          <w:bCs/>
        </w:rPr>
        <w:t>Arms for Mone</w:t>
      </w:r>
      <w:r w:rsidR="00BF4C17">
        <w:rPr>
          <w:b/>
          <w:bCs/>
        </w:rPr>
        <w:t>y Argument</w:t>
      </w:r>
      <w:r w:rsidR="00BF4C17">
        <w:t>.</w:t>
      </w:r>
      <w:r w:rsidR="004C2E7F">
        <w:rPr>
          <w:rStyle w:val="FootnoteReference"/>
        </w:rPr>
        <w:footnoteReference w:id="17"/>
      </w:r>
    </w:p>
    <w:p w14:paraId="2858672A" w14:textId="77777777" w:rsidR="000C5C62" w:rsidRDefault="00BF4C17" w:rsidP="0095731C">
      <w:pPr>
        <w:numPr>
          <w:ilvl w:val="1"/>
          <w:numId w:val="2"/>
        </w:numPr>
        <w:autoSpaceDE w:val="0"/>
        <w:spacing w:before="240" w:after="240"/>
        <w:jc w:val="both"/>
      </w:pPr>
      <w:r>
        <w:t xml:space="preserve">The monies were transferred in order to keep </w:t>
      </w:r>
      <w:r w:rsidR="004F0061">
        <w:t xml:space="preserve">the Fund out of the hands of India. I shall refer to this basis for the transfer of the Fund as the </w:t>
      </w:r>
      <w:r w:rsidR="004F0061">
        <w:rPr>
          <w:b/>
          <w:bCs/>
        </w:rPr>
        <w:t>Safeguarding Argument</w:t>
      </w:r>
      <w:r w:rsidR="004F0061">
        <w:t xml:space="preserve">. </w:t>
      </w:r>
      <w:r w:rsidR="001C3A9B">
        <w:t xml:space="preserve">It is important to appreciate that the Safeguarding Argument postulated an </w:t>
      </w:r>
      <w:r w:rsidR="001C3A9B">
        <w:rPr>
          <w:u w:val="single"/>
        </w:rPr>
        <w:t>absolute</w:t>
      </w:r>
      <w:r w:rsidR="001C3A9B">
        <w:t xml:space="preserve"> transfer and not a transfer on trust.</w:t>
      </w:r>
      <w:r w:rsidR="00BD04D4">
        <w:t xml:space="preserve"> It was Pakistan’s case that if there had been a legal obligation </w:t>
      </w:r>
      <w:r w:rsidR="00922B2B" w:rsidRPr="00522A2C">
        <w:t>on</w:t>
      </w:r>
      <w:r w:rsidR="00BD04D4">
        <w:t xml:space="preserve"> Pakistan to return the Fund </w:t>
      </w:r>
      <w:r w:rsidR="00805FBE">
        <w:t xml:space="preserve">on Nizam VII’s demand, the Fund would not be safeguarded from India because </w:t>
      </w:r>
      <w:r w:rsidR="00480E73">
        <w:t xml:space="preserve">India would force Nizam VII to demand the return of the Fund. </w:t>
      </w:r>
      <w:r w:rsidR="00315DCA">
        <w:t>In short, the Fund could only be safeguarded if the transfer was absolutely to Pakistan.</w:t>
      </w:r>
      <w:r w:rsidR="007A7946">
        <w:rPr>
          <w:rStyle w:val="FootnoteReference"/>
        </w:rPr>
        <w:footnoteReference w:id="18"/>
      </w:r>
      <w:r w:rsidR="000C5C62">
        <w:t xml:space="preserve"> </w:t>
      </w:r>
    </w:p>
    <w:p w14:paraId="627A6FBA" w14:textId="77777777" w:rsidR="00554981" w:rsidRDefault="000C5C62" w:rsidP="00DB4487">
      <w:pPr>
        <w:autoSpaceDE w:val="0"/>
        <w:spacing w:before="240" w:after="240"/>
        <w:ind w:left="567"/>
        <w:jc w:val="both"/>
      </w:pPr>
      <w:r>
        <w:t xml:space="preserve">Both of these contentions require a detailed understanding of the relations between </w:t>
      </w:r>
      <w:r w:rsidR="00665D52">
        <w:t>India, Pakistan and Hyderabad in the 1940s</w:t>
      </w:r>
      <w:r w:rsidR="00DB4487">
        <w:t xml:space="preserve"> and 1950s, which I consider later on in this Judgment.</w:t>
      </w:r>
    </w:p>
    <w:p w14:paraId="0E1D18A0" w14:textId="77777777" w:rsidR="00E00730" w:rsidRPr="00E00730" w:rsidRDefault="00E00730" w:rsidP="00725BA2">
      <w:pPr>
        <w:keepNext/>
        <w:tabs>
          <w:tab w:val="left" w:pos="567"/>
        </w:tabs>
        <w:autoSpaceDE w:val="0"/>
        <w:spacing w:before="240" w:after="240"/>
        <w:jc w:val="both"/>
        <w:rPr>
          <w:b/>
          <w:bCs/>
          <w:i/>
          <w:iCs/>
        </w:rPr>
      </w:pPr>
      <w:r>
        <w:rPr>
          <w:b/>
          <w:bCs/>
          <w:i/>
          <w:iCs/>
        </w:rPr>
        <w:t>(b)</w:t>
      </w:r>
      <w:r>
        <w:rPr>
          <w:b/>
          <w:bCs/>
          <w:i/>
          <w:iCs/>
        </w:rPr>
        <w:tab/>
        <w:t>The Princes’ and India’s contentions that the Fund was held on trust</w:t>
      </w:r>
    </w:p>
    <w:p w14:paraId="0D4674BD" w14:textId="77777777" w:rsidR="00584748" w:rsidRDefault="00C90D8F" w:rsidP="007E67DC">
      <w:pPr>
        <w:numPr>
          <w:ilvl w:val="0"/>
          <w:numId w:val="2"/>
        </w:numPr>
        <w:autoSpaceDE w:val="0"/>
        <w:spacing w:before="240" w:after="240"/>
        <w:jc w:val="both"/>
      </w:pPr>
      <w:r>
        <w:t>The Princes and India dispute</w:t>
      </w:r>
      <w:r w:rsidR="00E00730">
        <w:t xml:space="preserve">d Pakistan’s claim to be absolutely entitled to the Fund. They contended </w:t>
      </w:r>
      <w:r w:rsidR="00EF4803">
        <w:t xml:space="preserve">that there was no absolute transfer </w:t>
      </w:r>
      <w:r w:rsidR="00584748">
        <w:t xml:space="preserve">to Pakistan </w:t>
      </w:r>
      <w:r w:rsidR="00EF4803">
        <w:t xml:space="preserve">but that </w:t>
      </w:r>
      <w:r w:rsidR="00016225">
        <w:t xml:space="preserve">Nizam VII retained </w:t>
      </w:r>
      <w:r w:rsidR="00DA6AD0">
        <w:t>the beneficial interest in the Fund</w:t>
      </w:r>
      <w:r w:rsidR="00584748">
        <w:t xml:space="preserve"> and that a trust arose</w:t>
      </w:r>
      <w:r w:rsidR="00DA6AD0">
        <w:t xml:space="preserve">. </w:t>
      </w:r>
    </w:p>
    <w:p w14:paraId="62F93C7E" w14:textId="77777777" w:rsidR="004C0F61" w:rsidRDefault="009B118F" w:rsidP="009B118F">
      <w:pPr>
        <w:numPr>
          <w:ilvl w:val="0"/>
          <w:numId w:val="2"/>
        </w:numPr>
        <w:autoSpaceDE w:val="0"/>
        <w:spacing w:before="240" w:after="240"/>
        <w:jc w:val="both"/>
      </w:pPr>
      <w:r>
        <w:t xml:space="preserve">The Princes and India </w:t>
      </w:r>
      <w:r w:rsidR="00DA6AD0">
        <w:t>also sa</w:t>
      </w:r>
      <w:r w:rsidR="00743EC4">
        <w:t>id</w:t>
      </w:r>
      <w:r w:rsidR="00DA6AD0">
        <w:t xml:space="preserve"> that the transfer was to Rahimtoola in his personal capacity and that </w:t>
      </w:r>
      <w:r w:rsidR="00BC16D1">
        <w:t>Pakistan ha</w:t>
      </w:r>
      <w:r w:rsidR="007D4FB2">
        <w:t>d</w:t>
      </w:r>
      <w:r w:rsidR="00BC16D1">
        <w:t xml:space="preserve"> no interest – </w:t>
      </w:r>
      <w:r w:rsidR="007D4FB2">
        <w:t xml:space="preserve">not </w:t>
      </w:r>
      <w:r w:rsidR="00BC16D1">
        <w:t>even a legal interest – in the Fund.</w:t>
      </w:r>
      <w:r w:rsidR="000775CD">
        <w:rPr>
          <w:rStyle w:val="FootnoteReference"/>
        </w:rPr>
        <w:footnoteReference w:id="19"/>
      </w:r>
      <w:r w:rsidR="00DE3F34">
        <w:t xml:space="preserve"> </w:t>
      </w:r>
      <w:r w:rsidR="00101365">
        <w:t>In short</w:t>
      </w:r>
      <w:r w:rsidR="00DE3F34">
        <w:t>, the Princes and India assert</w:t>
      </w:r>
      <w:r w:rsidR="006E6AD5">
        <w:t>ed</w:t>
      </w:r>
      <w:r w:rsidR="00DE3F34">
        <w:t xml:space="preserve"> that the fund </w:t>
      </w:r>
      <w:r w:rsidR="006E6AD5">
        <w:t>wa</w:t>
      </w:r>
      <w:r w:rsidR="00DE3F34">
        <w:t>s held on trust by Rahimtoola</w:t>
      </w:r>
      <w:r w:rsidR="00BF250E">
        <w:rPr>
          <w:rStyle w:val="FootnoteReference"/>
        </w:rPr>
        <w:footnoteReference w:id="20"/>
      </w:r>
      <w:r w:rsidR="00DE3F34">
        <w:t xml:space="preserve"> in his personal capacity alternatively in his capacity as High Commissioner</w:t>
      </w:r>
      <w:r w:rsidR="00101365">
        <w:t xml:space="preserve"> (i.e., for Pakistan)</w:t>
      </w:r>
      <w:r w:rsidR="00536B0C">
        <w:t>.</w:t>
      </w:r>
      <w:r w:rsidR="0007390B">
        <w:t xml:space="preserve"> The form</w:t>
      </w:r>
      <w:r w:rsidR="006E6AD5">
        <w:t>s</w:t>
      </w:r>
      <w:r w:rsidR="0007390B">
        <w:t xml:space="preserve"> of trust </w:t>
      </w:r>
      <w:r w:rsidR="003F118B">
        <w:t xml:space="preserve">alleged to have arisen </w:t>
      </w:r>
      <w:r w:rsidR="00EA14AD">
        <w:t>w</w:t>
      </w:r>
      <w:r w:rsidR="00A94CC7">
        <w:t>ere</w:t>
      </w:r>
      <w:r w:rsidR="00EA14AD">
        <w:t xml:space="preserve"> variously</w:t>
      </w:r>
      <w:r w:rsidR="0007390B">
        <w:t>:</w:t>
      </w:r>
      <w:r w:rsidR="00D35B7A">
        <w:rPr>
          <w:rStyle w:val="FootnoteReference"/>
        </w:rPr>
        <w:footnoteReference w:id="21"/>
      </w:r>
    </w:p>
    <w:p w14:paraId="0E9292B5" w14:textId="77777777" w:rsidR="0007390B" w:rsidRDefault="0007390B" w:rsidP="0007390B">
      <w:pPr>
        <w:numPr>
          <w:ilvl w:val="1"/>
          <w:numId w:val="2"/>
        </w:numPr>
        <w:autoSpaceDE w:val="0"/>
        <w:spacing w:before="240" w:after="240"/>
        <w:jc w:val="both"/>
      </w:pPr>
      <w:r>
        <w:rPr>
          <w:i/>
          <w:iCs/>
        </w:rPr>
        <w:t>An express trust.</w:t>
      </w:r>
      <w:r>
        <w:t xml:space="preserve"> </w:t>
      </w:r>
      <w:r w:rsidR="00294120">
        <w:t>On this basis, Nizam VII intended and authorised the creation of a trust</w:t>
      </w:r>
      <w:r w:rsidR="00465A97">
        <w:t xml:space="preserve">, which Moin carried out on his behalf. </w:t>
      </w:r>
      <w:r w:rsidR="00000BF7">
        <w:t xml:space="preserve">The trust alleged </w:t>
      </w:r>
      <w:r w:rsidR="00636724">
        <w:t>wa</w:t>
      </w:r>
      <w:r w:rsidR="00000BF7">
        <w:t>s a bare trust</w:t>
      </w:r>
      <w:r w:rsidR="00795CED">
        <w:t xml:space="preserve">. </w:t>
      </w:r>
      <w:r w:rsidR="00A94CC7">
        <w:t>T</w:t>
      </w:r>
      <w:r w:rsidR="00795CED">
        <w:t>his was not the Princes</w:t>
      </w:r>
      <w:r w:rsidR="009C5C84">
        <w:t>’</w:t>
      </w:r>
      <w:r w:rsidR="00795CED">
        <w:t xml:space="preserve"> and India’s primary case, </w:t>
      </w:r>
      <w:r w:rsidR="00A94CC7">
        <w:t xml:space="preserve">although logically it falls to be considered first, </w:t>
      </w:r>
      <w:r w:rsidR="00795CED">
        <w:t xml:space="preserve">because </w:t>
      </w:r>
      <w:r w:rsidR="009C5C84">
        <w:t xml:space="preserve">the Princes and India </w:t>
      </w:r>
      <w:r w:rsidR="00D90D4B">
        <w:t>did not accept that Nizam VII ha</w:t>
      </w:r>
      <w:r w:rsidR="00DD45EA">
        <w:t>d</w:t>
      </w:r>
      <w:r w:rsidR="00D90D4B">
        <w:t xml:space="preserve"> intended </w:t>
      </w:r>
      <w:r w:rsidR="00DD45EA">
        <w:t xml:space="preserve">or authorised </w:t>
      </w:r>
      <w:r w:rsidR="00D90D4B">
        <w:t>the creation of a trust.</w:t>
      </w:r>
      <w:r w:rsidR="00330B32">
        <w:t xml:space="preserve"> It was the Princes’ and India’s primary case that Moin had acted without </w:t>
      </w:r>
      <w:r w:rsidR="00DD45EA">
        <w:t xml:space="preserve">the </w:t>
      </w:r>
      <w:r w:rsidR="00330B32">
        <w:t xml:space="preserve">authority </w:t>
      </w:r>
      <w:r w:rsidR="00DD45EA">
        <w:t xml:space="preserve">or the knowledge of Nizam VII </w:t>
      </w:r>
      <w:r w:rsidR="00330B32">
        <w:t>in establishing the trust.</w:t>
      </w:r>
      <w:r w:rsidR="004C2E7F">
        <w:rPr>
          <w:rStyle w:val="FootnoteReference"/>
        </w:rPr>
        <w:footnoteReference w:id="22"/>
      </w:r>
    </w:p>
    <w:p w14:paraId="2812D092" w14:textId="77777777" w:rsidR="00674E17" w:rsidRDefault="00674E17" w:rsidP="0007390B">
      <w:pPr>
        <w:numPr>
          <w:ilvl w:val="1"/>
          <w:numId w:val="2"/>
        </w:numPr>
        <w:autoSpaceDE w:val="0"/>
        <w:spacing w:before="240" w:after="240"/>
        <w:jc w:val="both"/>
      </w:pPr>
      <w:bookmarkStart w:id="2" w:name="_Hlk20309827"/>
      <w:r>
        <w:rPr>
          <w:i/>
          <w:iCs/>
        </w:rPr>
        <w:t>A constructive trust.</w:t>
      </w:r>
      <w:r>
        <w:t xml:space="preserve"> </w:t>
      </w:r>
      <w:r w:rsidR="00F60128">
        <w:t xml:space="preserve">The Princes and India contended that </w:t>
      </w:r>
      <w:r w:rsidR="004B2BBC">
        <w:t xml:space="preserve">a </w:t>
      </w:r>
      <w:r>
        <w:t xml:space="preserve">constructive trust </w:t>
      </w:r>
      <w:r w:rsidR="00B935B9">
        <w:t>arose in the circumstances of this case</w:t>
      </w:r>
      <w:r w:rsidR="00103E33">
        <w:t xml:space="preserve">, what they described as a constructive trust “of the first kind” and a “trusteeship </w:t>
      </w:r>
      <w:r w:rsidR="00103E33" w:rsidRPr="00103E33">
        <w:rPr>
          <w:i/>
          <w:iCs/>
        </w:rPr>
        <w:t>de son tort</w:t>
      </w:r>
      <w:r w:rsidR="00103E33">
        <w:t xml:space="preserve">”. </w:t>
      </w:r>
      <w:r w:rsidR="0019246E">
        <w:t xml:space="preserve">The nature of </w:t>
      </w:r>
      <w:r w:rsidR="004B2BBC">
        <w:t xml:space="preserve">such a </w:t>
      </w:r>
      <w:r w:rsidR="0019246E">
        <w:t>trust</w:t>
      </w:r>
      <w:r w:rsidR="00103E33">
        <w:t xml:space="preserve"> </w:t>
      </w:r>
      <w:r w:rsidR="0019246E">
        <w:t>– and whether</w:t>
      </w:r>
      <w:r w:rsidR="00CA79D9">
        <w:t xml:space="preserve"> </w:t>
      </w:r>
      <w:r w:rsidR="00CA79D9">
        <w:lastRenderedPageBreak/>
        <w:t xml:space="preserve">it </w:t>
      </w:r>
      <w:r w:rsidR="0019246E">
        <w:t>arise</w:t>
      </w:r>
      <w:r w:rsidR="00CA79D9">
        <w:t>s</w:t>
      </w:r>
      <w:r w:rsidR="0019246E">
        <w:t xml:space="preserve"> in the circumstances of the present case – will be considered in due course.</w:t>
      </w:r>
      <w:r w:rsidR="004C2E7F">
        <w:rPr>
          <w:rStyle w:val="FootnoteReference"/>
        </w:rPr>
        <w:footnoteReference w:id="23"/>
      </w:r>
    </w:p>
    <w:bookmarkEnd w:id="2"/>
    <w:p w14:paraId="74D827F5" w14:textId="77777777" w:rsidR="0007390B" w:rsidRDefault="0007390B" w:rsidP="0007390B">
      <w:pPr>
        <w:numPr>
          <w:ilvl w:val="1"/>
          <w:numId w:val="2"/>
        </w:numPr>
        <w:autoSpaceDE w:val="0"/>
        <w:spacing w:before="240" w:after="240"/>
        <w:jc w:val="both"/>
      </w:pPr>
      <w:r>
        <w:rPr>
          <w:i/>
          <w:iCs/>
        </w:rPr>
        <w:t>A resulting trust.</w:t>
      </w:r>
      <w:r w:rsidR="00E53EDA">
        <w:t xml:space="preserve"> </w:t>
      </w:r>
      <w:r w:rsidR="002738AB">
        <w:t>The Princes and India also contended that if neither an express trust nor a constructive trust arose, a resulting trust arose because this was a case where there had been</w:t>
      </w:r>
      <w:r w:rsidR="00F51CF3">
        <w:t xml:space="preserve"> a gratuitous transfer</w:t>
      </w:r>
      <w:r w:rsidR="002738AB">
        <w:t xml:space="preserve">, where </w:t>
      </w:r>
      <w:r w:rsidR="00F51CF3">
        <w:t xml:space="preserve">the presumption against a gift </w:t>
      </w:r>
      <w:r w:rsidR="002738AB">
        <w:t>had</w:t>
      </w:r>
      <w:r w:rsidR="00F51CF3">
        <w:t xml:space="preserve"> not </w:t>
      </w:r>
      <w:r w:rsidR="002738AB">
        <w:t xml:space="preserve">been </w:t>
      </w:r>
      <w:r w:rsidR="00F51CF3">
        <w:t>rebutted.</w:t>
      </w:r>
      <w:r w:rsidR="00313DA8">
        <w:rPr>
          <w:rStyle w:val="FootnoteReference"/>
        </w:rPr>
        <w:footnoteReference w:id="24"/>
      </w:r>
    </w:p>
    <w:p w14:paraId="2381E7AE" w14:textId="77777777" w:rsidR="003D4A67" w:rsidRDefault="005F46A4" w:rsidP="003D4A67">
      <w:pPr>
        <w:numPr>
          <w:ilvl w:val="0"/>
          <w:numId w:val="2"/>
        </w:numPr>
        <w:autoSpaceDE w:val="0"/>
        <w:spacing w:before="240" w:after="240"/>
        <w:jc w:val="both"/>
      </w:pPr>
      <w:r>
        <w:t>Whether there was a trust</w:t>
      </w:r>
      <w:r w:rsidR="00AE1F06">
        <w:t xml:space="preserve"> and, if there was, what sort,</w:t>
      </w:r>
      <w:r>
        <w:t xml:space="preserve"> </w:t>
      </w:r>
      <w:r w:rsidR="00E948DB">
        <w:t xml:space="preserve">involves careful consideration of the </w:t>
      </w:r>
      <w:r>
        <w:t xml:space="preserve">conduct, </w:t>
      </w:r>
      <w:r w:rsidR="00E948DB">
        <w:t xml:space="preserve">intentions and authority of </w:t>
      </w:r>
      <w:r w:rsidR="00B8134B">
        <w:t>Nizam VII, Moin and Rahimtoola, both to establish the precise basis of the transfer and the authority and capacity of Moin and Rahimtoola.</w:t>
      </w:r>
      <w:r w:rsidR="003E6727">
        <w:t xml:space="preserve"> As I have already noted, there was an issue between the parties as to whether Rahimtoola received the Fund personally or in his capacity as High Commissioner.</w:t>
      </w:r>
      <w:r w:rsidR="009D7602">
        <w:t xml:space="preserve"> There was also a dispute as to whether the transfer had been made on the instructions and with the authority of </w:t>
      </w:r>
      <w:r w:rsidR="009F6369">
        <w:t>Nizam VII or whether Moin had made the transfer without authority</w:t>
      </w:r>
      <w:r w:rsidR="00907C66">
        <w:t xml:space="preserve">. The Princes and India </w:t>
      </w:r>
      <w:r w:rsidR="00AC60CA">
        <w:t xml:space="preserve">contended </w:t>
      </w:r>
      <w:r w:rsidR="004368D3">
        <w:t xml:space="preserve">that the transfer was unauthorised by Nizam VII and that Moin acted without </w:t>
      </w:r>
      <w:r w:rsidR="001F2129">
        <w:t>authority in making it.</w:t>
      </w:r>
      <w:r w:rsidR="001F2129">
        <w:rPr>
          <w:rStyle w:val="FootnoteReference"/>
        </w:rPr>
        <w:footnoteReference w:id="25"/>
      </w:r>
    </w:p>
    <w:p w14:paraId="49A1B37C" w14:textId="77777777" w:rsidR="00764AED" w:rsidRDefault="00A96CC5" w:rsidP="003D4A67">
      <w:pPr>
        <w:numPr>
          <w:ilvl w:val="0"/>
          <w:numId w:val="2"/>
        </w:numPr>
        <w:autoSpaceDE w:val="0"/>
        <w:spacing w:before="240" w:after="240"/>
        <w:jc w:val="both"/>
      </w:pPr>
      <w:r>
        <w:t>Pakistan denied that any trust, of any kind, arose.</w:t>
      </w:r>
      <w:r w:rsidR="00584C86">
        <w:t xml:space="preserve"> </w:t>
      </w:r>
      <w:r w:rsidR="00C33A33">
        <w:t xml:space="preserve">That was the inevitable </w:t>
      </w:r>
      <w:r w:rsidR="008C489C">
        <w:t>corollary</w:t>
      </w:r>
      <w:r w:rsidR="00C33A33">
        <w:t xml:space="preserve"> of Pakistan’s claim to be absolutely entitled to the Fund. However, Pakistan </w:t>
      </w:r>
      <w:r w:rsidR="00EE0014">
        <w:t>additionally</w:t>
      </w:r>
      <w:r w:rsidR="00C33A33">
        <w:t xml:space="preserve"> </w:t>
      </w:r>
      <w:r w:rsidR="005E195E">
        <w:t>contended that:</w:t>
      </w:r>
      <w:r w:rsidR="005E195E">
        <w:rPr>
          <w:rStyle w:val="FootnoteReference"/>
        </w:rPr>
        <w:footnoteReference w:id="26"/>
      </w:r>
    </w:p>
    <w:p w14:paraId="5B6F7B81" w14:textId="77777777" w:rsidR="005E195E" w:rsidRPr="00FC62BB" w:rsidRDefault="00574167" w:rsidP="005E195E">
      <w:pPr>
        <w:autoSpaceDE w:val="0"/>
        <w:spacing w:before="240" w:after="240"/>
        <w:ind w:left="567"/>
        <w:jc w:val="both"/>
        <w:rPr>
          <w:b/>
          <w:bCs/>
          <w:sz w:val="22"/>
          <w:szCs w:val="22"/>
        </w:rPr>
      </w:pPr>
      <w:r>
        <w:rPr>
          <w:sz w:val="22"/>
          <w:szCs w:val="22"/>
        </w:rPr>
        <w:t>“…a payment from one sovereign state to another sovereign state will not give rise to a trust relationship</w:t>
      </w:r>
      <w:r w:rsidR="003A70DF">
        <w:rPr>
          <w:sz w:val="22"/>
          <w:szCs w:val="22"/>
        </w:rPr>
        <w:t xml:space="preserve">; alternatively will not give rise to a trust relationship without cogent evidence that a trust relationship was intended. </w:t>
      </w:r>
      <w:r w:rsidR="00CE6490">
        <w:rPr>
          <w:sz w:val="22"/>
          <w:szCs w:val="22"/>
        </w:rPr>
        <w:t xml:space="preserve">States do not intend and cannot be taken to intend to render themselves trustees or beneficiaries </w:t>
      </w:r>
      <w:r w:rsidR="00FC62BB">
        <w:rPr>
          <w:sz w:val="22"/>
          <w:szCs w:val="22"/>
        </w:rPr>
        <w:t>in relation to payments</w:t>
      </w:r>
      <w:r w:rsidR="00EA442D">
        <w:rPr>
          <w:sz w:val="22"/>
          <w:szCs w:val="22"/>
        </w:rPr>
        <w:t xml:space="preserve"> made to other states and their agents; alternatively, cannot be taken</w:t>
      </w:r>
      <w:r w:rsidR="00660624">
        <w:rPr>
          <w:sz w:val="22"/>
          <w:szCs w:val="22"/>
        </w:rPr>
        <w:t xml:space="preserve"> to intend this highly unusual relationship between states absent cogent evidence of such an intention</w:t>
      </w:r>
      <w:r w:rsidR="00220278">
        <w:rPr>
          <w:sz w:val="22"/>
          <w:szCs w:val="22"/>
        </w:rPr>
        <w:t>…</w:t>
      </w:r>
      <w:r w:rsidR="00220278" w:rsidRPr="00B21B90">
        <w:rPr>
          <w:sz w:val="22"/>
          <w:szCs w:val="22"/>
        </w:rPr>
        <w:t>”</w:t>
      </w:r>
    </w:p>
    <w:p w14:paraId="5EE1ED70" w14:textId="77777777" w:rsidR="005E195E" w:rsidRDefault="0055272E" w:rsidP="003D4A67">
      <w:pPr>
        <w:numPr>
          <w:ilvl w:val="0"/>
          <w:numId w:val="2"/>
        </w:numPr>
        <w:autoSpaceDE w:val="0"/>
        <w:spacing w:before="240" w:after="240"/>
        <w:jc w:val="both"/>
      </w:pPr>
      <w:r>
        <w:t xml:space="preserve">Thus, even aside from the Arms for Money Argument and the Safeguarding Argument, Pakistan contended </w:t>
      </w:r>
      <w:r w:rsidR="00401A58">
        <w:t xml:space="preserve">that a trust could not </w:t>
      </w:r>
      <w:r w:rsidR="00B21B90">
        <w:t xml:space="preserve">or did not </w:t>
      </w:r>
      <w:r w:rsidR="00401A58">
        <w:t>arise because of Hyderabad’s and Pakistan’s status as sovereign states.</w:t>
      </w:r>
    </w:p>
    <w:p w14:paraId="1C5EB8E8" w14:textId="77777777" w:rsidR="00C866CB" w:rsidRPr="00C866CB" w:rsidRDefault="00C866CB" w:rsidP="004F6B26">
      <w:pPr>
        <w:keepNext/>
        <w:tabs>
          <w:tab w:val="left" w:pos="567"/>
        </w:tabs>
        <w:autoSpaceDE w:val="0"/>
        <w:spacing w:before="240" w:after="240"/>
        <w:jc w:val="both"/>
        <w:rPr>
          <w:b/>
          <w:bCs/>
          <w:i/>
          <w:iCs/>
        </w:rPr>
      </w:pPr>
      <w:r w:rsidRPr="00C866CB">
        <w:rPr>
          <w:b/>
          <w:bCs/>
          <w:i/>
          <w:iCs/>
        </w:rPr>
        <w:t>(c)</w:t>
      </w:r>
      <w:r w:rsidRPr="00C866CB">
        <w:rPr>
          <w:b/>
          <w:bCs/>
          <w:i/>
          <w:iCs/>
        </w:rPr>
        <w:tab/>
        <w:t>Rahimtoola</w:t>
      </w:r>
    </w:p>
    <w:p w14:paraId="78E8603D" w14:textId="77777777" w:rsidR="00196F6E" w:rsidRDefault="00D87553" w:rsidP="003C5DC2">
      <w:pPr>
        <w:numPr>
          <w:ilvl w:val="0"/>
          <w:numId w:val="2"/>
        </w:numPr>
        <w:autoSpaceDE w:val="0"/>
        <w:spacing w:before="240" w:after="240"/>
        <w:jc w:val="both"/>
      </w:pPr>
      <w:r>
        <w:t>Given th</w:t>
      </w:r>
      <w:r w:rsidR="003C5DC2">
        <w:t>e</w:t>
      </w:r>
      <w:r w:rsidR="003D371F">
        <w:t xml:space="preserve"> </w:t>
      </w:r>
      <w:r>
        <w:t>dispute</w:t>
      </w:r>
      <w:r w:rsidR="00C866CB">
        <w:t>s</w:t>
      </w:r>
      <w:r>
        <w:t xml:space="preserve"> </w:t>
      </w:r>
      <w:r w:rsidR="003C5DC2">
        <w:t xml:space="preserve">between the parties </w:t>
      </w:r>
      <w:r>
        <w:t xml:space="preserve">about </w:t>
      </w:r>
      <w:r w:rsidR="003C5DC2">
        <w:rPr>
          <w:i/>
          <w:iCs/>
        </w:rPr>
        <w:t xml:space="preserve">(i) </w:t>
      </w:r>
      <w:r>
        <w:t xml:space="preserve">the </w:t>
      </w:r>
      <w:r w:rsidR="00C866CB">
        <w:t xml:space="preserve">absolute transfer </w:t>
      </w:r>
      <w:r w:rsidR="003C5DC2">
        <w:t xml:space="preserve">or transfer on trust </w:t>
      </w:r>
      <w:r w:rsidR="00C866CB">
        <w:t xml:space="preserve">of </w:t>
      </w:r>
      <w:r w:rsidR="0099131C">
        <w:t xml:space="preserve">the </w:t>
      </w:r>
      <w:r w:rsidR="00C866CB">
        <w:t xml:space="preserve">Fund </w:t>
      </w:r>
      <w:r w:rsidR="003D371F">
        <w:t xml:space="preserve">and </w:t>
      </w:r>
      <w:r w:rsidR="003D371F">
        <w:rPr>
          <w:i/>
          <w:iCs/>
        </w:rPr>
        <w:t xml:space="preserve">(ii) </w:t>
      </w:r>
      <w:r w:rsidR="00C866CB">
        <w:t>the</w:t>
      </w:r>
      <w:r w:rsidR="003D371F">
        <w:t xml:space="preserve"> capacity in which Rahimtoola received the </w:t>
      </w:r>
      <w:r w:rsidR="00BC2DB6">
        <w:t xml:space="preserve">Fund, a theoretically possible outcome might be that Rahimtoola received the </w:t>
      </w:r>
      <w:r w:rsidR="00A52B07">
        <w:t>Fund beneficially in his personal capacity. None of the parties contended for this outcome</w:t>
      </w:r>
      <w:r w:rsidR="00D14728">
        <w:t xml:space="preserve">, </w:t>
      </w:r>
      <w:r w:rsidR="00246AF5">
        <w:t xml:space="preserve">but it is one </w:t>
      </w:r>
      <w:r w:rsidR="007E5640">
        <w:t xml:space="preserve">– given the parties’ differences </w:t>
      </w:r>
      <w:r w:rsidR="003068A1">
        <w:t>–</w:t>
      </w:r>
      <w:r w:rsidR="007E5640">
        <w:t xml:space="preserve"> </w:t>
      </w:r>
      <w:r w:rsidR="003068A1">
        <w:t xml:space="preserve">that is at least theoretically open to me. Rahimtoola </w:t>
      </w:r>
      <w:r w:rsidR="00E94357">
        <w:t>died</w:t>
      </w:r>
      <w:r w:rsidR="007922B1">
        <w:t xml:space="preserve"> in 1991</w:t>
      </w:r>
      <w:r w:rsidR="00AC2007">
        <w:t>. H</w:t>
      </w:r>
      <w:r w:rsidR="009E6974">
        <w:t>is estate was not made a party to these proceedings</w:t>
      </w:r>
      <w:r w:rsidR="00D602CF">
        <w:t xml:space="preserve">. </w:t>
      </w:r>
      <w:r w:rsidR="00C067DF">
        <w:t>That is because h</w:t>
      </w:r>
      <w:r w:rsidR="00D602CF">
        <w:t>is estate has</w:t>
      </w:r>
      <w:r w:rsidR="00C067DF">
        <w:t xml:space="preserve"> </w:t>
      </w:r>
      <w:r w:rsidR="00D14728">
        <w:t xml:space="preserve">disclaimed any interest in the Fund. </w:t>
      </w:r>
    </w:p>
    <w:p w14:paraId="05C0FAB3" w14:textId="77777777" w:rsidR="009E6974" w:rsidRPr="009E6974" w:rsidRDefault="009E6974" w:rsidP="00303672">
      <w:pPr>
        <w:keepNext/>
        <w:tabs>
          <w:tab w:val="left" w:pos="567"/>
        </w:tabs>
        <w:autoSpaceDE w:val="0"/>
        <w:spacing w:before="240" w:after="240"/>
        <w:jc w:val="both"/>
        <w:rPr>
          <w:b/>
          <w:bCs/>
          <w:i/>
          <w:iCs/>
        </w:rPr>
      </w:pPr>
      <w:r>
        <w:rPr>
          <w:b/>
          <w:bCs/>
          <w:i/>
          <w:iCs/>
        </w:rPr>
        <w:lastRenderedPageBreak/>
        <w:t>(d)</w:t>
      </w:r>
      <w:r>
        <w:rPr>
          <w:b/>
          <w:bCs/>
          <w:i/>
          <w:iCs/>
        </w:rPr>
        <w:tab/>
        <w:t>The restitution</w:t>
      </w:r>
      <w:r w:rsidR="00874256">
        <w:rPr>
          <w:b/>
          <w:bCs/>
          <w:i/>
          <w:iCs/>
        </w:rPr>
        <w:t>ary</w:t>
      </w:r>
      <w:r>
        <w:rPr>
          <w:b/>
          <w:bCs/>
          <w:i/>
          <w:iCs/>
        </w:rPr>
        <w:t xml:space="preserve"> claim</w:t>
      </w:r>
    </w:p>
    <w:p w14:paraId="575E664A" w14:textId="77777777" w:rsidR="00604B7C" w:rsidRDefault="003F7C1E" w:rsidP="003D4A67">
      <w:pPr>
        <w:numPr>
          <w:ilvl w:val="0"/>
          <w:numId w:val="2"/>
        </w:numPr>
        <w:autoSpaceDE w:val="0"/>
        <w:spacing w:before="240" w:after="240"/>
        <w:jc w:val="both"/>
      </w:pPr>
      <w:r>
        <w:t>As an alternative to the</w:t>
      </w:r>
      <w:r w:rsidR="00C45CFC">
        <w:t>ir contention that the Fund was held on trust</w:t>
      </w:r>
      <w:r>
        <w:t xml:space="preserve">, the Princes and India </w:t>
      </w:r>
      <w:r w:rsidR="00604B7C">
        <w:t xml:space="preserve">made </w:t>
      </w:r>
      <w:r>
        <w:t xml:space="preserve">a claim in restitution against both Pakistan and </w:t>
      </w:r>
      <w:r w:rsidR="00604B7C">
        <w:t>the</w:t>
      </w:r>
      <w:r w:rsidR="004F5759">
        <w:t xml:space="preserve"> Bank.</w:t>
      </w:r>
      <w:r w:rsidR="00BD59F0">
        <w:rPr>
          <w:rStyle w:val="FootnoteReference"/>
        </w:rPr>
        <w:footnoteReference w:id="27"/>
      </w:r>
      <w:r w:rsidR="00563865">
        <w:t xml:space="preserve"> The factual basis for the restitutionary claim is exactly the same as </w:t>
      </w:r>
      <w:r w:rsidR="002900A3">
        <w:t>that for the Princes’ and India’s trust claim.</w:t>
      </w:r>
      <w:r w:rsidR="00303672">
        <w:t xml:space="preserve"> Specifically, it was contended that the Transfer was unauthorised and that this lack of authority provided the basis for a claim </w:t>
      </w:r>
      <w:r w:rsidR="00F81420">
        <w:t>in restitution or unjust enrichment.</w:t>
      </w:r>
      <w:r w:rsidR="009E763D">
        <w:t xml:space="preserve"> As with the trust claim, Pakistan denied </w:t>
      </w:r>
      <w:r w:rsidR="009F6FD4">
        <w:t>that there was any unjust enrichment</w:t>
      </w:r>
      <w:r w:rsidR="00B8713A">
        <w:t xml:space="preserve">, basing herself </w:t>
      </w:r>
      <w:r w:rsidR="003B398A" w:rsidRPr="00522A2C">
        <w:t>on</w:t>
      </w:r>
      <w:r w:rsidR="0038060D">
        <w:t xml:space="preserve"> the absolute nature of the transfer</w:t>
      </w:r>
      <w:r w:rsidR="009F6FD4">
        <w:t>.</w:t>
      </w:r>
      <w:r w:rsidR="0038060D">
        <w:t xml:space="preserve"> Thus, subject to one point, the restitution claim ought to stand or fall </w:t>
      </w:r>
      <w:r w:rsidR="00754865">
        <w:t xml:space="preserve">with the dispute about the absolute nature of the transfer to </w:t>
      </w:r>
      <w:r w:rsidR="00981C5C">
        <w:t>Rahimtoola.</w:t>
      </w:r>
    </w:p>
    <w:p w14:paraId="5B8706BD" w14:textId="77777777" w:rsidR="009F6FD4" w:rsidRDefault="0027709B" w:rsidP="003D4A67">
      <w:pPr>
        <w:numPr>
          <w:ilvl w:val="0"/>
          <w:numId w:val="2"/>
        </w:numPr>
        <w:autoSpaceDE w:val="0"/>
        <w:spacing w:before="240" w:after="240"/>
        <w:jc w:val="both"/>
      </w:pPr>
      <w:r>
        <w:t xml:space="preserve">The additional point was that </w:t>
      </w:r>
      <w:r w:rsidR="009F6FD4">
        <w:t>Pakistan advance</w:t>
      </w:r>
      <w:r>
        <w:t>d</w:t>
      </w:r>
      <w:r w:rsidR="009F6FD4">
        <w:t xml:space="preserve"> </w:t>
      </w:r>
      <w:r w:rsidR="00851F40">
        <w:t xml:space="preserve">a limitation defence, contending that the restitutionary claim was statute barred by virtue of </w:t>
      </w:r>
      <w:r w:rsidR="001805F1">
        <w:t>the provisions of the Limitation Act 1939 or the Limitation Act 1980.</w:t>
      </w:r>
      <w:r w:rsidR="001805F1">
        <w:rPr>
          <w:rStyle w:val="FootnoteReference"/>
        </w:rPr>
        <w:footnoteReference w:id="28"/>
      </w:r>
      <w:r w:rsidR="00445EB0">
        <w:t xml:space="preserve"> Pakistan </w:t>
      </w:r>
      <w:r w:rsidR="00874256">
        <w:t xml:space="preserve">had </w:t>
      </w:r>
      <w:r w:rsidR="00445EB0">
        <w:t>sought to raise limitation as a defence to the trust claim</w:t>
      </w:r>
      <w:r w:rsidR="00981C5C">
        <w:t>s</w:t>
      </w:r>
      <w:r w:rsidR="00445EB0">
        <w:t xml:space="preserve"> as well, but this defence was struck out by order of Henderson J.</w:t>
      </w:r>
      <w:r w:rsidR="00F04F60">
        <w:rPr>
          <w:rStyle w:val="FootnoteReference"/>
        </w:rPr>
        <w:footnoteReference w:id="29"/>
      </w:r>
    </w:p>
    <w:p w14:paraId="661A630A" w14:textId="77777777" w:rsidR="003C5174" w:rsidRDefault="001C2CD3" w:rsidP="00AE071E">
      <w:pPr>
        <w:numPr>
          <w:ilvl w:val="0"/>
          <w:numId w:val="2"/>
        </w:numPr>
        <w:autoSpaceDE w:val="0"/>
        <w:spacing w:before="240" w:after="240"/>
        <w:jc w:val="both"/>
      </w:pPr>
      <w:r>
        <w:t xml:space="preserve">The Princes and India accepted that </w:t>
      </w:r>
      <w:r w:rsidR="00847BF6">
        <w:rPr>
          <w:i/>
          <w:iCs/>
        </w:rPr>
        <w:t xml:space="preserve">prima facie </w:t>
      </w:r>
      <w:r w:rsidR="00847BF6">
        <w:t>th</w:t>
      </w:r>
      <w:r w:rsidR="00874256">
        <w:t>e</w:t>
      </w:r>
      <w:r w:rsidR="00847BF6">
        <w:t xml:space="preserve"> limitation defence ought to succeed. The restitution claim </w:t>
      </w:r>
      <w:r w:rsidR="00850351">
        <w:t>accrued on 20 September 1948</w:t>
      </w:r>
      <w:r w:rsidR="00586272">
        <w:t xml:space="preserve">, when (as I shall </w:t>
      </w:r>
      <w:r w:rsidR="00FD4F37">
        <w:t>describe) the Transfer took place</w:t>
      </w:r>
      <w:r w:rsidR="00850351">
        <w:t xml:space="preserve">. The </w:t>
      </w:r>
      <w:r w:rsidR="00981C5C">
        <w:t>1954</w:t>
      </w:r>
      <w:r w:rsidR="00850351">
        <w:t xml:space="preserve"> Proceedings, brought by Nizam VII, were brought within time. The present proceedings are, on their face, plainly out of time. </w:t>
      </w:r>
      <w:r w:rsidR="00AE071E">
        <w:t>The Princes and India contended that the limitation defence should, however, fail for the following reasons</w:t>
      </w:r>
      <w:r w:rsidR="00E65072">
        <w:t xml:space="preserve"> (</w:t>
      </w:r>
      <w:r w:rsidR="00AE071E">
        <w:t xml:space="preserve">which I put </w:t>
      </w:r>
      <w:r w:rsidR="00E65072">
        <w:t xml:space="preserve">in logical order rather than the order in which they were </w:t>
      </w:r>
      <w:r w:rsidR="00CF0A1A">
        <w:t>stated</w:t>
      </w:r>
      <w:r w:rsidR="00AE071E">
        <w:t xml:space="preserve"> by the parties</w:t>
      </w:r>
      <w:r w:rsidR="00E65072">
        <w:t>)</w:t>
      </w:r>
      <w:r w:rsidR="00B54E6E">
        <w:t>:</w:t>
      </w:r>
    </w:p>
    <w:p w14:paraId="1D56636E" w14:textId="77777777" w:rsidR="00E65072" w:rsidRPr="00E65072" w:rsidRDefault="00D97AA4" w:rsidP="00AE071E">
      <w:pPr>
        <w:numPr>
          <w:ilvl w:val="1"/>
          <w:numId w:val="2"/>
        </w:numPr>
        <w:autoSpaceDE w:val="0"/>
        <w:spacing w:before="240" w:after="240"/>
        <w:jc w:val="both"/>
      </w:pPr>
      <w:r>
        <w:rPr>
          <w:i/>
          <w:iCs/>
        </w:rPr>
        <w:t>Pakistan’s r</w:t>
      </w:r>
      <w:r w:rsidR="00E65072">
        <w:rPr>
          <w:i/>
          <w:iCs/>
        </w:rPr>
        <w:t xml:space="preserve">aising </w:t>
      </w:r>
      <w:r>
        <w:rPr>
          <w:i/>
          <w:iCs/>
        </w:rPr>
        <w:t xml:space="preserve">of </w:t>
      </w:r>
      <w:r w:rsidR="00E65072">
        <w:rPr>
          <w:i/>
          <w:iCs/>
        </w:rPr>
        <w:t>the bar of sover</w:t>
      </w:r>
      <w:r w:rsidR="00A72049">
        <w:rPr>
          <w:i/>
          <w:iCs/>
        </w:rPr>
        <w:t>e</w:t>
      </w:r>
      <w:r w:rsidR="00E65072">
        <w:rPr>
          <w:i/>
          <w:iCs/>
        </w:rPr>
        <w:t xml:space="preserve">ign immunity prevented time running against any </w:t>
      </w:r>
      <w:r w:rsidR="00D01F05">
        <w:rPr>
          <w:i/>
          <w:iCs/>
        </w:rPr>
        <w:t xml:space="preserve">potential </w:t>
      </w:r>
      <w:r w:rsidR="00E65072">
        <w:rPr>
          <w:i/>
          <w:iCs/>
        </w:rPr>
        <w:t>claimants to the Fund</w:t>
      </w:r>
      <w:r w:rsidR="00D01F05">
        <w:rPr>
          <w:i/>
          <w:iCs/>
        </w:rPr>
        <w:t>:</w:t>
      </w:r>
      <w:r w:rsidR="00E65072">
        <w:rPr>
          <w:i/>
          <w:iCs/>
        </w:rPr>
        <w:t xml:space="preserve"> </w:t>
      </w:r>
      <w:r w:rsidR="00D01F05">
        <w:rPr>
          <w:i/>
          <w:iCs/>
        </w:rPr>
        <w:t xml:space="preserve">time </w:t>
      </w:r>
      <w:r w:rsidR="00E65072">
        <w:rPr>
          <w:i/>
          <w:iCs/>
        </w:rPr>
        <w:t xml:space="preserve">only began to run </w:t>
      </w:r>
      <w:r w:rsidR="005D0632">
        <w:rPr>
          <w:i/>
          <w:iCs/>
        </w:rPr>
        <w:t xml:space="preserve">again </w:t>
      </w:r>
      <w:r w:rsidR="00E65072">
        <w:rPr>
          <w:i/>
          <w:iCs/>
        </w:rPr>
        <w:t>when th</w:t>
      </w:r>
      <w:r w:rsidR="005D0632">
        <w:rPr>
          <w:i/>
          <w:iCs/>
        </w:rPr>
        <w:t>is procedural</w:t>
      </w:r>
      <w:r w:rsidR="00E65072">
        <w:rPr>
          <w:i/>
          <w:iCs/>
        </w:rPr>
        <w:t xml:space="preserve"> bar was waived</w:t>
      </w:r>
      <w:r w:rsidR="005D0632">
        <w:rPr>
          <w:i/>
          <w:iCs/>
        </w:rPr>
        <w:t xml:space="preserve"> by Pakistan </w:t>
      </w:r>
      <w:r w:rsidR="005E32DA">
        <w:rPr>
          <w:i/>
          <w:iCs/>
        </w:rPr>
        <w:t xml:space="preserve">in commencing </w:t>
      </w:r>
      <w:r w:rsidR="005D0632">
        <w:rPr>
          <w:i/>
          <w:iCs/>
        </w:rPr>
        <w:t>these proceedings</w:t>
      </w:r>
      <w:r w:rsidR="00E65072">
        <w:rPr>
          <w:i/>
          <w:iCs/>
        </w:rPr>
        <w:t>.</w:t>
      </w:r>
      <w:r w:rsidR="00E65072">
        <w:t xml:space="preserve"> The Princes and India contended </w:t>
      </w:r>
      <w:r w:rsidR="00B87BF1">
        <w:t xml:space="preserve">that </w:t>
      </w:r>
      <w:r w:rsidR="004738AC">
        <w:t xml:space="preserve">one consequence of Pakistan’s successful assertion of the </w:t>
      </w:r>
      <w:r w:rsidR="001511CE">
        <w:t>procedural bar</w:t>
      </w:r>
      <w:r w:rsidR="004738AC">
        <w:t xml:space="preserve"> </w:t>
      </w:r>
      <w:r w:rsidR="001511CE">
        <w:t xml:space="preserve">of </w:t>
      </w:r>
      <w:r w:rsidR="00A72049">
        <w:t>sovereign</w:t>
      </w:r>
      <w:r w:rsidR="001511CE">
        <w:t xml:space="preserve"> immunity </w:t>
      </w:r>
      <w:r w:rsidR="0094743C">
        <w:t xml:space="preserve">was to </w:t>
      </w:r>
      <w:r w:rsidR="00676A34">
        <w:t>prevent time from running during the period in which th</w:t>
      </w:r>
      <w:r w:rsidR="00762F7E">
        <w:t>at</w:t>
      </w:r>
      <w:r w:rsidR="00676A34">
        <w:t xml:space="preserve"> procedural bar was in place. Thus, with effect from the </w:t>
      </w:r>
      <w:r w:rsidR="00C731A1">
        <w:t>determination of the House of Lords in 1956 that Pakistan was entitled to assert, and had asserted, sovereign immunity</w:t>
      </w:r>
      <w:r w:rsidR="00762F7E">
        <w:t>,</w:t>
      </w:r>
      <w:r w:rsidR="00C84E59">
        <w:t xml:space="preserve"> time ceased to run for </w:t>
      </w:r>
      <w:r w:rsidR="00CA1ECB">
        <w:t xml:space="preserve">the purposes of </w:t>
      </w:r>
      <w:r w:rsidR="00C84E59">
        <w:t>limitation until sovereign immunity was waived by Pakistan by the commencement of these proceedings in 2013.</w:t>
      </w:r>
    </w:p>
    <w:p w14:paraId="163142EA" w14:textId="77777777" w:rsidR="00B54E6E" w:rsidRDefault="00D97AA4" w:rsidP="00AE071E">
      <w:pPr>
        <w:numPr>
          <w:ilvl w:val="1"/>
          <w:numId w:val="2"/>
        </w:numPr>
        <w:autoSpaceDE w:val="0"/>
        <w:spacing w:before="240" w:after="240"/>
        <w:jc w:val="both"/>
      </w:pPr>
      <w:r>
        <w:rPr>
          <w:i/>
          <w:iCs/>
        </w:rPr>
        <w:t>Pakistan’s r</w:t>
      </w:r>
      <w:r w:rsidR="00574E4F">
        <w:rPr>
          <w:i/>
          <w:iCs/>
        </w:rPr>
        <w:t xml:space="preserve">aising </w:t>
      </w:r>
      <w:r>
        <w:rPr>
          <w:i/>
          <w:iCs/>
        </w:rPr>
        <w:t xml:space="preserve">of </w:t>
      </w:r>
      <w:r w:rsidR="00574E4F">
        <w:rPr>
          <w:i/>
          <w:iCs/>
        </w:rPr>
        <w:t xml:space="preserve">the limitation defence </w:t>
      </w:r>
      <w:r w:rsidR="0084389E">
        <w:rPr>
          <w:i/>
          <w:iCs/>
        </w:rPr>
        <w:t>wa</w:t>
      </w:r>
      <w:r w:rsidR="00574E4F">
        <w:rPr>
          <w:i/>
          <w:iCs/>
        </w:rPr>
        <w:t xml:space="preserve">s an abuse of process. </w:t>
      </w:r>
      <w:r w:rsidR="004277A6">
        <w:t>The Princes and India contended that</w:t>
      </w:r>
      <w:r w:rsidR="00922F65">
        <w:t>,</w:t>
      </w:r>
      <w:r w:rsidR="00CE5AED">
        <w:t xml:space="preserve"> having successful</w:t>
      </w:r>
      <w:r w:rsidR="00B248F2">
        <w:t>ly</w:t>
      </w:r>
      <w:r w:rsidR="00CE5AED">
        <w:t xml:space="preserve"> raised </w:t>
      </w:r>
      <w:r w:rsidR="00CA1ECB">
        <w:t>sovereign</w:t>
      </w:r>
      <w:r w:rsidR="00CE5AED">
        <w:t xml:space="preserve"> immunity as a procedural bar to Nizam VII’s claims</w:t>
      </w:r>
      <w:r w:rsidR="007828AE">
        <w:t>, thereby causing the limitation period to expire</w:t>
      </w:r>
      <w:r w:rsidR="00CA1ECB">
        <w:t xml:space="preserve"> in relation to parties interested in the Fund</w:t>
      </w:r>
      <w:r w:rsidR="007828AE">
        <w:t xml:space="preserve">, </w:t>
      </w:r>
      <w:r w:rsidR="00B248F2">
        <w:t xml:space="preserve">it was an abuse of process </w:t>
      </w:r>
      <w:r w:rsidR="00F73BF3">
        <w:t xml:space="preserve">for Pakistan to raise </w:t>
      </w:r>
      <w:r w:rsidR="00FA6632">
        <w:t xml:space="preserve">limitation as </w:t>
      </w:r>
      <w:r w:rsidR="007649B7">
        <w:t>a</w:t>
      </w:r>
      <w:r w:rsidR="00FA6632">
        <w:t xml:space="preserve"> defence. In effect, by relying on one procedural protection</w:t>
      </w:r>
      <w:r w:rsidR="007649B7">
        <w:t xml:space="preserve"> (sovereign immunity)</w:t>
      </w:r>
      <w:r w:rsidR="00FA6632">
        <w:t>,</w:t>
      </w:r>
      <w:r w:rsidR="007649B7">
        <w:t xml:space="preserve"> and then waiving it,</w:t>
      </w:r>
      <w:r w:rsidR="00FA6632">
        <w:t xml:space="preserve"> Pakistan had facilitated its ability to </w:t>
      </w:r>
      <w:r w:rsidR="00E21E87">
        <w:t>rely on another</w:t>
      </w:r>
      <w:r w:rsidR="00CA1ECB">
        <w:t>, different, procedural protection (limitation)</w:t>
      </w:r>
      <w:r w:rsidR="005E5F5D">
        <w:t>,</w:t>
      </w:r>
      <w:r w:rsidR="00CA1ECB">
        <w:t xml:space="preserve"> </w:t>
      </w:r>
      <w:r w:rsidR="002C7251">
        <w:t>which was</w:t>
      </w:r>
      <w:r w:rsidR="005E5F5D">
        <w:t xml:space="preserve"> </w:t>
      </w:r>
      <w:r w:rsidR="005E5F5D">
        <w:lastRenderedPageBreak/>
        <w:t>(according to the Princes and India)</w:t>
      </w:r>
      <w:r w:rsidR="002C7251">
        <w:t xml:space="preserve"> an abuse</w:t>
      </w:r>
      <w:r w:rsidR="007649B7">
        <w:t xml:space="preserve"> of process under the Civil Procedure Rules</w:t>
      </w:r>
      <w:r w:rsidR="005E5F5D">
        <w:t xml:space="preserve"> (</w:t>
      </w:r>
      <w:r w:rsidR="005E5F5D">
        <w:rPr>
          <w:b/>
          <w:bCs/>
        </w:rPr>
        <w:t>CPR</w:t>
      </w:r>
      <w:r w:rsidR="005E5F5D">
        <w:t>)</w:t>
      </w:r>
      <w:r w:rsidR="002C7251">
        <w:t>.</w:t>
      </w:r>
    </w:p>
    <w:p w14:paraId="7AE0B736" w14:textId="77777777" w:rsidR="002C7251" w:rsidRDefault="0084389E" w:rsidP="00AE071E">
      <w:pPr>
        <w:numPr>
          <w:ilvl w:val="1"/>
          <w:numId w:val="2"/>
        </w:numPr>
        <w:autoSpaceDE w:val="0"/>
        <w:spacing w:before="240" w:after="240"/>
        <w:jc w:val="both"/>
      </w:pPr>
      <w:r>
        <w:rPr>
          <w:i/>
          <w:iCs/>
        </w:rPr>
        <w:t>Even if the claim against Pakistan failed</w:t>
      </w:r>
      <w:r w:rsidR="00197F30">
        <w:rPr>
          <w:i/>
          <w:iCs/>
        </w:rPr>
        <w:t xml:space="preserve"> by reason of the limitation defence</w:t>
      </w:r>
      <w:r>
        <w:rPr>
          <w:i/>
          <w:iCs/>
        </w:rPr>
        <w:t xml:space="preserve">, the same claim could </w:t>
      </w:r>
      <w:r w:rsidR="00197F30">
        <w:rPr>
          <w:i/>
          <w:iCs/>
        </w:rPr>
        <w:t xml:space="preserve">successfully </w:t>
      </w:r>
      <w:r>
        <w:rPr>
          <w:i/>
          <w:iCs/>
        </w:rPr>
        <w:t xml:space="preserve">be advanced </w:t>
      </w:r>
      <w:r w:rsidR="004F33F6">
        <w:rPr>
          <w:i/>
          <w:iCs/>
        </w:rPr>
        <w:t xml:space="preserve">against </w:t>
      </w:r>
      <w:r>
        <w:rPr>
          <w:i/>
          <w:iCs/>
        </w:rPr>
        <w:t xml:space="preserve">the </w:t>
      </w:r>
      <w:r w:rsidR="004F33F6">
        <w:rPr>
          <w:i/>
          <w:iCs/>
        </w:rPr>
        <w:t>Bank</w:t>
      </w:r>
      <w:r>
        <w:rPr>
          <w:i/>
          <w:iCs/>
        </w:rPr>
        <w:t>, which had pleaded no limitation defence</w:t>
      </w:r>
      <w:r w:rsidR="004F33F6">
        <w:rPr>
          <w:i/>
          <w:iCs/>
        </w:rPr>
        <w:t>.</w:t>
      </w:r>
      <w:r w:rsidR="004F33F6">
        <w:t xml:space="preserve"> </w:t>
      </w:r>
      <w:r w:rsidR="00B92F4D">
        <w:t xml:space="preserve">The </w:t>
      </w:r>
      <w:r w:rsidR="00197F30">
        <w:t xml:space="preserve">Bank, according to the </w:t>
      </w:r>
      <w:r w:rsidR="00B92F4D">
        <w:t>Princes and India</w:t>
      </w:r>
      <w:r w:rsidR="00197F30">
        <w:t xml:space="preserve">, received the Fund as </w:t>
      </w:r>
      <w:r w:rsidR="004E1E70">
        <w:t>agent for Rahimtoola (in whatever capacity)</w:t>
      </w:r>
      <w:r w:rsidR="002F55DE">
        <w:t xml:space="preserve"> but did not</w:t>
      </w:r>
      <w:r w:rsidR="00CC2FE8">
        <w:t>,</w:t>
      </w:r>
      <w:r w:rsidR="002F55DE">
        <w:t xml:space="preserve"> prior to notice of the claims of </w:t>
      </w:r>
      <w:r w:rsidR="007D583A">
        <w:t>Nizam VII</w:t>
      </w:r>
      <w:r w:rsidR="002F55DE">
        <w:t xml:space="preserve"> to the Fund</w:t>
      </w:r>
      <w:r w:rsidR="007D583A">
        <w:t>,</w:t>
      </w:r>
      <w:r w:rsidR="002F55DE">
        <w:t xml:space="preserve"> pay that money away to the Bank’s principal. Accordingly, </w:t>
      </w:r>
      <w:r w:rsidR="007E6E34">
        <w:t xml:space="preserve">the Bank was not entitled to the defence of “ministerial receipt” and was </w:t>
      </w:r>
      <w:r w:rsidR="007D583A">
        <w:t xml:space="preserve">itself </w:t>
      </w:r>
      <w:r w:rsidR="007E6E34">
        <w:t>obliged to account for the Fund to</w:t>
      </w:r>
      <w:r w:rsidR="0039748A">
        <w:t xml:space="preserve"> Nizam VII and his successors in title.</w:t>
      </w:r>
    </w:p>
    <w:p w14:paraId="19E19944" w14:textId="77777777" w:rsidR="00862DF5" w:rsidRPr="00862DF5" w:rsidRDefault="00862DF5" w:rsidP="00862DF5">
      <w:pPr>
        <w:autoSpaceDE w:val="0"/>
        <w:spacing w:before="240" w:after="240"/>
        <w:ind w:left="567"/>
        <w:jc w:val="both"/>
      </w:pPr>
      <w:r>
        <w:t>Pakistan disputed all three of these points.</w:t>
      </w:r>
      <w:r w:rsidR="00BA4BB0">
        <w:rPr>
          <w:rStyle w:val="FootnoteReference"/>
        </w:rPr>
        <w:footnoteReference w:id="30"/>
      </w:r>
    </w:p>
    <w:p w14:paraId="7EC188E9" w14:textId="77777777" w:rsidR="00BF6F05" w:rsidRPr="00F563F1" w:rsidRDefault="00F563F1" w:rsidP="001A729C">
      <w:pPr>
        <w:keepNext/>
        <w:tabs>
          <w:tab w:val="left" w:pos="567"/>
        </w:tabs>
        <w:autoSpaceDE w:val="0"/>
        <w:spacing w:before="240" w:after="240"/>
        <w:jc w:val="both"/>
        <w:rPr>
          <w:b/>
          <w:bCs/>
          <w:i/>
          <w:iCs/>
        </w:rPr>
      </w:pPr>
      <w:r>
        <w:rPr>
          <w:b/>
          <w:bCs/>
          <w:i/>
          <w:iCs/>
        </w:rPr>
        <w:t>(e)</w:t>
      </w:r>
      <w:r>
        <w:rPr>
          <w:b/>
          <w:bCs/>
          <w:i/>
          <w:iCs/>
        </w:rPr>
        <w:tab/>
        <w:t xml:space="preserve">Pakistan’s </w:t>
      </w:r>
      <w:r w:rsidR="0095016E">
        <w:rPr>
          <w:b/>
          <w:bCs/>
          <w:i/>
          <w:iCs/>
        </w:rPr>
        <w:t>foreign act of state and illegality</w:t>
      </w:r>
      <w:r>
        <w:rPr>
          <w:b/>
          <w:bCs/>
          <w:i/>
          <w:iCs/>
        </w:rPr>
        <w:t xml:space="preserve"> </w:t>
      </w:r>
      <w:r w:rsidR="008C61E8">
        <w:rPr>
          <w:b/>
          <w:bCs/>
          <w:i/>
          <w:iCs/>
        </w:rPr>
        <w:t>contentions</w:t>
      </w:r>
    </w:p>
    <w:p w14:paraId="61AE5039" w14:textId="77777777" w:rsidR="000A2375" w:rsidRDefault="00486B78" w:rsidP="007E67DC">
      <w:pPr>
        <w:numPr>
          <w:ilvl w:val="0"/>
          <w:numId w:val="2"/>
        </w:numPr>
        <w:autoSpaceDE w:val="0"/>
        <w:spacing w:before="240" w:after="240"/>
        <w:jc w:val="both"/>
      </w:pPr>
      <w:r>
        <w:t>Pakistan advance</w:t>
      </w:r>
      <w:r w:rsidR="0041355F">
        <w:t>d</w:t>
      </w:r>
      <w:r>
        <w:t xml:space="preserve"> two further </w:t>
      </w:r>
      <w:r w:rsidR="008C61E8">
        <w:t>points:</w:t>
      </w:r>
    </w:p>
    <w:p w14:paraId="77488507" w14:textId="77777777" w:rsidR="00D07392" w:rsidRDefault="009B4928" w:rsidP="009B4928">
      <w:pPr>
        <w:numPr>
          <w:ilvl w:val="1"/>
          <w:numId w:val="2"/>
        </w:numPr>
        <w:autoSpaceDE w:val="0"/>
        <w:spacing w:before="240" w:after="240"/>
        <w:jc w:val="both"/>
      </w:pPr>
      <w:r>
        <w:rPr>
          <w:i/>
          <w:iCs/>
        </w:rPr>
        <w:t xml:space="preserve">Foreign act of state and </w:t>
      </w:r>
      <w:r w:rsidR="00D1659C">
        <w:rPr>
          <w:i/>
          <w:iCs/>
        </w:rPr>
        <w:t>non-</w:t>
      </w:r>
      <w:r>
        <w:rPr>
          <w:i/>
          <w:iCs/>
        </w:rPr>
        <w:t>justiciability.</w:t>
      </w:r>
      <w:r>
        <w:t xml:space="preserve"> </w:t>
      </w:r>
      <w:r w:rsidR="00C02D73">
        <w:t xml:space="preserve">Pakistan contended that </w:t>
      </w:r>
      <w:r w:rsidR="00EB3D3F">
        <w:t xml:space="preserve">the facts of this case were such </w:t>
      </w:r>
      <w:r w:rsidR="003237F8">
        <w:t>as to render it non-justi</w:t>
      </w:r>
      <w:r w:rsidR="0011079F">
        <w:t>ci</w:t>
      </w:r>
      <w:r w:rsidR="003237F8">
        <w:t>able in whole or in part</w:t>
      </w:r>
      <w:r w:rsidR="00D07392">
        <w:t>. Paragraph 19 of Pakistan’s Pleading states:</w:t>
      </w:r>
    </w:p>
    <w:p w14:paraId="34245415" w14:textId="77777777" w:rsidR="00D07392" w:rsidRPr="00D07392" w:rsidRDefault="00D07392" w:rsidP="00D07392">
      <w:pPr>
        <w:autoSpaceDE w:val="0"/>
        <w:spacing w:before="240" w:after="240"/>
        <w:ind w:left="1134"/>
        <w:jc w:val="both"/>
        <w:rPr>
          <w:sz w:val="22"/>
          <w:szCs w:val="22"/>
        </w:rPr>
      </w:pPr>
      <w:r>
        <w:rPr>
          <w:sz w:val="22"/>
          <w:szCs w:val="22"/>
        </w:rPr>
        <w:t>“</w:t>
      </w:r>
      <w:r w:rsidR="00C33CCB">
        <w:rPr>
          <w:sz w:val="22"/>
          <w:szCs w:val="22"/>
        </w:rPr>
        <w:t xml:space="preserve">The </w:t>
      </w:r>
      <w:r w:rsidR="001B5AD9">
        <w:rPr>
          <w:sz w:val="22"/>
          <w:szCs w:val="22"/>
        </w:rPr>
        <w:t xml:space="preserve">Transfer, together with the other financial dealings </w:t>
      </w:r>
      <w:r w:rsidR="000F5947">
        <w:rPr>
          <w:sz w:val="22"/>
          <w:szCs w:val="22"/>
        </w:rPr>
        <w:t xml:space="preserve">between the State of Hyderabad and Pakistan prior to the Transfer, were transactions of a governmental nature </w:t>
      </w:r>
      <w:r w:rsidR="00C620F3">
        <w:rPr>
          <w:sz w:val="22"/>
          <w:szCs w:val="22"/>
        </w:rPr>
        <w:t xml:space="preserve">engaged in by two sovereign states in a political context. The non-justiciability and/or act of State doctrine </w:t>
      </w:r>
      <w:r w:rsidR="002A1155">
        <w:rPr>
          <w:sz w:val="22"/>
          <w:szCs w:val="22"/>
        </w:rPr>
        <w:t xml:space="preserve">applies to such transactions (but not to the banker-customer transaction governed by domestic law </w:t>
      </w:r>
      <w:r w:rsidR="00F646D5">
        <w:rPr>
          <w:sz w:val="22"/>
          <w:szCs w:val="22"/>
        </w:rPr>
        <w:t>between [Pakistan] and the [Bank]</w:t>
      </w:r>
      <w:r w:rsidR="00C441E3">
        <w:rPr>
          <w:sz w:val="22"/>
          <w:szCs w:val="22"/>
        </w:rPr>
        <w:t>)</w:t>
      </w:r>
      <w:r w:rsidR="00E6290E">
        <w:rPr>
          <w:sz w:val="22"/>
          <w:szCs w:val="22"/>
        </w:rPr>
        <w:t xml:space="preserve">, so that the Court will decline or abstain from exercising </w:t>
      </w:r>
      <w:r w:rsidR="007913C2">
        <w:rPr>
          <w:sz w:val="22"/>
          <w:szCs w:val="22"/>
        </w:rPr>
        <w:t xml:space="preserve">jurisdiction </w:t>
      </w:r>
      <w:r w:rsidR="00206BC1">
        <w:rPr>
          <w:sz w:val="22"/>
          <w:szCs w:val="22"/>
        </w:rPr>
        <w:t xml:space="preserve">in relation to the subject-matter of these proceedings, except as between </w:t>
      </w:r>
      <w:r w:rsidR="00706522">
        <w:rPr>
          <w:sz w:val="22"/>
          <w:szCs w:val="22"/>
        </w:rPr>
        <w:t>[Pakistan]</w:t>
      </w:r>
      <w:r w:rsidR="00206BC1">
        <w:rPr>
          <w:sz w:val="22"/>
          <w:szCs w:val="22"/>
        </w:rPr>
        <w:t xml:space="preserve"> and the </w:t>
      </w:r>
      <w:r w:rsidR="00706522">
        <w:rPr>
          <w:sz w:val="22"/>
          <w:szCs w:val="22"/>
        </w:rPr>
        <w:t>[Bank]</w:t>
      </w:r>
      <w:r w:rsidR="00206BC1">
        <w:rPr>
          <w:sz w:val="22"/>
          <w:szCs w:val="22"/>
        </w:rPr>
        <w:t xml:space="preserve"> in relation to the said </w:t>
      </w:r>
      <w:r w:rsidR="00200060">
        <w:rPr>
          <w:sz w:val="22"/>
          <w:szCs w:val="22"/>
        </w:rPr>
        <w:t>banker-customer relationship. [Pakistan]</w:t>
      </w:r>
      <w:r w:rsidR="00C56609">
        <w:rPr>
          <w:sz w:val="22"/>
          <w:szCs w:val="22"/>
        </w:rPr>
        <w:t xml:space="preserve"> is accordingly entitled to payment of the </w:t>
      </w:r>
      <w:r w:rsidR="00141E19">
        <w:rPr>
          <w:sz w:val="22"/>
          <w:szCs w:val="22"/>
        </w:rPr>
        <w:t>balance standing to the credit of the Rahimtoola Account</w:t>
      </w:r>
      <w:r w:rsidR="00FA4395">
        <w:rPr>
          <w:sz w:val="22"/>
          <w:szCs w:val="22"/>
        </w:rPr>
        <w:t>, this being the only justiciable claim made in these proceedings.”</w:t>
      </w:r>
    </w:p>
    <w:p w14:paraId="70BA6AE4" w14:textId="77777777" w:rsidR="009B4928" w:rsidRDefault="00FA4395" w:rsidP="00FA4395">
      <w:pPr>
        <w:autoSpaceDE w:val="0"/>
        <w:spacing w:before="240" w:after="240"/>
        <w:ind w:left="1134"/>
        <w:jc w:val="both"/>
      </w:pPr>
      <w:r>
        <w:t>In some cases,</w:t>
      </w:r>
      <w:r w:rsidR="0041355F">
        <w:t xml:space="preserve"> a question of non-justiciability</w:t>
      </w:r>
      <w:r>
        <w:t xml:space="preserve"> </w:t>
      </w:r>
      <w:r w:rsidR="00A31E8B">
        <w:t>can be determined without any</w:t>
      </w:r>
      <w:r w:rsidR="007D5651">
        <w:t xml:space="preserve"> factual inquiry need</w:t>
      </w:r>
      <w:r w:rsidR="00A31E8B">
        <w:t>ing</w:t>
      </w:r>
      <w:r w:rsidR="007D5651">
        <w:t xml:space="preserve"> </w:t>
      </w:r>
      <w:r w:rsidR="00A31E8B">
        <w:t xml:space="preserve">to </w:t>
      </w:r>
      <w:r w:rsidR="007D5651">
        <w:t xml:space="preserve">be undertaken. This is not such a case. </w:t>
      </w:r>
      <w:r w:rsidR="00AD6C6D">
        <w:t xml:space="preserve">It is – </w:t>
      </w:r>
      <w:r w:rsidR="00C672E2">
        <w:t>for example</w:t>
      </w:r>
      <w:r w:rsidR="00AD6C6D">
        <w:t xml:space="preserve"> – controversial as to whether </w:t>
      </w:r>
      <w:r w:rsidR="005B365F">
        <w:t xml:space="preserve">the Transfer was, in fact, </w:t>
      </w:r>
      <w:r w:rsidR="00C672E2">
        <w:t xml:space="preserve">of a governmental nature </w:t>
      </w:r>
      <w:r w:rsidR="004A682D">
        <w:t>engaged in by two sovereign states in a political context: the Princes and India contended that Rahimtoola received the Fund in a personal capacity</w:t>
      </w:r>
      <w:r w:rsidR="00870673">
        <w:t>, and that Pakistan’s interests were not engaged</w:t>
      </w:r>
      <w:r w:rsidR="00256F59">
        <w:t xml:space="preserve"> at all</w:t>
      </w:r>
      <w:r w:rsidR="00870673">
        <w:t xml:space="preserve">; also, the Princes and India contended that the </w:t>
      </w:r>
      <w:r w:rsidR="007C4B0D">
        <w:t>T</w:t>
      </w:r>
      <w:r w:rsidR="00870673">
        <w:t xml:space="preserve">ransfer was </w:t>
      </w:r>
      <w:r w:rsidR="00B049E1">
        <w:t xml:space="preserve">unknown to and not </w:t>
      </w:r>
      <w:r w:rsidR="00870673">
        <w:t xml:space="preserve">authorised by </w:t>
      </w:r>
      <w:r w:rsidR="007C4B0D">
        <w:t xml:space="preserve">Nizam VII and was effected by Moin </w:t>
      </w:r>
      <w:r w:rsidR="00FC6F86">
        <w:t>without</w:t>
      </w:r>
      <w:r w:rsidR="00B049E1">
        <w:t xml:space="preserve"> authorit</w:t>
      </w:r>
      <w:r w:rsidR="00AA1EA9">
        <w:t>y,</w:t>
      </w:r>
      <w:r w:rsidR="009050AB">
        <w:t xml:space="preserve"> when he was no longer </w:t>
      </w:r>
      <w:r w:rsidR="00D225AB">
        <w:t xml:space="preserve">Finance Minister and Minister for External Affairs for the Government of Hyderabad. </w:t>
      </w:r>
      <w:r w:rsidR="004C594C">
        <w:t>These factual question</w:t>
      </w:r>
      <w:r w:rsidR="00137BED">
        <w:t>s</w:t>
      </w:r>
      <w:r w:rsidR="004C594C">
        <w:t xml:space="preserve"> have a bearing on the question of justiciability</w:t>
      </w:r>
      <w:r w:rsidR="00137BED">
        <w:t xml:space="preserve"> and</w:t>
      </w:r>
      <w:r w:rsidR="00C36D66">
        <w:t xml:space="preserve"> so</w:t>
      </w:r>
      <w:r w:rsidR="00137BED">
        <w:t xml:space="preserve"> have to be determined </w:t>
      </w:r>
      <w:r w:rsidR="00137BED" w:rsidRPr="006A5516">
        <w:rPr>
          <w:u w:val="single"/>
        </w:rPr>
        <w:t>before</w:t>
      </w:r>
      <w:r w:rsidR="00137BED">
        <w:t xml:space="preserve"> the question of justiciability </w:t>
      </w:r>
      <w:r w:rsidR="00C36D66">
        <w:t xml:space="preserve">itself </w:t>
      </w:r>
      <w:r w:rsidR="00137BED">
        <w:t xml:space="preserve">can </w:t>
      </w:r>
      <w:r w:rsidR="00AA1EA9">
        <w:t xml:space="preserve">properly </w:t>
      </w:r>
      <w:r w:rsidR="00137BED">
        <w:t xml:space="preserve">be considered. </w:t>
      </w:r>
      <w:r w:rsidR="003E6B5B">
        <w:t xml:space="preserve">So, although this was </w:t>
      </w:r>
      <w:r w:rsidR="00C36D66">
        <w:t xml:space="preserve">the first point </w:t>
      </w:r>
      <w:r w:rsidR="003E6B5B">
        <w:t xml:space="preserve">Pakistan </w:t>
      </w:r>
      <w:r w:rsidR="00C36D66">
        <w:t>took in her</w:t>
      </w:r>
      <w:r w:rsidR="003E6B5B">
        <w:t xml:space="preserve"> pleading, it is one of the last issues that I consider in this Judgment.</w:t>
      </w:r>
      <w:r w:rsidR="003E6B5B">
        <w:rPr>
          <w:rStyle w:val="FootnoteReference"/>
        </w:rPr>
        <w:footnoteReference w:id="31"/>
      </w:r>
    </w:p>
    <w:p w14:paraId="3AA38EAF" w14:textId="77777777" w:rsidR="00F21E81" w:rsidRDefault="00F21E81" w:rsidP="009B4928">
      <w:pPr>
        <w:numPr>
          <w:ilvl w:val="1"/>
          <w:numId w:val="2"/>
        </w:numPr>
        <w:autoSpaceDE w:val="0"/>
        <w:spacing w:before="240" w:after="240"/>
        <w:jc w:val="both"/>
      </w:pPr>
      <w:r>
        <w:rPr>
          <w:i/>
          <w:iCs/>
        </w:rPr>
        <w:t>Illegality.</w:t>
      </w:r>
      <w:r>
        <w:t xml:space="preserve"> Pakistan contended that India’s invasion of Hyderabad</w:t>
      </w:r>
      <w:r w:rsidR="00BE0E74">
        <w:t xml:space="preserve"> (which India, to be clear, characterised as a lawful “police action”)</w:t>
      </w:r>
      <w:r>
        <w:t xml:space="preserve"> was an unlawful</w:t>
      </w:r>
      <w:r w:rsidR="00AD0AD7">
        <w:t xml:space="preserve"> act</w:t>
      </w:r>
      <w:r>
        <w:t xml:space="preserve"> </w:t>
      </w:r>
      <w:r w:rsidR="007A18EE">
        <w:t xml:space="preserve">which </w:t>
      </w:r>
      <w:r w:rsidR="007A18EE">
        <w:lastRenderedPageBreak/>
        <w:t xml:space="preserve">precluded </w:t>
      </w:r>
      <w:r w:rsidR="00F652FA">
        <w:t>the Princes and India from maintain</w:t>
      </w:r>
      <w:r w:rsidR="00E70F4C">
        <w:t>ing</w:t>
      </w:r>
      <w:r w:rsidR="00F652FA">
        <w:t xml:space="preserve"> their claims. </w:t>
      </w:r>
      <w:r w:rsidR="00D72B7C">
        <w:t xml:space="preserve">Specifically, Pakistan contended that India’s </w:t>
      </w:r>
      <w:r w:rsidR="00976D63">
        <w:t xml:space="preserve">alleged </w:t>
      </w:r>
      <w:r w:rsidR="00D72B7C">
        <w:t xml:space="preserve">invasion </w:t>
      </w:r>
      <w:r w:rsidR="00690BEF">
        <w:t xml:space="preserve">and annexation </w:t>
      </w:r>
      <w:r w:rsidR="00D72B7C">
        <w:t>of Hyderabad in 1948</w:t>
      </w:r>
      <w:r w:rsidR="00C4569A">
        <w:t>:</w:t>
      </w:r>
    </w:p>
    <w:p w14:paraId="2FA5B21B" w14:textId="77777777" w:rsidR="00C4569A" w:rsidRDefault="00C4569A" w:rsidP="00C4569A">
      <w:pPr>
        <w:numPr>
          <w:ilvl w:val="2"/>
          <w:numId w:val="2"/>
        </w:numPr>
        <w:autoSpaceDE w:val="0"/>
        <w:spacing w:before="240" w:after="240"/>
        <w:jc w:val="both"/>
      </w:pPr>
      <w:r>
        <w:t>Violated the Charter of the United Nations</w:t>
      </w:r>
      <w:r w:rsidR="00690BEF">
        <w:t>;</w:t>
      </w:r>
    </w:p>
    <w:p w14:paraId="02AE8A2F" w14:textId="77777777" w:rsidR="00690BEF" w:rsidRDefault="00690BEF" w:rsidP="00C4569A">
      <w:pPr>
        <w:numPr>
          <w:ilvl w:val="2"/>
          <w:numId w:val="2"/>
        </w:numPr>
        <w:autoSpaceDE w:val="0"/>
        <w:spacing w:before="240" w:after="240"/>
        <w:jc w:val="both"/>
      </w:pPr>
      <w:r>
        <w:t>Violated the terms of the Indian Independence Act 1947</w:t>
      </w:r>
      <w:r w:rsidR="00B84883">
        <w:t>; and</w:t>
      </w:r>
    </w:p>
    <w:p w14:paraId="7CF7CE6A" w14:textId="77777777" w:rsidR="00B84883" w:rsidRDefault="00B84883" w:rsidP="00C4569A">
      <w:pPr>
        <w:numPr>
          <w:ilvl w:val="2"/>
          <w:numId w:val="2"/>
        </w:numPr>
        <w:autoSpaceDE w:val="0"/>
        <w:spacing w:before="240" w:after="240"/>
        <w:jc w:val="both"/>
      </w:pPr>
      <w:r>
        <w:t xml:space="preserve">Breached an agreement – the </w:t>
      </w:r>
      <w:r>
        <w:rPr>
          <w:b/>
          <w:bCs/>
        </w:rPr>
        <w:t>Standstill Agreement</w:t>
      </w:r>
      <w:r>
        <w:t xml:space="preserve"> </w:t>
      </w:r>
      <w:r w:rsidR="00E9038D">
        <w:t>–</w:t>
      </w:r>
      <w:r>
        <w:t xml:space="preserve"> </w:t>
      </w:r>
      <w:r w:rsidR="00E9038D">
        <w:t xml:space="preserve">concluded between </w:t>
      </w:r>
      <w:r w:rsidR="00553F4D">
        <w:t xml:space="preserve">India and </w:t>
      </w:r>
      <w:r w:rsidR="00E9038D">
        <w:t>Hyderabad on 29 November 1947.</w:t>
      </w:r>
    </w:p>
    <w:p w14:paraId="49B6B232" w14:textId="77777777" w:rsidR="00E9038D" w:rsidRDefault="00253D04" w:rsidP="00E9038D">
      <w:pPr>
        <w:autoSpaceDE w:val="0"/>
        <w:spacing w:before="240" w:after="240"/>
        <w:ind w:left="1134"/>
        <w:jc w:val="both"/>
      </w:pPr>
      <w:r>
        <w:t>T</w:t>
      </w:r>
      <w:r w:rsidR="00603CDC">
        <w:t xml:space="preserve">hese contentions </w:t>
      </w:r>
      <w:r>
        <w:t>are considered in Section L below.</w:t>
      </w:r>
      <w:r w:rsidR="00603CDC">
        <w:t xml:space="preserve"> </w:t>
      </w:r>
    </w:p>
    <w:p w14:paraId="00DEF21F" w14:textId="77777777" w:rsidR="00072D3B" w:rsidRPr="001761D1" w:rsidRDefault="001761D1" w:rsidP="001742D3">
      <w:pPr>
        <w:keepNext/>
        <w:tabs>
          <w:tab w:val="left" w:pos="567"/>
        </w:tabs>
        <w:autoSpaceDE w:val="0"/>
        <w:spacing w:before="240" w:after="240"/>
        <w:jc w:val="both"/>
        <w:rPr>
          <w:b/>
          <w:bCs/>
        </w:rPr>
      </w:pPr>
      <w:r>
        <w:rPr>
          <w:b/>
          <w:bCs/>
        </w:rPr>
        <w:t>(</w:t>
      </w:r>
      <w:r w:rsidR="00546B8E">
        <w:rPr>
          <w:b/>
          <w:bCs/>
        </w:rPr>
        <w:t>4</w:t>
      </w:r>
      <w:r>
        <w:rPr>
          <w:b/>
          <w:bCs/>
        </w:rPr>
        <w:t>)</w:t>
      </w:r>
      <w:r>
        <w:rPr>
          <w:b/>
          <w:bCs/>
        </w:rPr>
        <w:tab/>
        <w:t xml:space="preserve">Structure of this </w:t>
      </w:r>
      <w:r w:rsidR="00736D1D">
        <w:rPr>
          <w:b/>
          <w:bCs/>
        </w:rPr>
        <w:t>J</w:t>
      </w:r>
      <w:r>
        <w:rPr>
          <w:b/>
          <w:bCs/>
        </w:rPr>
        <w:t>udgment</w:t>
      </w:r>
    </w:p>
    <w:p w14:paraId="03FB4D75" w14:textId="77777777" w:rsidR="00161671" w:rsidRDefault="00AB4D31" w:rsidP="007E67DC">
      <w:pPr>
        <w:numPr>
          <w:ilvl w:val="0"/>
          <w:numId w:val="2"/>
        </w:numPr>
        <w:autoSpaceDE w:val="0"/>
        <w:spacing w:before="240" w:after="240"/>
        <w:jc w:val="both"/>
      </w:pPr>
      <w:r>
        <w:t xml:space="preserve">My approach to resolving these </w:t>
      </w:r>
      <w:r w:rsidR="0016256E">
        <w:t xml:space="preserve">multiple </w:t>
      </w:r>
      <w:r>
        <w:t>issues will be as follows:</w:t>
      </w:r>
    </w:p>
    <w:p w14:paraId="5AD72BD7" w14:textId="77777777" w:rsidR="00855D07" w:rsidRDefault="006D5B92" w:rsidP="00855D07">
      <w:pPr>
        <w:numPr>
          <w:ilvl w:val="1"/>
          <w:numId w:val="2"/>
        </w:numPr>
        <w:autoSpaceDE w:val="0"/>
        <w:spacing w:before="240" w:after="240"/>
        <w:jc w:val="both"/>
      </w:pPr>
      <w:r>
        <w:t>T</w:t>
      </w:r>
      <w:r w:rsidR="00476615">
        <w:t xml:space="preserve">he essential facts underlying this claim occurred </w:t>
      </w:r>
      <w:r w:rsidR="007821E0">
        <w:t>over 70 years ago</w:t>
      </w:r>
      <w:r w:rsidR="00287D53">
        <w:t xml:space="preserve">. Although I did hear one witness of fact, most of the participants who could have shed light on the events of 1948 </w:t>
      </w:r>
      <w:r w:rsidR="00855D07">
        <w:t xml:space="preserve">had long since died. </w:t>
      </w:r>
      <w:r w:rsidR="00C736F8">
        <w:t>Clearly, deciding issues of fact in such circumstances can only be described as challenging. I describe the evidence before me</w:t>
      </w:r>
      <w:r w:rsidR="00047B60">
        <w:t>, and how I treat that evidence, in Section B.</w:t>
      </w:r>
    </w:p>
    <w:p w14:paraId="0BB9AE22" w14:textId="77777777" w:rsidR="0017554F" w:rsidRDefault="002459FF" w:rsidP="002205AE">
      <w:pPr>
        <w:numPr>
          <w:ilvl w:val="1"/>
          <w:numId w:val="2"/>
        </w:numPr>
        <w:autoSpaceDE w:val="0"/>
        <w:spacing w:before="240" w:after="240"/>
        <w:jc w:val="both"/>
      </w:pPr>
      <w:r>
        <w:t>Section</w:t>
      </w:r>
      <w:r w:rsidR="00B16CC1">
        <w:t>s</w:t>
      </w:r>
      <w:r>
        <w:t xml:space="preserve"> C</w:t>
      </w:r>
      <w:r w:rsidR="00B16CC1">
        <w:t xml:space="preserve"> to </w:t>
      </w:r>
      <w:r w:rsidR="00424400">
        <w:t>E</w:t>
      </w:r>
      <w:r w:rsidR="002B7D7D">
        <w:t xml:space="preserve"> deal with different aspects of the factual background</w:t>
      </w:r>
      <w:r w:rsidR="002205AE">
        <w:t xml:space="preserve">. </w:t>
      </w:r>
      <w:r w:rsidR="0017554F">
        <w:t>More specifically:</w:t>
      </w:r>
    </w:p>
    <w:p w14:paraId="6D5A0C77" w14:textId="77777777" w:rsidR="00047B60" w:rsidRDefault="002205AE" w:rsidP="00CB2234">
      <w:pPr>
        <w:numPr>
          <w:ilvl w:val="2"/>
          <w:numId w:val="2"/>
        </w:numPr>
        <w:autoSpaceDE w:val="0"/>
        <w:spacing w:before="240" w:after="240"/>
        <w:jc w:val="both"/>
      </w:pPr>
      <w:r>
        <w:t>Section C begins with Hyder</w:t>
      </w:r>
      <w:r w:rsidR="00091CD4">
        <w:t>a</w:t>
      </w:r>
      <w:r>
        <w:t>bad itself</w:t>
      </w:r>
      <w:r w:rsidR="00874408">
        <w:t>:</w:t>
      </w:r>
      <w:r>
        <w:t xml:space="preserve"> its </w:t>
      </w:r>
      <w:r w:rsidR="00182549">
        <w:t xml:space="preserve">geography and </w:t>
      </w:r>
      <w:r>
        <w:t>history (so far as relevant)</w:t>
      </w:r>
      <w:r w:rsidR="004D1312">
        <w:t>,</w:t>
      </w:r>
      <w:r>
        <w:t xml:space="preserve"> </w:t>
      </w:r>
      <w:r w:rsidR="003E4E9C">
        <w:t>its constitutional position over time</w:t>
      </w:r>
      <w:r w:rsidR="00874408">
        <w:t>,</w:t>
      </w:r>
      <w:r w:rsidR="00A02279">
        <w:t xml:space="preserve"> and </w:t>
      </w:r>
      <w:r w:rsidR="0076126A">
        <w:t xml:space="preserve">the </w:t>
      </w:r>
      <w:r w:rsidR="00EE3351">
        <w:t>circumstances in which i</w:t>
      </w:r>
      <w:r w:rsidR="0099131C">
        <w:t>t</w:t>
      </w:r>
      <w:r w:rsidR="00EE3351">
        <w:t xml:space="preserve"> came to be invaded</w:t>
      </w:r>
      <w:r w:rsidR="00EE3351">
        <w:rPr>
          <w:rStyle w:val="FootnoteReference"/>
        </w:rPr>
        <w:footnoteReference w:id="32"/>
      </w:r>
      <w:r w:rsidR="00EE3351">
        <w:t xml:space="preserve"> by India. </w:t>
      </w:r>
      <w:r w:rsidR="00A30E7A">
        <w:t xml:space="preserve">Section </w:t>
      </w:r>
      <w:r w:rsidR="00AD38D6">
        <w:t xml:space="preserve">C inevitably </w:t>
      </w:r>
      <w:r w:rsidR="00182549">
        <w:t xml:space="preserve">has to </w:t>
      </w:r>
      <w:r w:rsidR="00AD38D6">
        <w:t xml:space="preserve">consider </w:t>
      </w:r>
      <w:r w:rsidR="00CC4FE3" w:rsidRPr="00751778">
        <w:t xml:space="preserve">those few days in September 1948 when </w:t>
      </w:r>
      <w:r w:rsidR="00F77EDB" w:rsidRPr="00751778">
        <w:t>the Indian Army invaded Hyder</w:t>
      </w:r>
      <w:r w:rsidR="00C03E36" w:rsidRPr="00751778">
        <w:t>a</w:t>
      </w:r>
      <w:r w:rsidR="00F77EDB" w:rsidRPr="00751778">
        <w:t xml:space="preserve">bad – which, of course, was when the </w:t>
      </w:r>
      <w:r w:rsidR="00B410FC" w:rsidRPr="00751778">
        <w:t>T</w:t>
      </w:r>
      <w:r w:rsidR="00F77EDB" w:rsidRPr="00751778">
        <w:t xml:space="preserve">ransfer was made </w:t>
      </w:r>
      <w:r w:rsidR="00B410FC" w:rsidRPr="00751778">
        <w:t>–</w:t>
      </w:r>
      <w:r w:rsidR="00F77EDB" w:rsidRPr="00751778">
        <w:t xml:space="preserve"> </w:t>
      </w:r>
      <w:r w:rsidR="00B410FC" w:rsidRPr="00751778">
        <w:t>in order to gain insight into</w:t>
      </w:r>
      <w:r w:rsidR="00B410FC">
        <w:t xml:space="preserve"> what </w:t>
      </w:r>
      <w:r w:rsidR="00EF52F0">
        <w:t>Nizam VII and his advisors must have been thinking</w:t>
      </w:r>
      <w:r w:rsidR="007432AE">
        <w:t xml:space="preserve"> and what they must have intended</w:t>
      </w:r>
      <w:r w:rsidR="00EF52F0">
        <w:t xml:space="preserve">. </w:t>
      </w:r>
    </w:p>
    <w:p w14:paraId="329D2153" w14:textId="77777777" w:rsidR="00554D0F" w:rsidRDefault="002B1001" w:rsidP="002E363D">
      <w:pPr>
        <w:numPr>
          <w:ilvl w:val="2"/>
          <w:numId w:val="2"/>
        </w:numPr>
        <w:autoSpaceDE w:val="0"/>
        <w:spacing w:before="240" w:after="240"/>
        <w:jc w:val="both"/>
      </w:pPr>
      <w:r>
        <w:t xml:space="preserve">Section </w:t>
      </w:r>
      <w:r w:rsidR="00CB2234">
        <w:t>D</w:t>
      </w:r>
      <w:r w:rsidR="00DA7B59">
        <w:t xml:space="preserve"> </w:t>
      </w:r>
      <w:r>
        <w:t>consider</w:t>
      </w:r>
      <w:r w:rsidR="00DA7B59">
        <w:t>s</w:t>
      </w:r>
      <w:r>
        <w:t xml:space="preserve"> the immediate circumstances surrounding the </w:t>
      </w:r>
      <w:r w:rsidR="00DA7B59">
        <w:t>Transfer</w:t>
      </w:r>
      <w:r w:rsidR="00424400">
        <w:t xml:space="preserve"> </w:t>
      </w:r>
      <w:r w:rsidR="00EE20E8">
        <w:t xml:space="preserve">to </w:t>
      </w:r>
      <w:r w:rsidR="003B67CB">
        <w:t xml:space="preserve">the </w:t>
      </w:r>
      <w:r w:rsidR="00EE20E8">
        <w:t>Rahimtoola</w:t>
      </w:r>
      <w:r w:rsidR="003B67CB">
        <w:t xml:space="preserve"> Account</w:t>
      </w:r>
      <w:r w:rsidR="00EE20E8">
        <w:t xml:space="preserve">. This includes a consideration of two letters, </w:t>
      </w:r>
      <w:r w:rsidR="00CA5504">
        <w:t>dated</w:t>
      </w:r>
      <w:r w:rsidR="00EE20E8">
        <w:t xml:space="preserve"> </w:t>
      </w:r>
      <w:r w:rsidR="00EE20E8" w:rsidRPr="00522A2C">
        <w:t>1</w:t>
      </w:r>
      <w:r w:rsidR="00547B1C" w:rsidRPr="00522A2C">
        <w:t>5</w:t>
      </w:r>
      <w:r w:rsidR="00EE20E8">
        <w:t xml:space="preserve"> September 1948</w:t>
      </w:r>
      <w:r w:rsidR="00CA5504">
        <w:t xml:space="preserve"> and</w:t>
      </w:r>
      <w:r w:rsidR="00EE20E8">
        <w:t xml:space="preserve"> </w:t>
      </w:r>
      <w:r w:rsidR="00CA5504">
        <w:t xml:space="preserve">set out </w:t>
      </w:r>
      <w:r w:rsidR="00DA7B59">
        <w:t xml:space="preserve">in paragraphs </w:t>
      </w:r>
      <w:r w:rsidR="00547B1C" w:rsidRPr="00522A2C">
        <w:t>108 and 109</w:t>
      </w:r>
      <w:r w:rsidR="00DA7B59">
        <w:t xml:space="preserve"> below, </w:t>
      </w:r>
      <w:r w:rsidR="00EE20E8">
        <w:t xml:space="preserve">which the Princes and India say </w:t>
      </w:r>
      <w:r w:rsidR="00F24488">
        <w:t xml:space="preserve">evidence an express trust of the </w:t>
      </w:r>
      <w:r w:rsidR="00D40385">
        <w:t>Fund</w:t>
      </w:r>
      <w:r w:rsidR="00F24488">
        <w:t>.</w:t>
      </w:r>
    </w:p>
    <w:p w14:paraId="51143CCD" w14:textId="77777777" w:rsidR="00F24488" w:rsidRDefault="00F24488" w:rsidP="00D40385">
      <w:pPr>
        <w:numPr>
          <w:ilvl w:val="2"/>
          <w:numId w:val="2"/>
        </w:numPr>
        <w:autoSpaceDE w:val="0"/>
        <w:spacing w:before="240" w:after="240"/>
        <w:jc w:val="both"/>
      </w:pPr>
      <w:r>
        <w:t xml:space="preserve">Section </w:t>
      </w:r>
      <w:r w:rsidR="00CB2234">
        <w:t>E</w:t>
      </w:r>
      <w:r w:rsidR="004473AA">
        <w:t xml:space="preserve"> </w:t>
      </w:r>
      <w:r w:rsidR="00494851">
        <w:t xml:space="preserve">describes </w:t>
      </w:r>
      <w:r w:rsidR="00763E69">
        <w:t>certain</w:t>
      </w:r>
      <w:r w:rsidR="00494851">
        <w:t xml:space="preserve"> events that post-dated </w:t>
      </w:r>
      <w:r w:rsidR="00E172D2">
        <w:t xml:space="preserve">the </w:t>
      </w:r>
      <w:r w:rsidR="00D40385">
        <w:t>T</w:t>
      </w:r>
      <w:r w:rsidR="00E172D2">
        <w:t>ransfer.</w:t>
      </w:r>
    </w:p>
    <w:p w14:paraId="106D6189" w14:textId="77777777" w:rsidR="00957019" w:rsidRDefault="00957019" w:rsidP="00957019">
      <w:pPr>
        <w:autoSpaceDE w:val="0"/>
        <w:spacing w:before="240" w:after="240"/>
        <w:ind w:left="1134"/>
        <w:jc w:val="both"/>
      </w:pPr>
      <w:r>
        <w:t>Sections C</w:t>
      </w:r>
      <w:r w:rsidR="00CB2234">
        <w:t>, D and E</w:t>
      </w:r>
      <w:r>
        <w:t xml:space="preserve"> do not seek to be comprehensive. Rather, they seek to </w:t>
      </w:r>
      <w:r w:rsidR="009A28DA">
        <w:t>provide an overall context within which the more specific contentions</w:t>
      </w:r>
      <w:r w:rsidR="00E71F73">
        <w:t xml:space="preserve"> of the parties</w:t>
      </w:r>
      <w:r w:rsidR="009A28DA">
        <w:t xml:space="preserve"> – and the facts supporting those contentions – can be considered</w:t>
      </w:r>
      <w:r w:rsidR="000D6C22">
        <w:t>.</w:t>
      </w:r>
    </w:p>
    <w:p w14:paraId="4F438F2C" w14:textId="77777777" w:rsidR="00FC2264" w:rsidRDefault="007F3D06" w:rsidP="00FC2264">
      <w:pPr>
        <w:numPr>
          <w:ilvl w:val="1"/>
          <w:numId w:val="2"/>
        </w:numPr>
        <w:autoSpaceDE w:val="0"/>
        <w:spacing w:before="240" w:after="240"/>
        <w:jc w:val="both"/>
      </w:pPr>
      <w:r>
        <w:t xml:space="preserve">Section F considers the actual authority that Nizam VII had </w:t>
      </w:r>
      <w:r w:rsidR="00E67E9C">
        <w:t xml:space="preserve">and was able to confer </w:t>
      </w:r>
      <w:r>
        <w:t xml:space="preserve">at the time of the Transfer. </w:t>
      </w:r>
      <w:r w:rsidR="001E6876">
        <w:t xml:space="preserve">The parties were in dispute as to whether Nizam VII </w:t>
      </w:r>
      <w:r w:rsidR="001E6876">
        <w:lastRenderedPageBreak/>
        <w:t xml:space="preserve">had </w:t>
      </w:r>
      <w:r w:rsidR="004D1355">
        <w:t>in fact</w:t>
      </w:r>
      <w:r w:rsidR="001E6876">
        <w:t xml:space="preserve"> authorised the Transfer. </w:t>
      </w:r>
      <w:r w:rsidR="00DB6CA3">
        <w:t xml:space="preserve">Pakistan contended that he had; the Princes and India that he had not. Clearly, the question of authorisation is a matter relevant to the </w:t>
      </w:r>
      <w:r w:rsidR="004D1355">
        <w:t xml:space="preserve">nature and </w:t>
      </w:r>
      <w:r w:rsidR="00DB6CA3">
        <w:t xml:space="preserve">effect of the Transfer. </w:t>
      </w:r>
      <w:r w:rsidR="001B60B2">
        <w:t xml:space="preserve">Before considering, however, </w:t>
      </w:r>
      <w:r w:rsidR="001B60B2" w:rsidRPr="001B60B2">
        <w:rPr>
          <w:u w:val="single"/>
        </w:rPr>
        <w:t>whether</w:t>
      </w:r>
      <w:r w:rsidR="001B60B2">
        <w:t xml:space="preserve"> Nizam VII authorised the Transfer, it is necessary to consider </w:t>
      </w:r>
      <w:r w:rsidR="00FC2264">
        <w:t>an anterior question: what was the authority of the Nizam</w:t>
      </w:r>
      <w:r w:rsidR="00FE4FA5">
        <w:t xml:space="preserve"> in this regard</w:t>
      </w:r>
      <w:r w:rsidR="00FC2264">
        <w:t xml:space="preserve"> and how was that authority exercised? </w:t>
      </w:r>
      <w:r w:rsidR="00FA2C77">
        <w:t>In particular, how did the Nizam delegate? These</w:t>
      </w:r>
      <w:r w:rsidR="00FC2264">
        <w:t xml:space="preserve"> question</w:t>
      </w:r>
      <w:r w:rsidR="00FA2C77">
        <w:t>s</w:t>
      </w:r>
      <w:r w:rsidR="00FC2264">
        <w:t xml:space="preserve"> </w:t>
      </w:r>
      <w:r w:rsidR="00FA2C77">
        <w:t>of authority and delegation are</w:t>
      </w:r>
      <w:r w:rsidR="00FC2264">
        <w:t xml:space="preserve"> considered in Section F.</w:t>
      </w:r>
    </w:p>
    <w:p w14:paraId="6DD872FB" w14:textId="77777777" w:rsidR="00FC2264" w:rsidRDefault="00C5560A" w:rsidP="00FC2264">
      <w:pPr>
        <w:numPr>
          <w:ilvl w:val="1"/>
          <w:numId w:val="2"/>
        </w:numPr>
        <w:autoSpaceDE w:val="0"/>
        <w:spacing w:before="240" w:after="240"/>
        <w:jc w:val="both"/>
      </w:pPr>
      <w:r>
        <w:t xml:space="preserve">Sections G and </w:t>
      </w:r>
      <w:r w:rsidR="00BE4C7C">
        <w:t xml:space="preserve">H consider, in turn, Pakistan’s contentions, summarised in paragraph </w:t>
      </w:r>
      <w:r w:rsidR="00643D48">
        <w:t>17</w:t>
      </w:r>
      <w:r w:rsidR="00BE4C7C">
        <w:t xml:space="preserve"> above, as </w:t>
      </w:r>
      <w:r w:rsidR="005F1D00">
        <w:t xml:space="preserve">to </w:t>
      </w:r>
      <w:r w:rsidR="00BE4C7C">
        <w:t xml:space="preserve">the absolute nature of the </w:t>
      </w:r>
      <w:r w:rsidR="005F1D00">
        <w:t>T</w:t>
      </w:r>
      <w:r w:rsidR="00BE4C7C">
        <w:t>ransfer. Section G considers the Arms for Money Argument.</w:t>
      </w:r>
      <w:r w:rsidR="005F1D00">
        <w:rPr>
          <w:rStyle w:val="FootnoteReference"/>
        </w:rPr>
        <w:footnoteReference w:id="33"/>
      </w:r>
      <w:r w:rsidR="00BE4C7C">
        <w:t xml:space="preserve"> </w:t>
      </w:r>
      <w:r w:rsidR="00203854">
        <w:t>Section H considers the Safeguarding Argument.</w:t>
      </w:r>
      <w:r w:rsidR="005F1D00">
        <w:rPr>
          <w:rStyle w:val="FootnoteReference"/>
        </w:rPr>
        <w:footnoteReference w:id="34"/>
      </w:r>
      <w:r w:rsidR="00203854">
        <w:t xml:space="preserve"> </w:t>
      </w:r>
      <w:r w:rsidR="005A4818">
        <w:t>C</w:t>
      </w:r>
      <w:r w:rsidR="00203854">
        <w:t xml:space="preserve">onsideration of the Safeguarding Argument </w:t>
      </w:r>
      <w:r w:rsidR="005A4818">
        <w:t xml:space="preserve">inevitably </w:t>
      </w:r>
      <w:r w:rsidR="00203854">
        <w:t xml:space="preserve">requires </w:t>
      </w:r>
      <w:r w:rsidR="005A4818">
        <w:t xml:space="preserve">me to deal with the </w:t>
      </w:r>
      <w:r w:rsidR="00203854">
        <w:t>countervailing contentions of the Princes and India that the Transfer was not absolute at all, but on trust.</w:t>
      </w:r>
      <w:r w:rsidR="00D00502">
        <w:rPr>
          <w:rStyle w:val="FootnoteReference"/>
        </w:rPr>
        <w:footnoteReference w:id="35"/>
      </w:r>
      <w:r w:rsidR="005A4818">
        <w:t xml:space="preserve"> </w:t>
      </w:r>
      <w:r w:rsidR="0035586A">
        <w:t>Section H thus also considers the various contentions of the Princes and India that the Transfer was on trust.</w:t>
      </w:r>
    </w:p>
    <w:p w14:paraId="23C00BE2" w14:textId="77777777" w:rsidR="00E85172" w:rsidRDefault="008D6B92" w:rsidP="00E85172">
      <w:pPr>
        <w:numPr>
          <w:ilvl w:val="1"/>
          <w:numId w:val="2"/>
        </w:numPr>
        <w:autoSpaceDE w:val="0"/>
        <w:spacing w:before="240" w:after="240"/>
        <w:jc w:val="both"/>
      </w:pPr>
      <w:r>
        <w:t xml:space="preserve">Section I </w:t>
      </w:r>
      <w:r w:rsidR="00DF3668">
        <w:t xml:space="preserve">deals with Pakistan’s </w:t>
      </w:r>
      <w:r w:rsidR="00E47208">
        <w:t xml:space="preserve">contention </w:t>
      </w:r>
      <w:r w:rsidR="003D22F1">
        <w:t>–</w:t>
      </w:r>
      <w:r w:rsidR="00E47208">
        <w:t xml:space="preserve"> </w:t>
      </w:r>
      <w:r w:rsidR="003D22F1">
        <w:t>described in paragraph</w:t>
      </w:r>
      <w:r w:rsidR="00DE6FEC">
        <w:t>s 21 and 22</w:t>
      </w:r>
      <w:r w:rsidR="003D22F1">
        <w:t xml:space="preserve"> above – that even if no absolute transfer was intended by Nizam VII, </w:t>
      </w:r>
      <w:r w:rsidR="00A37550">
        <w:t>no trust could arise.</w:t>
      </w:r>
    </w:p>
    <w:p w14:paraId="1994AAF4" w14:textId="77777777" w:rsidR="00FA0CF6" w:rsidRDefault="00567F75" w:rsidP="00E85172">
      <w:pPr>
        <w:numPr>
          <w:ilvl w:val="1"/>
          <w:numId w:val="2"/>
        </w:numPr>
        <w:autoSpaceDE w:val="0"/>
        <w:spacing w:before="240" w:after="240"/>
        <w:jc w:val="both"/>
      </w:pPr>
      <w:r>
        <w:t xml:space="preserve">Section J considers the restitution claim described in </w:t>
      </w:r>
      <w:r w:rsidR="00DE6FEC">
        <w:t xml:space="preserve">Section </w:t>
      </w:r>
      <w:r w:rsidR="00980157">
        <w:t>A(3)</w:t>
      </w:r>
      <w:r w:rsidR="00DE6FEC">
        <w:rPr>
          <w:i/>
          <w:iCs/>
        </w:rPr>
        <w:t>(c)</w:t>
      </w:r>
      <w:r w:rsidR="00980157">
        <w:rPr>
          <w:i/>
          <w:iCs/>
        </w:rPr>
        <w:t xml:space="preserve"> </w:t>
      </w:r>
      <w:r w:rsidR="00980157">
        <w:t>above</w:t>
      </w:r>
      <w:r>
        <w:t xml:space="preserve">, and in particular the </w:t>
      </w:r>
      <w:r w:rsidR="00452347">
        <w:t xml:space="preserve">three specific points </w:t>
      </w:r>
      <w:r w:rsidR="00E84732">
        <w:t>deployed by the Princes and India in response to Pakistan’s defence of limitation</w:t>
      </w:r>
      <w:r w:rsidR="00452347">
        <w:t>.</w:t>
      </w:r>
      <w:r w:rsidR="00E84732">
        <w:rPr>
          <w:rStyle w:val="FootnoteReference"/>
        </w:rPr>
        <w:footnoteReference w:id="36"/>
      </w:r>
    </w:p>
    <w:p w14:paraId="776F21E9" w14:textId="77777777" w:rsidR="00452347" w:rsidRDefault="00452347" w:rsidP="00E85172">
      <w:pPr>
        <w:numPr>
          <w:ilvl w:val="1"/>
          <w:numId w:val="2"/>
        </w:numPr>
        <w:autoSpaceDE w:val="0"/>
        <w:spacing w:before="240" w:after="240"/>
        <w:jc w:val="both"/>
      </w:pPr>
      <w:r>
        <w:t xml:space="preserve">Sections K and L </w:t>
      </w:r>
      <w:r w:rsidR="00103361">
        <w:t xml:space="preserve">consider Pakistan’s </w:t>
      </w:r>
      <w:r w:rsidR="00C43217">
        <w:t xml:space="preserve">two </w:t>
      </w:r>
      <w:r w:rsidR="00C142B5">
        <w:t>additional contentions</w:t>
      </w:r>
      <w:r w:rsidR="001E30E5">
        <w:t>.</w:t>
      </w:r>
      <w:r w:rsidR="001E30E5">
        <w:rPr>
          <w:rStyle w:val="FootnoteReference"/>
        </w:rPr>
        <w:footnoteReference w:id="37"/>
      </w:r>
      <w:r w:rsidR="001E30E5">
        <w:t xml:space="preserve"> </w:t>
      </w:r>
      <w:r w:rsidR="004E009C">
        <w:t xml:space="preserve">Section K considers Pakistan’s contentions regarding the </w:t>
      </w:r>
      <w:r w:rsidR="00321BCC">
        <w:t>foreign act of state doctrine and the question of non-justi</w:t>
      </w:r>
      <w:r w:rsidR="00904F14">
        <w:t>ci</w:t>
      </w:r>
      <w:r w:rsidR="00321BCC">
        <w:t>ability</w:t>
      </w:r>
      <w:r w:rsidR="004E009C">
        <w:t>.</w:t>
      </w:r>
      <w:r w:rsidR="00321BCC">
        <w:rPr>
          <w:rStyle w:val="FootnoteReference"/>
        </w:rPr>
        <w:footnoteReference w:id="38"/>
      </w:r>
      <w:r w:rsidR="00321BCC">
        <w:t xml:space="preserve"> Section </w:t>
      </w:r>
      <w:r w:rsidR="004E009C">
        <w:t>L considers the question of illegality.</w:t>
      </w:r>
      <w:r w:rsidR="008A26EA">
        <w:rPr>
          <w:rStyle w:val="FootnoteReference"/>
        </w:rPr>
        <w:footnoteReference w:id="39"/>
      </w:r>
    </w:p>
    <w:p w14:paraId="7D74EE96" w14:textId="77777777" w:rsidR="00E35F52" w:rsidRDefault="00E35F52" w:rsidP="002A1EC0">
      <w:pPr>
        <w:autoSpaceDE w:val="0"/>
        <w:spacing w:before="240" w:after="240"/>
        <w:ind w:left="567"/>
        <w:jc w:val="both"/>
      </w:pPr>
      <w:r>
        <w:t xml:space="preserve">Finally, Section M states my conclusions and </w:t>
      </w:r>
      <w:r w:rsidR="002A1EC0">
        <w:t>sets out</w:t>
      </w:r>
      <w:r>
        <w:t xml:space="preserve"> how this dispute is to be disposed of.</w:t>
      </w:r>
    </w:p>
    <w:p w14:paraId="09F1F5F1" w14:textId="77777777" w:rsidR="00B93480" w:rsidRPr="003B3385" w:rsidRDefault="003B3385" w:rsidP="00246C95">
      <w:pPr>
        <w:keepNext/>
        <w:tabs>
          <w:tab w:val="left" w:pos="567"/>
        </w:tabs>
        <w:autoSpaceDE w:val="0"/>
        <w:spacing w:before="240" w:after="240"/>
        <w:jc w:val="both"/>
        <w:rPr>
          <w:b/>
          <w:bCs/>
        </w:rPr>
      </w:pPr>
      <w:r>
        <w:rPr>
          <w:b/>
          <w:bCs/>
        </w:rPr>
        <w:t>B.</w:t>
      </w:r>
      <w:r>
        <w:rPr>
          <w:b/>
          <w:bCs/>
        </w:rPr>
        <w:tab/>
        <w:t>THE EVIDENCE</w:t>
      </w:r>
    </w:p>
    <w:p w14:paraId="2274E55C" w14:textId="77777777" w:rsidR="00021DF6" w:rsidRPr="00873F9B" w:rsidRDefault="00873F9B" w:rsidP="00246C95">
      <w:pPr>
        <w:keepNext/>
        <w:tabs>
          <w:tab w:val="left" w:pos="567"/>
        </w:tabs>
        <w:autoSpaceDE w:val="0"/>
        <w:spacing w:before="240" w:after="240"/>
        <w:jc w:val="both"/>
        <w:rPr>
          <w:b/>
          <w:bCs/>
        </w:rPr>
      </w:pPr>
      <w:r w:rsidRPr="00873F9B">
        <w:rPr>
          <w:b/>
          <w:bCs/>
        </w:rPr>
        <w:t>(1)</w:t>
      </w:r>
      <w:r w:rsidRPr="00873F9B">
        <w:rPr>
          <w:b/>
          <w:bCs/>
        </w:rPr>
        <w:tab/>
        <w:t>Introduction</w:t>
      </w:r>
    </w:p>
    <w:p w14:paraId="798FC6D8" w14:textId="77777777" w:rsidR="009A0870" w:rsidRDefault="00F03012" w:rsidP="007E67DC">
      <w:pPr>
        <w:numPr>
          <w:ilvl w:val="0"/>
          <w:numId w:val="2"/>
        </w:numPr>
        <w:autoSpaceDE w:val="0"/>
        <w:spacing w:before="240" w:after="240"/>
        <w:jc w:val="both"/>
      </w:pPr>
      <w:r>
        <w:t xml:space="preserve">Given the very considerable amount of time that has passed </w:t>
      </w:r>
      <w:r w:rsidR="00D75211">
        <w:t xml:space="preserve">between the relevant events and the trial of these proceedings </w:t>
      </w:r>
      <w:r w:rsidR="001F4BDB">
        <w:t xml:space="preserve">– a period of over seventy years </w:t>
      </w:r>
      <w:r w:rsidR="00650B78">
        <w:t>–</w:t>
      </w:r>
      <w:r w:rsidR="001F4BDB">
        <w:t xml:space="preserve"> </w:t>
      </w:r>
      <w:r w:rsidR="00650B78">
        <w:t xml:space="preserve">it is unsurprising that very limited </w:t>
      </w:r>
      <w:r w:rsidR="00540F93">
        <w:t>oral evidence</w:t>
      </w:r>
      <w:r w:rsidR="00650B78">
        <w:t xml:space="preserve"> of witnesses of fact was adduced by </w:t>
      </w:r>
      <w:r w:rsidR="009A0870">
        <w:t>any party. The evidence that was adduced, is described in Section B(2) below.</w:t>
      </w:r>
    </w:p>
    <w:p w14:paraId="1BCC572A" w14:textId="77777777" w:rsidR="009A0870" w:rsidRDefault="00A84C34" w:rsidP="007E67DC">
      <w:pPr>
        <w:numPr>
          <w:ilvl w:val="0"/>
          <w:numId w:val="2"/>
        </w:numPr>
        <w:autoSpaceDE w:val="0"/>
        <w:spacing w:before="240" w:after="240"/>
        <w:jc w:val="both"/>
      </w:pPr>
      <w:r>
        <w:t xml:space="preserve">A </w:t>
      </w:r>
      <w:r w:rsidR="001B0D00">
        <w:t xml:space="preserve">number of statements </w:t>
      </w:r>
      <w:r w:rsidR="0099131C">
        <w:t xml:space="preserve">were </w:t>
      </w:r>
      <w:r w:rsidR="001B0D00">
        <w:t>produced for the purposes of th</w:t>
      </w:r>
      <w:r>
        <w:t>e 1954 P</w:t>
      </w:r>
      <w:r w:rsidR="001B0D00">
        <w:t>roceedings. Inevitably, these statements focussed on the question of sovereign immunity</w:t>
      </w:r>
      <w:r w:rsidR="001720F0">
        <w:t>, which was the question</w:t>
      </w:r>
      <w:r w:rsidR="001B0D00">
        <w:t xml:space="preserve"> that was before the </w:t>
      </w:r>
      <w:r w:rsidR="00692BE3">
        <w:t>c</w:t>
      </w:r>
      <w:r w:rsidR="009D5522">
        <w:t xml:space="preserve">ourts: these statements therefore traversed </w:t>
      </w:r>
      <w:r w:rsidR="005D083A">
        <w:t xml:space="preserve">fewer issues </w:t>
      </w:r>
      <w:r w:rsidR="005D083A">
        <w:lastRenderedPageBreak/>
        <w:t xml:space="preserve">than are before me now. Also, these statements were made when disclosure (or discovery, as it then was) </w:t>
      </w:r>
      <w:r w:rsidR="003D02EC">
        <w:t xml:space="preserve">had not taken place; and none of the witnesses were cross-examined. </w:t>
      </w:r>
      <w:r w:rsidR="00C027A7">
        <w:t>T</w:t>
      </w:r>
      <w:r w:rsidR="003D02EC">
        <w:t xml:space="preserve">he parties sought to adduce </w:t>
      </w:r>
      <w:r w:rsidR="005A5CFF">
        <w:t>the evidence of various of these witnesses under various Civil Evidence Act Notices</w:t>
      </w:r>
      <w:r w:rsidR="006F05AA">
        <w:t>. I describe this evidence in Section B(3) below.</w:t>
      </w:r>
    </w:p>
    <w:p w14:paraId="0938A221" w14:textId="77777777" w:rsidR="000544E5" w:rsidRDefault="008D468E" w:rsidP="007E67DC">
      <w:pPr>
        <w:numPr>
          <w:ilvl w:val="0"/>
          <w:numId w:val="2"/>
        </w:numPr>
        <w:autoSpaceDE w:val="0"/>
        <w:spacing w:before="240" w:after="240"/>
        <w:jc w:val="both"/>
      </w:pPr>
      <w:r>
        <w:t>The parties produced a significant amount of documentary evidence</w:t>
      </w:r>
      <w:r w:rsidR="00F3602E">
        <w:t xml:space="preserve">, spanning the decades. Much of this material came from the parties’ disclosure in these proceedings, but Pakistan </w:t>
      </w:r>
      <w:r w:rsidR="00672480">
        <w:t xml:space="preserve">also produced documents that she had obtained from </w:t>
      </w:r>
      <w:r w:rsidR="007471C6">
        <w:t>various public archives, such as those of Sir Walter</w:t>
      </w:r>
      <w:r w:rsidR="005820AF">
        <w:t>, later Lord, Monckton, QC</w:t>
      </w:r>
      <w:r w:rsidR="006C6C8A">
        <w:t xml:space="preserve"> (</w:t>
      </w:r>
      <w:r w:rsidR="006C6C8A">
        <w:rPr>
          <w:b/>
          <w:bCs/>
        </w:rPr>
        <w:t>Monckton</w:t>
      </w:r>
      <w:r w:rsidR="006C6C8A">
        <w:t>)</w:t>
      </w:r>
      <w:r w:rsidR="005820AF">
        <w:t>, who had some involvement in the affairs of Hyderabad</w:t>
      </w:r>
      <w:r w:rsidR="00BC0D15">
        <w:t xml:space="preserve">. This material </w:t>
      </w:r>
      <w:r w:rsidR="006F5690">
        <w:t xml:space="preserve">requires special consideration, because it was not produced pursuant to the disclosure process under </w:t>
      </w:r>
      <w:r w:rsidR="000C036C">
        <w:t xml:space="preserve">CPR 31. Three documents produced by Pakistan during the course of her disclosure were the subject </w:t>
      </w:r>
      <w:r w:rsidR="00C2366D">
        <w:t>of</w:t>
      </w:r>
      <w:r w:rsidR="000C036C">
        <w:t xml:space="preserve"> Civil Evidence Act Notices by the Princes and India. </w:t>
      </w:r>
      <w:r w:rsidR="000544E5">
        <w:t>I describe th</w:t>
      </w:r>
      <w:r w:rsidR="004C699E">
        <w:t>e</w:t>
      </w:r>
      <w:r w:rsidR="000544E5">
        <w:t xml:space="preserve"> documentary evidence in Section B(4) below.</w:t>
      </w:r>
    </w:p>
    <w:p w14:paraId="5CB0847C" w14:textId="77777777" w:rsidR="000544E5" w:rsidRDefault="006A280D" w:rsidP="007E67DC">
      <w:pPr>
        <w:numPr>
          <w:ilvl w:val="0"/>
          <w:numId w:val="2"/>
        </w:numPr>
        <w:autoSpaceDE w:val="0"/>
        <w:spacing w:before="240" w:after="240"/>
        <w:jc w:val="both"/>
      </w:pPr>
      <w:r>
        <w:t xml:space="preserve">Section B(5) describes the expert evidence before the court. </w:t>
      </w:r>
      <w:r w:rsidR="000544E5">
        <w:t xml:space="preserve">None of the </w:t>
      </w:r>
      <w:r w:rsidR="00236479">
        <w:t xml:space="preserve">Princes nor India sought to </w:t>
      </w:r>
      <w:r w:rsidR="000544E5">
        <w:t xml:space="preserve">adduce expert evidence pursuant to </w:t>
      </w:r>
      <w:r w:rsidR="00E7178C">
        <w:t xml:space="preserve">CPR 35. </w:t>
      </w:r>
      <w:r w:rsidR="00236479">
        <w:t xml:space="preserve">However, </w:t>
      </w:r>
      <w:r w:rsidR="00BB78EB">
        <w:t xml:space="preserve">India and Nizam VIII did seek to rely on </w:t>
      </w:r>
      <w:r w:rsidR="0050129C">
        <w:t>the hearsay</w:t>
      </w:r>
      <w:r w:rsidR="007D54F7">
        <w:t xml:space="preserve"> </w:t>
      </w:r>
      <w:r w:rsidR="0050129C">
        <w:t xml:space="preserve">evidence of a Hyderabad lawyer to explain the constitutional arrangements </w:t>
      </w:r>
      <w:r w:rsidR="003706F9">
        <w:t xml:space="preserve">that prevailed </w:t>
      </w:r>
      <w:r w:rsidR="0050129C">
        <w:t>in Hyderabad in 1948</w:t>
      </w:r>
      <w:r w:rsidR="00707C62">
        <w:t xml:space="preserve">. </w:t>
      </w:r>
      <w:r w:rsidR="002147C5">
        <w:t xml:space="preserve">That evidence had </w:t>
      </w:r>
      <w:r w:rsidR="00F57911">
        <w:t xml:space="preserve">been deployed in the 1954 Proceedings. </w:t>
      </w:r>
      <w:r w:rsidR="00040A1F">
        <w:t>Although initially Pakistan did not seek to adduce any expert evidence, o</w:t>
      </w:r>
      <w:r w:rsidR="001D271D">
        <w:t>n Day 5 of the trial (17 June 2019)</w:t>
      </w:r>
      <w:r w:rsidR="00627423">
        <w:t>, Pakistan made an application to adduce expert evidence from a forensic examiner, Mr Robert Radley</w:t>
      </w:r>
      <w:r w:rsidR="00EA4583">
        <w:t xml:space="preserve"> (</w:t>
      </w:r>
      <w:r w:rsidR="00040A1F">
        <w:t xml:space="preserve">respectively </w:t>
      </w:r>
      <w:r w:rsidR="00EA4583">
        <w:rPr>
          <w:b/>
          <w:bCs/>
        </w:rPr>
        <w:t>Radley</w:t>
      </w:r>
      <w:r w:rsidR="00A15625">
        <w:t xml:space="preserve"> and </w:t>
      </w:r>
      <w:r w:rsidR="00A15625">
        <w:rPr>
          <w:b/>
          <w:bCs/>
        </w:rPr>
        <w:t>Radley 1</w:t>
      </w:r>
      <w:r w:rsidR="00A15625">
        <w:t>)</w:t>
      </w:r>
      <w:r w:rsidR="00627423">
        <w:t xml:space="preserve">. </w:t>
      </w:r>
      <w:r w:rsidR="00576213">
        <w:t>I refused that application for reasons that I give later on in this Judgment.</w:t>
      </w:r>
    </w:p>
    <w:p w14:paraId="7AD7613C" w14:textId="77777777" w:rsidR="00540F93" w:rsidRDefault="00A80263" w:rsidP="007E67DC">
      <w:pPr>
        <w:numPr>
          <w:ilvl w:val="0"/>
          <w:numId w:val="2"/>
        </w:numPr>
        <w:autoSpaceDE w:val="0"/>
        <w:spacing w:before="240" w:after="240"/>
        <w:jc w:val="both"/>
      </w:pPr>
      <w:r>
        <w:t xml:space="preserve">It was clear from a very early stage in these proceedings </w:t>
      </w:r>
      <w:r w:rsidR="00E57A39">
        <w:t xml:space="preserve">that oral evidence at trial would be minimal and that </w:t>
      </w:r>
      <w:r w:rsidR="00BD65F0">
        <w:t xml:space="preserve">the documentary evidence might very well be incomplete. </w:t>
      </w:r>
      <w:r w:rsidR="00F714EB">
        <w:t xml:space="preserve">At a hearing on 12 March 2018, I gave each party liberty </w:t>
      </w:r>
      <w:r w:rsidR="00652BB4">
        <w:t xml:space="preserve">to produce a “narrative” setting out in considerably greater detail than </w:t>
      </w:r>
      <w:r w:rsidR="00A663CB">
        <w:t xml:space="preserve">in </w:t>
      </w:r>
      <w:r w:rsidR="00652BB4">
        <w:t>a pleading</w:t>
      </w:r>
      <w:r w:rsidR="0042490F">
        <w:t xml:space="preserve"> the facts of that party’s case.</w:t>
      </w:r>
      <w:r w:rsidR="00010F7B">
        <w:rPr>
          <w:rStyle w:val="FootnoteReference"/>
        </w:rPr>
        <w:footnoteReference w:id="40"/>
      </w:r>
      <w:r w:rsidR="0042490F">
        <w:t xml:space="preserve"> Such a narrative </w:t>
      </w:r>
      <w:r w:rsidR="00EC2D3D">
        <w:t xml:space="preserve">would refer to documents and materials in support of that </w:t>
      </w:r>
      <w:r w:rsidR="00A73A55">
        <w:t xml:space="preserve">party’s </w:t>
      </w:r>
      <w:r w:rsidR="00EC2D3D">
        <w:t>case (including documents and materials in the public domain)</w:t>
      </w:r>
      <w:r w:rsidR="00607025">
        <w:t xml:space="preserve"> and would identify areas where expert evidence might be needed</w:t>
      </w:r>
      <w:r w:rsidR="00283137">
        <w:t xml:space="preserve"> (but not adduce it)</w:t>
      </w:r>
      <w:r w:rsidR="00607025">
        <w:t xml:space="preserve">. Pakistan and India each produced a </w:t>
      </w:r>
      <w:r w:rsidR="00ED2CC2">
        <w:t>narrative (</w:t>
      </w:r>
      <w:r w:rsidR="00ED2CC2">
        <w:rPr>
          <w:b/>
          <w:bCs/>
        </w:rPr>
        <w:t>Pakistan’s Factual Narrative</w:t>
      </w:r>
      <w:r w:rsidR="00ED2CC2">
        <w:t xml:space="preserve"> and </w:t>
      </w:r>
      <w:r w:rsidR="00ED2CC2">
        <w:rPr>
          <w:b/>
          <w:bCs/>
        </w:rPr>
        <w:t>India’s Factual Narrative</w:t>
      </w:r>
      <w:r w:rsidR="00ED2CC2">
        <w:t>)</w:t>
      </w:r>
      <w:r w:rsidR="00FE4CD6">
        <w:t>. The Princes relied on India’s Factual Narrative. Neither Pakistan nor India identified, in their Factual Narratives, any areas where expert evidence might be required.</w:t>
      </w:r>
      <w:r w:rsidR="00010F7B">
        <w:t xml:space="preserve"> I describe these Factual Narratives in Section B(6) below.</w:t>
      </w:r>
    </w:p>
    <w:p w14:paraId="33BA32FC" w14:textId="77777777" w:rsidR="00010F7B" w:rsidRDefault="00BA3FDA" w:rsidP="007E67DC">
      <w:pPr>
        <w:numPr>
          <w:ilvl w:val="0"/>
          <w:numId w:val="2"/>
        </w:numPr>
        <w:autoSpaceDE w:val="0"/>
        <w:spacing w:before="240" w:after="240"/>
        <w:jc w:val="both"/>
      </w:pPr>
      <w:r>
        <w:t xml:space="preserve">Finally, in Section B(7) below, I say something about my approach to the </w:t>
      </w:r>
      <w:r w:rsidR="00654E7A">
        <w:t xml:space="preserve">totality </w:t>
      </w:r>
      <w:r w:rsidR="003B398A" w:rsidRPr="00522A2C">
        <w:t>of</w:t>
      </w:r>
      <w:r w:rsidR="003B398A">
        <w:t xml:space="preserve"> </w:t>
      </w:r>
      <w:r w:rsidR="00654E7A">
        <w:t xml:space="preserve">the </w:t>
      </w:r>
      <w:r>
        <w:t xml:space="preserve">evidence </w:t>
      </w:r>
      <w:r w:rsidR="00654E7A">
        <w:t xml:space="preserve">that was </w:t>
      </w:r>
      <w:r>
        <w:t>before me.</w:t>
      </w:r>
    </w:p>
    <w:p w14:paraId="0942AE83" w14:textId="77777777" w:rsidR="00307D30" w:rsidRPr="00307D30" w:rsidRDefault="00307D30" w:rsidP="00C57FCF">
      <w:pPr>
        <w:keepNext/>
        <w:tabs>
          <w:tab w:val="left" w:pos="567"/>
        </w:tabs>
        <w:autoSpaceDE w:val="0"/>
        <w:spacing w:before="240" w:after="240"/>
        <w:jc w:val="both"/>
        <w:rPr>
          <w:b/>
          <w:bCs/>
        </w:rPr>
      </w:pPr>
      <w:r>
        <w:rPr>
          <w:b/>
          <w:bCs/>
        </w:rPr>
        <w:t>(2)</w:t>
      </w:r>
      <w:r>
        <w:rPr>
          <w:b/>
          <w:bCs/>
        </w:rPr>
        <w:tab/>
      </w:r>
      <w:r w:rsidR="004601A2">
        <w:rPr>
          <w:b/>
          <w:bCs/>
        </w:rPr>
        <w:t>Witness of fact called to give evidence</w:t>
      </w:r>
    </w:p>
    <w:p w14:paraId="5E2D9D92" w14:textId="77777777" w:rsidR="00FC3A49" w:rsidRPr="00DA0581" w:rsidRDefault="00FC3A49" w:rsidP="00C57FCF">
      <w:pPr>
        <w:keepNext/>
        <w:tabs>
          <w:tab w:val="left" w:pos="567"/>
        </w:tabs>
        <w:autoSpaceDE w:val="0"/>
        <w:spacing w:before="240" w:after="240"/>
        <w:jc w:val="both"/>
        <w:rPr>
          <w:b/>
          <w:bCs/>
          <w:i/>
          <w:iCs/>
        </w:rPr>
      </w:pPr>
      <w:r w:rsidRPr="00DA0581">
        <w:rPr>
          <w:b/>
          <w:bCs/>
          <w:i/>
          <w:iCs/>
        </w:rPr>
        <w:t>(a</w:t>
      </w:r>
      <w:r w:rsidR="00DA0581" w:rsidRPr="00DA0581">
        <w:rPr>
          <w:b/>
          <w:bCs/>
          <w:i/>
          <w:iCs/>
        </w:rPr>
        <w:t>)</w:t>
      </w:r>
      <w:r w:rsidR="00DA0581" w:rsidRPr="00DA0581">
        <w:rPr>
          <w:b/>
          <w:bCs/>
          <w:i/>
          <w:iCs/>
        </w:rPr>
        <w:tab/>
        <w:t>Prince Muffakham</w:t>
      </w:r>
    </w:p>
    <w:p w14:paraId="1702DCE8" w14:textId="77777777" w:rsidR="001A5D7B" w:rsidRDefault="003B6B96" w:rsidP="007E67DC">
      <w:pPr>
        <w:numPr>
          <w:ilvl w:val="0"/>
          <w:numId w:val="2"/>
        </w:numPr>
        <w:autoSpaceDE w:val="0"/>
        <w:spacing w:before="240" w:after="240"/>
        <w:jc w:val="both"/>
      </w:pPr>
      <w:r>
        <w:t>In the event</w:t>
      </w:r>
      <w:r w:rsidR="00F16C4A">
        <w:t xml:space="preserve">, the only witness of fact that I heard from was </w:t>
      </w:r>
      <w:r w:rsidR="00AE0CB5">
        <w:t xml:space="preserve">Prince Muffakham. Prince Muffakham </w:t>
      </w:r>
      <w:r w:rsidR="00A710A8">
        <w:t xml:space="preserve">gave two witness statements. </w:t>
      </w:r>
      <w:r w:rsidR="00C978B4">
        <w:t>His</w:t>
      </w:r>
      <w:r w:rsidR="00A710A8">
        <w:t xml:space="preserve"> first statement</w:t>
      </w:r>
      <w:r w:rsidR="00141EBC">
        <w:t xml:space="preserve">, dated 20 August 2015, was provided </w:t>
      </w:r>
      <w:r w:rsidR="007E2C89">
        <w:t xml:space="preserve">by him </w:t>
      </w:r>
      <w:r w:rsidR="00141EBC">
        <w:t>during the interlocutory phases of these proceedings</w:t>
      </w:r>
      <w:r w:rsidR="00CB25C4">
        <w:t xml:space="preserve"> (</w:t>
      </w:r>
      <w:r w:rsidR="00CB25C4">
        <w:rPr>
          <w:b/>
          <w:bCs/>
        </w:rPr>
        <w:t>Muff</w:t>
      </w:r>
      <w:r w:rsidR="00C15EFD">
        <w:rPr>
          <w:b/>
          <w:bCs/>
        </w:rPr>
        <w:t>akham 1</w:t>
      </w:r>
      <w:r w:rsidR="00C15EFD">
        <w:t>)</w:t>
      </w:r>
      <w:r w:rsidR="00CB25C4">
        <w:t xml:space="preserve">. </w:t>
      </w:r>
      <w:r w:rsidR="00C978B4">
        <w:lastRenderedPageBreak/>
        <w:t>His</w:t>
      </w:r>
      <w:r w:rsidR="00C15EFD">
        <w:t xml:space="preserve"> second statement, dated</w:t>
      </w:r>
      <w:r w:rsidR="00790A4D">
        <w:t xml:space="preserve"> 11 December 2018, was given for the purposes of the trial and represented a somewhat fuller version of Muffakham 1 (</w:t>
      </w:r>
      <w:r w:rsidR="00790A4D">
        <w:rPr>
          <w:b/>
          <w:bCs/>
        </w:rPr>
        <w:t>Muffakham 2</w:t>
      </w:r>
      <w:r w:rsidR="00790A4D">
        <w:t>).</w:t>
      </w:r>
      <w:r w:rsidR="001A5D7B">
        <w:t xml:space="preserve"> </w:t>
      </w:r>
    </w:p>
    <w:p w14:paraId="63E17537" w14:textId="77777777" w:rsidR="003B3385" w:rsidRDefault="001A5D7B" w:rsidP="007E67DC">
      <w:pPr>
        <w:numPr>
          <w:ilvl w:val="0"/>
          <w:numId w:val="2"/>
        </w:numPr>
        <w:autoSpaceDE w:val="0"/>
        <w:spacing w:before="240" w:after="240"/>
        <w:jc w:val="both"/>
      </w:pPr>
      <w:r>
        <w:t>Prince Muffakham gave evidence on his own behalf on Day 2 (</w:t>
      </w:r>
      <w:r w:rsidR="007A2AF9">
        <w:t>11 June 2019) of these proceedings.</w:t>
      </w:r>
      <w:r w:rsidR="006F0874">
        <w:t xml:space="preserve"> He was a careful and transparently honest witness</w:t>
      </w:r>
      <w:r w:rsidR="0056475F">
        <w:t>. However, I am conscious that</w:t>
      </w:r>
      <w:r w:rsidR="00691056">
        <w:t>,</w:t>
      </w:r>
      <w:r w:rsidR="0056475F">
        <w:t xml:space="preserve"> notwithstanding the care with which he gave his evidence and his honesty and desire to assist the </w:t>
      </w:r>
      <w:r w:rsidR="007A757B">
        <w:t>C</w:t>
      </w:r>
      <w:r w:rsidR="0056475F">
        <w:t>ourt</w:t>
      </w:r>
      <w:r w:rsidR="00691056">
        <w:t>,</w:t>
      </w:r>
      <w:r w:rsidR="0056475F">
        <w:t xml:space="preserve"> </w:t>
      </w:r>
      <w:r w:rsidR="00691056">
        <w:t xml:space="preserve">I must be extremely cautious in the weight that I place on his evidence. That is for </w:t>
      </w:r>
      <w:r w:rsidR="007C6487">
        <w:t>three</w:t>
      </w:r>
      <w:r w:rsidR="00691056">
        <w:t xml:space="preserve"> reasons</w:t>
      </w:r>
      <w:r w:rsidR="00DB4191">
        <w:t>:</w:t>
      </w:r>
    </w:p>
    <w:p w14:paraId="5B5A9D04" w14:textId="77777777" w:rsidR="00DB4191" w:rsidRDefault="00DB4191" w:rsidP="00E05A46">
      <w:pPr>
        <w:numPr>
          <w:ilvl w:val="1"/>
          <w:numId w:val="2"/>
        </w:numPr>
        <w:autoSpaceDE w:val="0"/>
        <w:spacing w:before="240" w:after="240"/>
        <w:jc w:val="both"/>
      </w:pPr>
      <w:r>
        <w:t>For the most part, Prince Muffakham’s evidence was based on contemporary documents he had reviewed</w:t>
      </w:r>
      <w:r w:rsidR="00813602">
        <w:t xml:space="preserve">, and he frankly accepted that he </w:t>
      </w:r>
      <w:r w:rsidR="0039568E">
        <w:t xml:space="preserve">generally </w:t>
      </w:r>
      <w:r w:rsidR="00813602">
        <w:t>did not have a recollection</w:t>
      </w:r>
      <w:r w:rsidR="0039568E">
        <w:t xml:space="preserve"> that was</w:t>
      </w:r>
      <w:r w:rsidR="00813602">
        <w:t xml:space="preserve"> independent of these documents.</w:t>
      </w:r>
      <w:r w:rsidR="004654C3">
        <w:t xml:space="preserve"> </w:t>
      </w:r>
      <w:r w:rsidR="00E05A46">
        <w:t>On</w:t>
      </w:r>
      <w:r w:rsidR="000953BC">
        <w:t>e</w:t>
      </w:r>
      <w:r w:rsidR="00E05A46">
        <w:t xml:space="preserve"> example of this will suffice:</w:t>
      </w:r>
      <w:r w:rsidR="0049240E">
        <w:rPr>
          <w:rStyle w:val="FootnoteReference"/>
        </w:rPr>
        <w:footnoteReference w:id="41"/>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5472"/>
      </w:tblGrid>
      <w:tr w:rsidR="00932C31" w:rsidRPr="00BE544E" w14:paraId="6C1DD30E" w14:textId="77777777" w:rsidTr="006F0AE4">
        <w:tc>
          <w:tcPr>
            <w:tcW w:w="2415" w:type="dxa"/>
          </w:tcPr>
          <w:p w14:paraId="3E467AB8" w14:textId="77777777" w:rsidR="00932C31" w:rsidRPr="005134C5" w:rsidRDefault="00DA4922" w:rsidP="0089595C">
            <w:pPr>
              <w:autoSpaceDE w:val="0"/>
              <w:spacing w:before="60" w:after="60"/>
              <w:rPr>
                <w:b/>
                <w:bCs/>
                <w:sz w:val="22"/>
                <w:szCs w:val="22"/>
              </w:rPr>
            </w:pPr>
            <w:r>
              <w:rPr>
                <w:b/>
                <w:bCs/>
                <w:sz w:val="22"/>
                <w:szCs w:val="22"/>
              </w:rPr>
              <w:t>Q (</w:t>
            </w:r>
            <w:r w:rsidR="000953BC">
              <w:rPr>
                <w:b/>
                <w:bCs/>
                <w:sz w:val="22"/>
                <w:szCs w:val="22"/>
              </w:rPr>
              <w:t>Mr Qureshi, QC</w:t>
            </w:r>
            <w:r>
              <w:rPr>
                <w:b/>
                <w:bCs/>
                <w:sz w:val="22"/>
                <w:szCs w:val="22"/>
              </w:rPr>
              <w:t>)</w:t>
            </w:r>
          </w:p>
        </w:tc>
        <w:tc>
          <w:tcPr>
            <w:tcW w:w="5472" w:type="dxa"/>
          </w:tcPr>
          <w:p w14:paraId="30DEBDA3" w14:textId="77777777" w:rsidR="00932C31" w:rsidRPr="00BE544E" w:rsidRDefault="000953BC" w:rsidP="00810C8A">
            <w:pPr>
              <w:autoSpaceDE w:val="0"/>
              <w:spacing w:before="60" w:after="60"/>
              <w:jc w:val="both"/>
              <w:rPr>
                <w:sz w:val="22"/>
                <w:szCs w:val="22"/>
              </w:rPr>
            </w:pPr>
            <w:r>
              <w:rPr>
                <w:sz w:val="22"/>
                <w:szCs w:val="22"/>
              </w:rPr>
              <w:t xml:space="preserve">Do you recall </w:t>
            </w:r>
            <w:r w:rsidR="00DA4922">
              <w:rPr>
                <w:sz w:val="22"/>
                <w:szCs w:val="22"/>
              </w:rPr>
              <w:t>what was said at the meeting?</w:t>
            </w:r>
          </w:p>
        </w:tc>
      </w:tr>
      <w:tr w:rsidR="00932C31" w:rsidRPr="00BE544E" w14:paraId="5D7D7D46" w14:textId="77777777" w:rsidTr="006F0AE4">
        <w:tc>
          <w:tcPr>
            <w:tcW w:w="2415" w:type="dxa"/>
          </w:tcPr>
          <w:p w14:paraId="4F36ACCE" w14:textId="77777777" w:rsidR="00932C31" w:rsidRPr="00492192" w:rsidRDefault="00DA4922" w:rsidP="0089595C">
            <w:pPr>
              <w:autoSpaceDE w:val="0"/>
              <w:spacing w:before="60" w:after="60"/>
              <w:rPr>
                <w:b/>
                <w:bCs/>
                <w:sz w:val="22"/>
                <w:szCs w:val="22"/>
              </w:rPr>
            </w:pPr>
            <w:r>
              <w:rPr>
                <w:b/>
                <w:bCs/>
                <w:sz w:val="22"/>
                <w:szCs w:val="22"/>
              </w:rPr>
              <w:t>A (Prince Muffa</w:t>
            </w:r>
            <w:r w:rsidR="0089595C">
              <w:rPr>
                <w:b/>
                <w:bCs/>
                <w:sz w:val="22"/>
                <w:szCs w:val="22"/>
              </w:rPr>
              <w:t xml:space="preserve">kham) </w:t>
            </w:r>
          </w:p>
        </w:tc>
        <w:tc>
          <w:tcPr>
            <w:tcW w:w="5472" w:type="dxa"/>
          </w:tcPr>
          <w:p w14:paraId="7F904A40" w14:textId="77777777" w:rsidR="00932C31" w:rsidRPr="00BE544E" w:rsidRDefault="0089595C" w:rsidP="00810C8A">
            <w:pPr>
              <w:autoSpaceDE w:val="0"/>
              <w:spacing w:before="60" w:after="60"/>
              <w:jc w:val="both"/>
              <w:rPr>
                <w:sz w:val="22"/>
                <w:szCs w:val="22"/>
              </w:rPr>
            </w:pPr>
            <w:r>
              <w:rPr>
                <w:sz w:val="22"/>
                <w:szCs w:val="22"/>
              </w:rPr>
              <w:t>Roughly. The gist of it.</w:t>
            </w:r>
          </w:p>
        </w:tc>
      </w:tr>
      <w:tr w:rsidR="00932C31" w14:paraId="3FE008FD" w14:textId="77777777" w:rsidTr="006F0AE4">
        <w:tc>
          <w:tcPr>
            <w:tcW w:w="2415" w:type="dxa"/>
          </w:tcPr>
          <w:p w14:paraId="323BC25E" w14:textId="77777777" w:rsidR="00932C31" w:rsidRDefault="006F0AE4" w:rsidP="0089595C">
            <w:pPr>
              <w:autoSpaceDE w:val="0"/>
              <w:spacing w:before="60" w:after="60"/>
              <w:rPr>
                <w:b/>
                <w:bCs/>
                <w:sz w:val="22"/>
                <w:szCs w:val="22"/>
              </w:rPr>
            </w:pPr>
            <w:r>
              <w:rPr>
                <w:b/>
                <w:bCs/>
                <w:sz w:val="22"/>
                <w:szCs w:val="22"/>
              </w:rPr>
              <w:t>Q (Mr Qureshi, QC)</w:t>
            </w:r>
          </w:p>
        </w:tc>
        <w:tc>
          <w:tcPr>
            <w:tcW w:w="5472" w:type="dxa"/>
          </w:tcPr>
          <w:p w14:paraId="399C651E" w14:textId="77777777" w:rsidR="00932C31" w:rsidRDefault="004A554B" w:rsidP="00810C8A">
            <w:pPr>
              <w:autoSpaceDE w:val="0"/>
              <w:spacing w:before="60" w:after="60"/>
              <w:jc w:val="both"/>
              <w:rPr>
                <w:sz w:val="22"/>
                <w:szCs w:val="22"/>
              </w:rPr>
            </w:pPr>
            <w:r>
              <w:rPr>
                <w:sz w:val="22"/>
                <w:szCs w:val="22"/>
              </w:rPr>
              <w:t>Yes?</w:t>
            </w:r>
          </w:p>
        </w:tc>
      </w:tr>
      <w:tr w:rsidR="00932C31" w14:paraId="5EF4F243" w14:textId="77777777" w:rsidTr="006F0AE4">
        <w:tc>
          <w:tcPr>
            <w:tcW w:w="2415" w:type="dxa"/>
          </w:tcPr>
          <w:p w14:paraId="10C5AAA1" w14:textId="77777777" w:rsidR="00932C31" w:rsidRDefault="004A554B" w:rsidP="0089595C">
            <w:pPr>
              <w:autoSpaceDE w:val="0"/>
              <w:spacing w:before="60" w:after="60"/>
              <w:rPr>
                <w:b/>
                <w:bCs/>
                <w:sz w:val="22"/>
                <w:szCs w:val="22"/>
              </w:rPr>
            </w:pPr>
            <w:r>
              <w:rPr>
                <w:b/>
                <w:bCs/>
                <w:sz w:val="22"/>
                <w:szCs w:val="22"/>
              </w:rPr>
              <w:t>A (Prince Muffakham)</w:t>
            </w:r>
          </w:p>
        </w:tc>
        <w:tc>
          <w:tcPr>
            <w:tcW w:w="5472" w:type="dxa"/>
          </w:tcPr>
          <w:p w14:paraId="0A2F985E" w14:textId="77777777" w:rsidR="00932C31" w:rsidRDefault="004A554B" w:rsidP="00810C8A">
            <w:pPr>
              <w:autoSpaceDE w:val="0"/>
              <w:spacing w:before="60" w:after="60"/>
              <w:jc w:val="both"/>
              <w:rPr>
                <w:sz w:val="22"/>
                <w:szCs w:val="22"/>
              </w:rPr>
            </w:pPr>
            <w:r>
              <w:rPr>
                <w:sz w:val="22"/>
                <w:szCs w:val="22"/>
              </w:rPr>
              <w:t xml:space="preserve">The gist of it </w:t>
            </w:r>
            <w:r w:rsidR="00707BDB">
              <w:rPr>
                <w:sz w:val="22"/>
                <w:szCs w:val="22"/>
              </w:rPr>
              <w:t>was that there were talks going on between India and Pakistan for the division of these funds</w:t>
            </w:r>
            <w:r w:rsidR="00EA1581">
              <w:rPr>
                <w:sz w:val="22"/>
                <w:szCs w:val="22"/>
              </w:rPr>
              <w:t xml:space="preserve">, </w:t>
            </w:r>
            <w:r w:rsidR="00852655">
              <w:rPr>
                <w:sz w:val="22"/>
                <w:szCs w:val="22"/>
              </w:rPr>
              <w:t>and that he wanted to convey to me that I should withdraw my claim</w:t>
            </w:r>
            <w:r w:rsidR="00B81FF3">
              <w:rPr>
                <w:sz w:val="22"/>
                <w:szCs w:val="22"/>
              </w:rPr>
              <w:t xml:space="preserve"> and my b</w:t>
            </w:r>
            <w:r w:rsidR="00BB5A2C">
              <w:rPr>
                <w:sz w:val="22"/>
                <w:szCs w:val="22"/>
              </w:rPr>
              <w:t>r</w:t>
            </w:r>
            <w:r w:rsidR="00B81FF3">
              <w:rPr>
                <w:sz w:val="22"/>
                <w:szCs w:val="22"/>
              </w:rPr>
              <w:t xml:space="preserve">other should withdraw our claim, so that the two sovereign powers could sort this issue out </w:t>
            </w:r>
            <w:r w:rsidR="004202AA">
              <w:rPr>
                <w:sz w:val="22"/>
                <w:szCs w:val="22"/>
              </w:rPr>
              <w:t>by the division of the funds.</w:t>
            </w:r>
          </w:p>
        </w:tc>
      </w:tr>
      <w:tr w:rsidR="004202AA" w14:paraId="6F358BAD" w14:textId="77777777" w:rsidTr="006F0AE4">
        <w:tc>
          <w:tcPr>
            <w:tcW w:w="2415" w:type="dxa"/>
          </w:tcPr>
          <w:p w14:paraId="75FEE34E" w14:textId="77777777" w:rsidR="004202AA" w:rsidRDefault="004202AA" w:rsidP="0089595C">
            <w:pPr>
              <w:autoSpaceDE w:val="0"/>
              <w:spacing w:before="60" w:after="60"/>
              <w:rPr>
                <w:b/>
                <w:bCs/>
                <w:sz w:val="22"/>
                <w:szCs w:val="22"/>
              </w:rPr>
            </w:pPr>
            <w:r>
              <w:rPr>
                <w:b/>
                <w:bCs/>
                <w:sz w:val="22"/>
                <w:szCs w:val="22"/>
              </w:rPr>
              <w:t>Q (Mr Qureshi, QC)</w:t>
            </w:r>
          </w:p>
        </w:tc>
        <w:tc>
          <w:tcPr>
            <w:tcW w:w="5472" w:type="dxa"/>
          </w:tcPr>
          <w:p w14:paraId="4E6327EA" w14:textId="77777777" w:rsidR="004202AA" w:rsidRDefault="004202AA" w:rsidP="00810C8A">
            <w:pPr>
              <w:autoSpaceDE w:val="0"/>
              <w:spacing w:before="60" w:after="60"/>
              <w:jc w:val="both"/>
              <w:rPr>
                <w:sz w:val="22"/>
                <w:szCs w:val="22"/>
              </w:rPr>
            </w:pPr>
            <w:r>
              <w:rPr>
                <w:sz w:val="22"/>
                <w:szCs w:val="22"/>
              </w:rPr>
              <w:t xml:space="preserve">Now, just pause there. </w:t>
            </w:r>
          </w:p>
          <w:p w14:paraId="4CFF0A28" w14:textId="77777777" w:rsidR="00F12614" w:rsidRDefault="00F12614" w:rsidP="00810C8A">
            <w:pPr>
              <w:autoSpaceDE w:val="0"/>
              <w:spacing w:before="60" w:after="60"/>
              <w:jc w:val="both"/>
              <w:rPr>
                <w:sz w:val="22"/>
                <w:szCs w:val="22"/>
              </w:rPr>
            </w:pPr>
            <w:r>
              <w:rPr>
                <w:sz w:val="22"/>
                <w:szCs w:val="22"/>
              </w:rPr>
              <w:t xml:space="preserve">What you are telling us is that you had no recollection </w:t>
            </w:r>
            <w:r w:rsidR="00470132">
              <w:rPr>
                <w:sz w:val="22"/>
                <w:szCs w:val="22"/>
              </w:rPr>
              <w:t>of meeting [Mir], let alone of what took place at the meeting</w:t>
            </w:r>
            <w:r w:rsidR="001D0229">
              <w:rPr>
                <w:sz w:val="22"/>
                <w:szCs w:val="22"/>
              </w:rPr>
              <w:t>, or when the meeting occurred, until you saw the two letters, correct?</w:t>
            </w:r>
            <w:r w:rsidR="00470132">
              <w:rPr>
                <w:sz w:val="22"/>
                <w:szCs w:val="22"/>
              </w:rPr>
              <w:t xml:space="preserve"> </w:t>
            </w:r>
          </w:p>
        </w:tc>
      </w:tr>
      <w:tr w:rsidR="001D0229" w14:paraId="13FF163E" w14:textId="77777777" w:rsidTr="006F0AE4">
        <w:tc>
          <w:tcPr>
            <w:tcW w:w="2415" w:type="dxa"/>
          </w:tcPr>
          <w:p w14:paraId="743C624E" w14:textId="77777777" w:rsidR="001D0229" w:rsidRDefault="00DF630B" w:rsidP="0089595C">
            <w:pPr>
              <w:autoSpaceDE w:val="0"/>
              <w:spacing w:before="60" w:after="60"/>
              <w:rPr>
                <w:b/>
                <w:bCs/>
                <w:sz w:val="22"/>
                <w:szCs w:val="22"/>
              </w:rPr>
            </w:pPr>
            <w:r>
              <w:rPr>
                <w:b/>
                <w:bCs/>
                <w:sz w:val="22"/>
                <w:szCs w:val="22"/>
              </w:rPr>
              <w:t>A (Prince Muffakham)</w:t>
            </w:r>
          </w:p>
        </w:tc>
        <w:tc>
          <w:tcPr>
            <w:tcW w:w="5472" w:type="dxa"/>
          </w:tcPr>
          <w:p w14:paraId="4B945148" w14:textId="77777777" w:rsidR="001D0229" w:rsidRDefault="00DF630B" w:rsidP="00810C8A">
            <w:pPr>
              <w:autoSpaceDE w:val="0"/>
              <w:spacing w:before="60" w:after="60"/>
              <w:jc w:val="both"/>
              <w:rPr>
                <w:sz w:val="22"/>
                <w:szCs w:val="22"/>
              </w:rPr>
            </w:pPr>
            <w:r>
              <w:rPr>
                <w:sz w:val="22"/>
                <w:szCs w:val="22"/>
              </w:rPr>
              <w:t>Yes.</w:t>
            </w:r>
          </w:p>
        </w:tc>
      </w:tr>
      <w:tr w:rsidR="00DF630B" w14:paraId="5C7AB6C6" w14:textId="77777777" w:rsidTr="006F0AE4">
        <w:tc>
          <w:tcPr>
            <w:tcW w:w="2415" w:type="dxa"/>
          </w:tcPr>
          <w:p w14:paraId="3C050F42" w14:textId="77777777" w:rsidR="00DF630B" w:rsidRDefault="00DF630B" w:rsidP="0089595C">
            <w:pPr>
              <w:autoSpaceDE w:val="0"/>
              <w:spacing w:before="60" w:after="60"/>
              <w:rPr>
                <w:b/>
                <w:bCs/>
                <w:sz w:val="22"/>
                <w:szCs w:val="22"/>
              </w:rPr>
            </w:pPr>
            <w:r>
              <w:rPr>
                <w:b/>
                <w:bCs/>
                <w:sz w:val="22"/>
                <w:szCs w:val="22"/>
              </w:rPr>
              <w:t>Q (Mr Qureshi, QC)</w:t>
            </w:r>
          </w:p>
        </w:tc>
        <w:tc>
          <w:tcPr>
            <w:tcW w:w="5472" w:type="dxa"/>
          </w:tcPr>
          <w:p w14:paraId="29271C70" w14:textId="77777777" w:rsidR="00DF630B" w:rsidRDefault="007B23CA" w:rsidP="00810C8A">
            <w:pPr>
              <w:autoSpaceDE w:val="0"/>
              <w:spacing w:before="60" w:after="60"/>
              <w:jc w:val="both"/>
              <w:rPr>
                <w:sz w:val="22"/>
                <w:szCs w:val="22"/>
              </w:rPr>
            </w:pPr>
            <w:r>
              <w:rPr>
                <w:sz w:val="22"/>
                <w:szCs w:val="22"/>
              </w:rPr>
              <w:t>You are now saying that the recollection that you have</w:t>
            </w:r>
            <w:r w:rsidR="00F85F9A">
              <w:rPr>
                <w:sz w:val="22"/>
                <w:szCs w:val="22"/>
              </w:rPr>
              <w:t xml:space="preserve"> just conveyed to me is an accurate recollection?</w:t>
            </w:r>
          </w:p>
        </w:tc>
      </w:tr>
      <w:tr w:rsidR="00F85F9A" w14:paraId="0DB26BF7" w14:textId="77777777" w:rsidTr="006F0AE4">
        <w:tc>
          <w:tcPr>
            <w:tcW w:w="2415" w:type="dxa"/>
          </w:tcPr>
          <w:p w14:paraId="6AC2ABB5" w14:textId="77777777" w:rsidR="00F85F9A" w:rsidRDefault="00F85F9A" w:rsidP="0089595C">
            <w:pPr>
              <w:autoSpaceDE w:val="0"/>
              <w:spacing w:before="60" w:after="60"/>
              <w:rPr>
                <w:b/>
                <w:bCs/>
                <w:sz w:val="22"/>
                <w:szCs w:val="22"/>
              </w:rPr>
            </w:pPr>
            <w:r>
              <w:rPr>
                <w:b/>
                <w:bCs/>
                <w:sz w:val="22"/>
                <w:szCs w:val="22"/>
              </w:rPr>
              <w:t>A (Prince Muffakham)</w:t>
            </w:r>
          </w:p>
        </w:tc>
        <w:tc>
          <w:tcPr>
            <w:tcW w:w="5472" w:type="dxa"/>
          </w:tcPr>
          <w:p w14:paraId="49424088" w14:textId="77777777" w:rsidR="00F85F9A" w:rsidRDefault="00A04EF1" w:rsidP="00810C8A">
            <w:pPr>
              <w:autoSpaceDE w:val="0"/>
              <w:spacing w:before="60" w:after="60"/>
              <w:jc w:val="both"/>
              <w:rPr>
                <w:sz w:val="22"/>
                <w:szCs w:val="22"/>
              </w:rPr>
            </w:pPr>
            <w:r>
              <w:rPr>
                <w:sz w:val="22"/>
                <w:szCs w:val="22"/>
              </w:rPr>
              <w:t>Well, it is in the gist of the letters, anyway.</w:t>
            </w:r>
          </w:p>
        </w:tc>
      </w:tr>
      <w:tr w:rsidR="00A04EF1" w14:paraId="730FF277" w14:textId="77777777" w:rsidTr="006F0AE4">
        <w:tc>
          <w:tcPr>
            <w:tcW w:w="2415" w:type="dxa"/>
          </w:tcPr>
          <w:p w14:paraId="10E48BF2" w14:textId="77777777" w:rsidR="00A04EF1" w:rsidRDefault="00A04EF1" w:rsidP="0089595C">
            <w:pPr>
              <w:autoSpaceDE w:val="0"/>
              <w:spacing w:before="60" w:after="60"/>
              <w:rPr>
                <w:b/>
                <w:bCs/>
                <w:sz w:val="22"/>
                <w:szCs w:val="22"/>
              </w:rPr>
            </w:pPr>
            <w:r>
              <w:rPr>
                <w:b/>
                <w:bCs/>
                <w:sz w:val="22"/>
                <w:szCs w:val="22"/>
              </w:rPr>
              <w:t>Q (Mr Qureshi, QC)</w:t>
            </w:r>
          </w:p>
        </w:tc>
        <w:tc>
          <w:tcPr>
            <w:tcW w:w="5472" w:type="dxa"/>
          </w:tcPr>
          <w:p w14:paraId="2AD972A5" w14:textId="77777777" w:rsidR="00A04EF1" w:rsidRDefault="000C5734" w:rsidP="00810C8A">
            <w:pPr>
              <w:autoSpaceDE w:val="0"/>
              <w:spacing w:before="60" w:after="60"/>
              <w:jc w:val="both"/>
              <w:rPr>
                <w:sz w:val="22"/>
                <w:szCs w:val="22"/>
              </w:rPr>
            </w:pPr>
            <w:r>
              <w:rPr>
                <w:sz w:val="22"/>
                <w:szCs w:val="22"/>
              </w:rPr>
              <w:t>Exactly. Isn’t it really the case that what you are telling me</w:t>
            </w:r>
            <w:r w:rsidR="00BD16EA">
              <w:rPr>
                <w:sz w:val="22"/>
                <w:szCs w:val="22"/>
              </w:rPr>
              <w:t xml:space="preserve"> and telling the Court – and this is not a criticism, please understand that I am not trying to criticise you</w:t>
            </w:r>
            <w:r w:rsidR="000F35B2">
              <w:rPr>
                <w:sz w:val="22"/>
                <w:szCs w:val="22"/>
              </w:rPr>
              <w:t xml:space="preserve"> – is what is said in the letters. You have nothing more to add in terms of your own mental recollection</w:t>
            </w:r>
            <w:r w:rsidR="00132751">
              <w:rPr>
                <w:sz w:val="22"/>
                <w:szCs w:val="22"/>
              </w:rPr>
              <w:t xml:space="preserve"> – and it is not a criticism – beyond that which is in the letters</w:t>
            </w:r>
            <w:r w:rsidR="000C0756">
              <w:rPr>
                <w:sz w:val="22"/>
                <w:szCs w:val="22"/>
              </w:rPr>
              <w:t>? Is that a fair point? Being realistic about this?</w:t>
            </w:r>
          </w:p>
        </w:tc>
      </w:tr>
      <w:tr w:rsidR="000C0756" w14:paraId="2D9901C3" w14:textId="77777777" w:rsidTr="006F0AE4">
        <w:tc>
          <w:tcPr>
            <w:tcW w:w="2415" w:type="dxa"/>
          </w:tcPr>
          <w:p w14:paraId="45D5A6DB" w14:textId="77777777" w:rsidR="000C0756" w:rsidRDefault="000C0756" w:rsidP="0089595C">
            <w:pPr>
              <w:autoSpaceDE w:val="0"/>
              <w:spacing w:before="60" w:after="60"/>
              <w:rPr>
                <w:b/>
                <w:bCs/>
                <w:sz w:val="22"/>
                <w:szCs w:val="22"/>
              </w:rPr>
            </w:pPr>
            <w:r>
              <w:rPr>
                <w:b/>
                <w:bCs/>
                <w:sz w:val="22"/>
                <w:szCs w:val="22"/>
              </w:rPr>
              <w:t>A (Prince Muffakham)</w:t>
            </w:r>
          </w:p>
        </w:tc>
        <w:tc>
          <w:tcPr>
            <w:tcW w:w="5472" w:type="dxa"/>
          </w:tcPr>
          <w:p w14:paraId="306F017E" w14:textId="77777777" w:rsidR="000C0756" w:rsidRDefault="001A6AAE" w:rsidP="00810C8A">
            <w:pPr>
              <w:autoSpaceDE w:val="0"/>
              <w:spacing w:before="60" w:after="60"/>
              <w:jc w:val="both"/>
              <w:rPr>
                <w:sz w:val="22"/>
                <w:szCs w:val="22"/>
              </w:rPr>
            </w:pPr>
            <w:r>
              <w:rPr>
                <w:sz w:val="22"/>
                <w:szCs w:val="22"/>
              </w:rPr>
              <w:t>Yes, I don’t remember any more than I have said.</w:t>
            </w:r>
          </w:p>
        </w:tc>
      </w:tr>
    </w:tbl>
    <w:p w14:paraId="61E55826" w14:textId="77777777" w:rsidR="00932C31" w:rsidRDefault="00E5053F" w:rsidP="00932C31">
      <w:pPr>
        <w:autoSpaceDE w:val="0"/>
        <w:spacing w:before="240" w:after="240"/>
        <w:ind w:left="1134"/>
        <w:jc w:val="both"/>
      </w:pPr>
      <w:r>
        <w:t xml:space="preserve">Mr Qureshi, QC </w:t>
      </w:r>
      <w:r w:rsidR="00D750FC">
        <w:t xml:space="preserve">was </w:t>
      </w:r>
      <w:r w:rsidR="003636F4">
        <w:t xml:space="preserve">carefully </w:t>
      </w:r>
      <w:r w:rsidR="00D750FC">
        <w:t xml:space="preserve">seeking to </w:t>
      </w:r>
      <w:r w:rsidR="008C446B">
        <w:t>elucidate the parameters of the witness</w:t>
      </w:r>
      <w:r w:rsidR="00D750FC">
        <w:t>’</w:t>
      </w:r>
      <w:r w:rsidR="008C446B">
        <w:t xml:space="preserve"> recollection</w:t>
      </w:r>
      <w:r w:rsidR="00281802">
        <w:t>. I</w:t>
      </w:r>
      <w:r w:rsidR="008C446B">
        <w:t xml:space="preserve">n an honest and open response – and this was entirely characteristic of Prince Muffakham </w:t>
      </w:r>
      <w:r w:rsidR="000C5959">
        <w:t>–</w:t>
      </w:r>
      <w:r w:rsidR="008C446B">
        <w:t xml:space="preserve"> </w:t>
      </w:r>
      <w:r w:rsidR="000C5959">
        <w:t>Price Muffakham laid bare the limits of his knowledge.</w:t>
      </w:r>
    </w:p>
    <w:p w14:paraId="3673A07E" w14:textId="77777777" w:rsidR="00813602" w:rsidRDefault="00813602" w:rsidP="00DB4191">
      <w:pPr>
        <w:numPr>
          <w:ilvl w:val="1"/>
          <w:numId w:val="2"/>
        </w:numPr>
        <w:autoSpaceDE w:val="0"/>
        <w:spacing w:before="240" w:after="240"/>
        <w:jc w:val="both"/>
      </w:pPr>
      <w:r>
        <w:lastRenderedPageBreak/>
        <w:t>To the exten</w:t>
      </w:r>
      <w:r w:rsidR="00EE2896">
        <w:t>t</w:t>
      </w:r>
      <w:r>
        <w:t xml:space="preserve"> that </w:t>
      </w:r>
      <w:r w:rsidR="00DD29CA">
        <w:t>Prince Muffakham had evidence to give going beyond the contemporary documentary record, these were</w:t>
      </w:r>
      <w:r w:rsidR="0039568E">
        <w:t xml:space="preserve"> (for the most part)</w:t>
      </w:r>
      <w:r w:rsidR="00DD29CA">
        <w:t xml:space="preserve"> </w:t>
      </w:r>
      <w:r w:rsidR="005757FE">
        <w:t>of conversations about meetings his mother and</w:t>
      </w:r>
      <w:r w:rsidR="00AE1800">
        <w:t xml:space="preserve"> Captain </w:t>
      </w:r>
      <w:r w:rsidR="00D36CDA">
        <w:t>Mirza Hamid Beg (a confidant of Nizam VII and the Princes’ guardian)</w:t>
      </w:r>
      <w:r w:rsidR="005757FE">
        <w:t xml:space="preserve"> had </w:t>
      </w:r>
      <w:r w:rsidR="00E36944">
        <w:t xml:space="preserve">had </w:t>
      </w:r>
      <w:r w:rsidR="00505356">
        <w:t xml:space="preserve">with </w:t>
      </w:r>
      <w:r w:rsidR="00CE00FC">
        <w:t xml:space="preserve">others </w:t>
      </w:r>
      <w:r w:rsidR="00024A49">
        <w:t xml:space="preserve">about the Rahimtoola Account </w:t>
      </w:r>
      <w:r w:rsidR="00C76D61">
        <w:t>after it had been established</w:t>
      </w:r>
      <w:r w:rsidR="00E36944">
        <w:t>. Prince Muffakham</w:t>
      </w:r>
      <w:r w:rsidR="007F44D5">
        <w:t xml:space="preserve"> would have been 9 or 10 at the time, and he </w:t>
      </w:r>
      <w:r w:rsidR="00842799">
        <w:t>was not</w:t>
      </w:r>
      <w:r w:rsidR="007F44D5">
        <w:t xml:space="preserve"> </w:t>
      </w:r>
      <w:r w:rsidR="00C76D61">
        <w:t xml:space="preserve">himself present at these meetings. He simply recalled </w:t>
      </w:r>
      <w:r w:rsidR="0035165E">
        <w:t>discussions about those meetings</w:t>
      </w:r>
      <w:r w:rsidR="00B8344A">
        <w:t xml:space="preserve"> after the event</w:t>
      </w:r>
      <w:r w:rsidR="0035165E">
        <w:t>.</w:t>
      </w:r>
      <w:r w:rsidR="000012FA">
        <w:rPr>
          <w:rStyle w:val="FootnoteReference"/>
        </w:rPr>
        <w:footnoteReference w:id="42"/>
      </w:r>
      <w:r w:rsidR="0035165E">
        <w:t xml:space="preserve"> </w:t>
      </w:r>
      <w:r w:rsidR="00484DF8">
        <w:t>I</w:t>
      </w:r>
      <w:r w:rsidR="007C6487">
        <w:t xml:space="preserve">t is very difficult to attach weight to such </w:t>
      </w:r>
      <w:r w:rsidR="00B8344A">
        <w:t>recollections</w:t>
      </w:r>
      <w:r w:rsidR="00E94B25">
        <w:t>.</w:t>
      </w:r>
      <w:r w:rsidR="007C6487">
        <w:t xml:space="preserve"> </w:t>
      </w:r>
      <w:r w:rsidR="006F0182">
        <w:t>Not only is it likely that – despite his best efforts – Prince Muffakham’s recollection will have faded</w:t>
      </w:r>
      <w:r w:rsidR="00E94B25">
        <w:t xml:space="preserve"> with time</w:t>
      </w:r>
      <w:r w:rsidR="006F0182">
        <w:t xml:space="preserve">, but </w:t>
      </w:r>
      <w:r w:rsidR="00AD21D3">
        <w:t>his recollections were of discussions about other people</w:t>
      </w:r>
      <w:r w:rsidR="00BB5A2C">
        <w:t>’</w:t>
      </w:r>
      <w:r w:rsidR="00AD21D3">
        <w:t xml:space="preserve">s discussions of a matter that had taken place </w:t>
      </w:r>
      <w:r w:rsidR="005D29D4">
        <w:t xml:space="preserve">some time </w:t>
      </w:r>
      <w:r w:rsidR="00AD21D3">
        <w:t xml:space="preserve">previously. </w:t>
      </w:r>
      <w:r w:rsidR="007C06B0">
        <w:t>Such discussion</w:t>
      </w:r>
      <w:r w:rsidR="004063FE">
        <w:t>s</w:t>
      </w:r>
      <w:r w:rsidR="007C06B0">
        <w:t xml:space="preserve"> cannot </w:t>
      </w:r>
      <w:r w:rsidR="003A5FCD">
        <w:t xml:space="preserve">really </w:t>
      </w:r>
      <w:r w:rsidR="007C06B0">
        <w:t xml:space="preserve">shed light on the </w:t>
      </w:r>
      <w:r w:rsidR="005D29D4">
        <w:t>Transfer</w:t>
      </w:r>
      <w:r w:rsidR="007C06B0">
        <w:t>.</w:t>
      </w:r>
    </w:p>
    <w:p w14:paraId="0CE0D0D4" w14:textId="77777777" w:rsidR="003A5FCD" w:rsidRDefault="00F557D7" w:rsidP="00DB4191">
      <w:pPr>
        <w:numPr>
          <w:ilvl w:val="1"/>
          <w:numId w:val="2"/>
        </w:numPr>
        <w:autoSpaceDE w:val="0"/>
        <w:spacing w:before="240" w:after="240"/>
        <w:jc w:val="both"/>
      </w:pPr>
      <w:r>
        <w:t xml:space="preserve">Prince Muffakham – aided by the record – did give an account </w:t>
      </w:r>
      <w:r w:rsidR="007579F9">
        <w:t>of a meeting that he had with one of Rahimtoola’s successors as High Commissioner</w:t>
      </w:r>
      <w:r w:rsidR="007773F7">
        <w:t>, Mohammad Ikramullah (</w:t>
      </w:r>
      <w:r w:rsidR="007773F7">
        <w:rPr>
          <w:b/>
          <w:bCs/>
        </w:rPr>
        <w:t>Ikramullah</w:t>
      </w:r>
      <w:r w:rsidR="007773F7">
        <w:t xml:space="preserve">). </w:t>
      </w:r>
      <w:r w:rsidR="00CD08B7">
        <w:t>In this case, I accept that a conversation along the lines described by Pri</w:t>
      </w:r>
      <w:r w:rsidR="0099131C">
        <w:t>n</w:t>
      </w:r>
      <w:r w:rsidR="00CD08B7">
        <w:t xml:space="preserve">ce Muffakham </w:t>
      </w:r>
      <w:r w:rsidR="00970BCE">
        <w:rPr>
          <w:u w:val="single"/>
        </w:rPr>
        <w:t>did</w:t>
      </w:r>
      <w:r w:rsidR="00970BCE">
        <w:t xml:space="preserve"> take place</w:t>
      </w:r>
      <w:r w:rsidR="005D29D4">
        <w:t xml:space="preserve">, and that the Prince </w:t>
      </w:r>
      <w:r w:rsidR="00B77198">
        <w:t>has a recollection of this</w:t>
      </w:r>
      <w:r w:rsidR="00970BCE">
        <w:t xml:space="preserve">. However, the difficulty that I have with this sort of after-the-event evidence is how far it is probative of events occurring some years previously: </w:t>
      </w:r>
      <w:r w:rsidR="005D507A">
        <w:t>it is, after all, the intentions and authority as at the time of the Transfer that really matter. Subsequent events and discussions are, of course, not irrelevant</w:t>
      </w:r>
      <w:r w:rsidR="00FC3A49">
        <w:t xml:space="preserve">, but they are (in my judgment) </w:t>
      </w:r>
      <w:r w:rsidR="00D57CC0">
        <w:t>liable to have less weight attached to them</w:t>
      </w:r>
      <w:r w:rsidR="00FC3A49">
        <w:t>.</w:t>
      </w:r>
    </w:p>
    <w:p w14:paraId="27B7FA55" w14:textId="77777777" w:rsidR="00DA0581" w:rsidRPr="00DA0581" w:rsidRDefault="00DA0581" w:rsidP="00DE7C09">
      <w:pPr>
        <w:keepNext/>
        <w:tabs>
          <w:tab w:val="left" w:pos="567"/>
        </w:tabs>
        <w:autoSpaceDE w:val="0"/>
        <w:spacing w:before="240" w:after="240"/>
        <w:jc w:val="both"/>
        <w:rPr>
          <w:b/>
          <w:bCs/>
          <w:i/>
          <w:iCs/>
        </w:rPr>
      </w:pPr>
      <w:r>
        <w:rPr>
          <w:b/>
          <w:bCs/>
          <w:i/>
          <w:iCs/>
        </w:rPr>
        <w:t>(</w:t>
      </w:r>
      <w:r w:rsidR="00C92233">
        <w:rPr>
          <w:b/>
          <w:bCs/>
          <w:i/>
          <w:iCs/>
        </w:rPr>
        <w:t>b)</w:t>
      </w:r>
      <w:r w:rsidR="00C92233">
        <w:rPr>
          <w:b/>
          <w:bCs/>
          <w:i/>
          <w:iCs/>
        </w:rPr>
        <w:tab/>
      </w:r>
      <w:r w:rsidR="006F6215">
        <w:rPr>
          <w:b/>
          <w:bCs/>
          <w:i/>
          <w:iCs/>
        </w:rPr>
        <w:t>Shaharyar</w:t>
      </w:r>
    </w:p>
    <w:p w14:paraId="580B53E3" w14:textId="77777777" w:rsidR="00CD288A" w:rsidRDefault="000D5A4A" w:rsidP="007E67DC">
      <w:pPr>
        <w:numPr>
          <w:ilvl w:val="0"/>
          <w:numId w:val="2"/>
        </w:numPr>
        <w:autoSpaceDE w:val="0"/>
        <w:spacing w:before="240" w:after="240"/>
        <w:jc w:val="both"/>
      </w:pPr>
      <w:r>
        <w:t>Sha</w:t>
      </w:r>
      <w:r w:rsidR="005B7079">
        <w:t>haryar Mohamm</w:t>
      </w:r>
      <w:r w:rsidR="000F2D0E">
        <w:t>a</w:t>
      </w:r>
      <w:r w:rsidR="005B7079">
        <w:t>d Khan (</w:t>
      </w:r>
      <w:r w:rsidR="0093354A">
        <w:rPr>
          <w:b/>
          <w:bCs/>
        </w:rPr>
        <w:t>Shaharyar</w:t>
      </w:r>
      <w:r w:rsidR="005B7079">
        <w:t>)</w:t>
      </w:r>
      <w:r w:rsidR="00C65181">
        <w:t>, a distinguished official from Pakistan’s foreign office, now retired,</w:t>
      </w:r>
      <w:r w:rsidR="005B7079">
        <w:t xml:space="preserve"> provided a witness statement, dated 14 January 2016, in support of </w:t>
      </w:r>
      <w:r w:rsidR="00FA6510">
        <w:t>Pakistan (</w:t>
      </w:r>
      <w:r w:rsidR="00E47283">
        <w:rPr>
          <w:b/>
          <w:bCs/>
        </w:rPr>
        <w:t>Shaharyar</w:t>
      </w:r>
      <w:r w:rsidR="00FA6510">
        <w:rPr>
          <w:b/>
          <w:bCs/>
        </w:rPr>
        <w:t xml:space="preserve"> 1</w:t>
      </w:r>
      <w:r w:rsidR="00FA6510">
        <w:t xml:space="preserve">). Although, during the course of the interlocutory phases of the proceedings, Pakistan </w:t>
      </w:r>
      <w:r w:rsidR="00CB45D3">
        <w:t xml:space="preserve">indicated that </w:t>
      </w:r>
      <w:r w:rsidR="0093354A">
        <w:t xml:space="preserve">Shaharyar </w:t>
      </w:r>
      <w:r w:rsidR="00CB45D3">
        <w:t xml:space="preserve">would attend to give </w:t>
      </w:r>
      <w:r w:rsidR="00CB45D3" w:rsidRPr="00751778">
        <w:t xml:space="preserve">evidence at trial, Pakistan </w:t>
      </w:r>
      <w:r w:rsidR="008D6917" w:rsidRPr="00751778">
        <w:t xml:space="preserve">in fact served a Civil Evidence Act notice </w:t>
      </w:r>
      <w:r w:rsidR="00EC210C" w:rsidRPr="00751778">
        <w:t xml:space="preserve">dated 11 December 2018 </w:t>
      </w:r>
      <w:r w:rsidR="008D6917" w:rsidRPr="00751778">
        <w:t xml:space="preserve">in relation </w:t>
      </w:r>
      <w:r w:rsidR="00283137" w:rsidRPr="00751778">
        <w:t xml:space="preserve">to </w:t>
      </w:r>
      <w:r w:rsidR="0093354A" w:rsidRPr="00751778">
        <w:t>Sha</w:t>
      </w:r>
      <w:r w:rsidR="005840D3" w:rsidRPr="00751778">
        <w:t>h</w:t>
      </w:r>
      <w:r w:rsidR="0093354A" w:rsidRPr="00751778">
        <w:t>aryar</w:t>
      </w:r>
      <w:r w:rsidR="00E47283" w:rsidRPr="00751778">
        <w:t>’s</w:t>
      </w:r>
      <w:r w:rsidR="0093354A" w:rsidRPr="00751778">
        <w:t xml:space="preserve"> </w:t>
      </w:r>
      <w:r w:rsidR="008D6917" w:rsidRPr="00751778">
        <w:t>evidence</w:t>
      </w:r>
      <w:r w:rsidR="00E647A9" w:rsidRPr="00751778">
        <w:t xml:space="preserve">, </w:t>
      </w:r>
      <w:r w:rsidR="00EC210C" w:rsidRPr="00751778">
        <w:t xml:space="preserve">stating that </w:t>
      </w:r>
      <w:r w:rsidR="0093354A" w:rsidRPr="00751778">
        <w:t xml:space="preserve">Shaharyar </w:t>
      </w:r>
      <w:r w:rsidR="00EC210C" w:rsidRPr="00751778">
        <w:t xml:space="preserve">“should not be called as a witness </w:t>
      </w:r>
      <w:r w:rsidR="000E51FA" w:rsidRPr="00751778">
        <w:t>to give oral evidence not only because he does not reside in the United Kingdom (and it</w:t>
      </w:r>
      <w:r w:rsidR="000E51FA">
        <w:t xml:space="preserve"> would therefore be disproportionately time-consuming </w:t>
      </w:r>
      <w:r w:rsidR="007023CD">
        <w:t xml:space="preserve">and expensive for him to travel to London to give evidence), but also because he is elderly and frail”. </w:t>
      </w:r>
    </w:p>
    <w:p w14:paraId="459E1078" w14:textId="77777777" w:rsidR="00C442ED" w:rsidRDefault="0072723E" w:rsidP="007E67DC">
      <w:pPr>
        <w:numPr>
          <w:ilvl w:val="0"/>
          <w:numId w:val="2"/>
        </w:numPr>
        <w:autoSpaceDE w:val="0"/>
        <w:spacing w:before="240" w:after="240"/>
        <w:jc w:val="both"/>
      </w:pPr>
      <w:r>
        <w:t xml:space="preserve">Because of what Pakistan had previously said about </w:t>
      </w:r>
      <w:r w:rsidR="0093354A">
        <w:t>Shaharyar</w:t>
      </w:r>
      <w:r w:rsidR="00E47283">
        <w:t>’s</w:t>
      </w:r>
      <w:r w:rsidR="0093354A">
        <w:t xml:space="preserve"> </w:t>
      </w:r>
      <w:r>
        <w:t xml:space="preserve">attendance, this first reason </w:t>
      </w:r>
      <w:r w:rsidR="003A7379">
        <w:t xml:space="preserve">for not calling Shaharyar </w:t>
      </w:r>
      <w:r w:rsidR="006551C6">
        <w:t xml:space="preserve">(non-residence in the United Kingdom) </w:t>
      </w:r>
      <w:r>
        <w:t xml:space="preserve">met with a degree of criticism from the </w:t>
      </w:r>
      <w:r w:rsidR="00407F28">
        <w:t xml:space="preserve">Princes and India. As it happened, </w:t>
      </w:r>
      <w:r w:rsidR="006551C6">
        <w:t xml:space="preserve">Shaharyar </w:t>
      </w:r>
      <w:r w:rsidR="00407F28">
        <w:t>was in London at the time of the trial</w:t>
      </w:r>
      <w:r w:rsidR="00682A25">
        <w:t xml:space="preserve"> and ready and willing to give evidence. </w:t>
      </w:r>
      <w:r w:rsidR="00342146">
        <w:t xml:space="preserve">However, on Day 1 (10 June 2019) of the trial, </w:t>
      </w:r>
      <w:r w:rsidR="00BE59D4">
        <w:t xml:space="preserve">I was shown a letter from </w:t>
      </w:r>
      <w:r w:rsidR="003A7379">
        <w:t>Shaharyar’s</w:t>
      </w:r>
      <w:r w:rsidR="00E47283">
        <w:t xml:space="preserve"> wife,</w:t>
      </w:r>
      <w:r w:rsidR="00BE59D4">
        <w:t xml:space="preserve"> indicating her own personal concern about the </w:t>
      </w:r>
      <w:r w:rsidR="00CF363E">
        <w:t xml:space="preserve">health implications of </w:t>
      </w:r>
      <w:r w:rsidR="00E47283">
        <w:t>Sha</w:t>
      </w:r>
      <w:r w:rsidR="00F432F4">
        <w:t>ha</w:t>
      </w:r>
      <w:r w:rsidR="00E47283">
        <w:t>ryar</w:t>
      </w:r>
      <w:r w:rsidR="00CF363E">
        <w:t xml:space="preserve"> giving evidence, </w:t>
      </w:r>
      <w:r w:rsidR="00CE797A">
        <w:t xml:space="preserve">this letter being </w:t>
      </w:r>
      <w:r w:rsidR="00CF363E">
        <w:t xml:space="preserve">accompanied by a doctor’s letter </w:t>
      </w:r>
      <w:r w:rsidR="009864AE">
        <w:t>stating</w:t>
      </w:r>
      <w:r w:rsidR="00CF363E">
        <w:t xml:space="preserve"> </w:t>
      </w:r>
      <w:r w:rsidR="00630A07">
        <w:t xml:space="preserve">that these concerns were well-founded. In these circumstances, the Princes and India </w:t>
      </w:r>
      <w:r w:rsidR="003A7379">
        <w:t>stated</w:t>
      </w:r>
      <w:r w:rsidR="00630A07">
        <w:t xml:space="preserve"> that they would make no criticism if </w:t>
      </w:r>
      <w:r w:rsidR="00E47283">
        <w:t>Shaharyar</w:t>
      </w:r>
      <w:r w:rsidR="00630A07">
        <w:t xml:space="preserve"> were not called</w:t>
      </w:r>
      <w:r w:rsidR="007E1B54">
        <w:t>. In the event</w:t>
      </w:r>
      <w:r w:rsidR="00814917">
        <w:t xml:space="preserve">, </w:t>
      </w:r>
      <w:r w:rsidR="00E47283">
        <w:t>Shaharya</w:t>
      </w:r>
      <w:r w:rsidR="00911AA3">
        <w:t>r</w:t>
      </w:r>
      <w:r w:rsidR="00814917">
        <w:t xml:space="preserve"> was not called by Pakistan. </w:t>
      </w:r>
    </w:p>
    <w:p w14:paraId="5BEA9FBD" w14:textId="77777777" w:rsidR="007A2AF9" w:rsidRDefault="007E1B54" w:rsidP="007E67DC">
      <w:pPr>
        <w:numPr>
          <w:ilvl w:val="0"/>
          <w:numId w:val="2"/>
        </w:numPr>
        <w:autoSpaceDE w:val="0"/>
        <w:spacing w:before="240" w:after="240"/>
        <w:jc w:val="both"/>
      </w:pPr>
      <w:r>
        <w:t>W</w:t>
      </w:r>
      <w:r w:rsidR="00B67E93">
        <w:t>hilst I have regard to section 4 of the Civil Evidence Act 1995</w:t>
      </w:r>
      <w:r w:rsidR="008535D3">
        <w:t xml:space="preserve"> in assessing the weight to be given to evidence adduced under a Civil Evidence Act </w:t>
      </w:r>
      <w:r w:rsidR="002D5835">
        <w:t>N</w:t>
      </w:r>
      <w:r w:rsidR="008535D3">
        <w:t>otice, I</w:t>
      </w:r>
      <w:r w:rsidR="004E34D3">
        <w:t xml:space="preserve"> </w:t>
      </w:r>
      <w:r w:rsidR="0092150B">
        <w:t xml:space="preserve">do not consider that </w:t>
      </w:r>
      <w:r w:rsidR="00AC7799">
        <w:t xml:space="preserve">section 4(2)(a) </w:t>
      </w:r>
      <w:r w:rsidR="0092150B">
        <w:t>of the 1995 Act is</w:t>
      </w:r>
      <w:r w:rsidR="00AC7799">
        <w:t xml:space="preserve"> a relevant factor going to weight in this case</w:t>
      </w:r>
      <w:r w:rsidR="00CF2637">
        <w:t>.</w:t>
      </w:r>
      <w:r w:rsidR="00290CF6">
        <w:t xml:space="preserve"> Section 4(2)(a) provides that a </w:t>
      </w:r>
      <w:r w:rsidR="00CF2637">
        <w:t>C</w:t>
      </w:r>
      <w:r w:rsidR="00290CF6">
        <w:t xml:space="preserve">ourt should have regard to “whether it would have been </w:t>
      </w:r>
      <w:r w:rsidR="00290CF6">
        <w:lastRenderedPageBreak/>
        <w:t xml:space="preserve">reasonable and practicable for the party by whom the evidence was adduced to have produced the maker of the original statement as a witness”. </w:t>
      </w:r>
      <w:r w:rsidR="009F2384">
        <w:t>In this case, it was clearly neither reasonable nor practicable for Shaharyar to have been called.</w:t>
      </w:r>
    </w:p>
    <w:p w14:paraId="52FEEED3" w14:textId="77777777" w:rsidR="00A71BB0" w:rsidRPr="00A71BB0" w:rsidRDefault="00A71BB0" w:rsidP="002F0DAB">
      <w:pPr>
        <w:keepNext/>
        <w:tabs>
          <w:tab w:val="left" w:pos="567"/>
        </w:tabs>
        <w:autoSpaceDE w:val="0"/>
        <w:spacing w:before="240" w:after="240"/>
        <w:jc w:val="both"/>
        <w:rPr>
          <w:b/>
          <w:bCs/>
        </w:rPr>
      </w:pPr>
      <w:r>
        <w:rPr>
          <w:b/>
          <w:bCs/>
        </w:rPr>
        <w:t>(3)</w:t>
      </w:r>
      <w:r>
        <w:rPr>
          <w:b/>
          <w:bCs/>
        </w:rPr>
        <w:tab/>
      </w:r>
      <w:r w:rsidR="007A6385">
        <w:rPr>
          <w:b/>
          <w:bCs/>
        </w:rPr>
        <w:t xml:space="preserve">Witness evidence given under </w:t>
      </w:r>
      <w:r>
        <w:rPr>
          <w:b/>
          <w:bCs/>
        </w:rPr>
        <w:t xml:space="preserve">Civil Evidence Act </w:t>
      </w:r>
      <w:r w:rsidR="00E461CD">
        <w:rPr>
          <w:b/>
          <w:bCs/>
        </w:rPr>
        <w:t>N</w:t>
      </w:r>
      <w:r>
        <w:rPr>
          <w:b/>
          <w:bCs/>
        </w:rPr>
        <w:t>otices</w:t>
      </w:r>
    </w:p>
    <w:p w14:paraId="191CF457" w14:textId="77777777" w:rsidR="00CA40B8" w:rsidRDefault="003059EB" w:rsidP="007E67DC">
      <w:pPr>
        <w:numPr>
          <w:ilvl w:val="0"/>
          <w:numId w:val="2"/>
        </w:numPr>
        <w:autoSpaceDE w:val="0"/>
        <w:spacing w:before="240" w:after="240"/>
        <w:jc w:val="both"/>
      </w:pPr>
      <w:r>
        <w:t xml:space="preserve">In addition to the evidence of </w:t>
      </w:r>
      <w:r w:rsidR="00054729">
        <w:t>Shaharyar</w:t>
      </w:r>
      <w:r w:rsidR="00FF12D7">
        <w:t>, C</w:t>
      </w:r>
      <w:r w:rsidR="002D5835">
        <w:t xml:space="preserve">ivil </w:t>
      </w:r>
      <w:r w:rsidR="00FF12D7">
        <w:t>E</w:t>
      </w:r>
      <w:r w:rsidR="002D5835">
        <w:t xml:space="preserve">vidence </w:t>
      </w:r>
      <w:r w:rsidR="00FF12D7">
        <w:t>A</w:t>
      </w:r>
      <w:r w:rsidR="002D5835">
        <w:t>ct</w:t>
      </w:r>
      <w:r w:rsidR="00FF12D7">
        <w:t xml:space="preserve"> </w:t>
      </w:r>
      <w:r w:rsidR="00CA40B8">
        <w:t>Notice</w:t>
      </w:r>
      <w:r w:rsidR="004C415F">
        <w:t>s</w:t>
      </w:r>
      <w:r w:rsidR="00FF12D7">
        <w:t xml:space="preserve"> were served in relation to the following statements of </w:t>
      </w:r>
      <w:r w:rsidR="002D5835">
        <w:t xml:space="preserve">the following </w:t>
      </w:r>
      <w:r w:rsidR="00FF12D7">
        <w:t>witnesses</w:t>
      </w:r>
      <w:r w:rsidR="00CA40B8">
        <w:t>:</w:t>
      </w:r>
    </w:p>
    <w:tbl>
      <w:tblPr>
        <w:tblStyle w:val="TableGrid"/>
        <w:tblW w:w="0" w:type="auto"/>
        <w:tblInd w:w="567" w:type="dxa"/>
        <w:tblLook w:val="04A0" w:firstRow="1" w:lastRow="0" w:firstColumn="1" w:lastColumn="0" w:noHBand="0" w:noVBand="1"/>
      </w:tblPr>
      <w:tblGrid>
        <w:gridCol w:w="2114"/>
        <w:gridCol w:w="1850"/>
        <w:gridCol w:w="1701"/>
        <w:gridCol w:w="2784"/>
      </w:tblGrid>
      <w:tr w:rsidR="00C10766" w14:paraId="0315AA5C" w14:textId="77777777" w:rsidTr="00C75ECC">
        <w:tc>
          <w:tcPr>
            <w:tcW w:w="2114" w:type="dxa"/>
            <w:shd w:val="clear" w:color="auto" w:fill="D9D9D9" w:themeFill="background1" w:themeFillShade="D9"/>
          </w:tcPr>
          <w:p w14:paraId="06D65F5D" w14:textId="77777777" w:rsidR="009969E8" w:rsidRPr="00DD689B" w:rsidRDefault="00FC0170" w:rsidP="00CA231E">
            <w:pPr>
              <w:autoSpaceDE w:val="0"/>
              <w:spacing w:before="60" w:after="60"/>
              <w:rPr>
                <w:rFonts w:ascii="Arial" w:hAnsi="Arial" w:cs="Arial"/>
                <w:b/>
                <w:bCs/>
                <w:sz w:val="18"/>
                <w:szCs w:val="18"/>
              </w:rPr>
            </w:pPr>
            <w:r w:rsidRPr="00DD689B">
              <w:rPr>
                <w:rFonts w:ascii="Arial" w:hAnsi="Arial" w:cs="Arial"/>
                <w:b/>
                <w:bCs/>
                <w:sz w:val="18"/>
                <w:szCs w:val="18"/>
              </w:rPr>
              <w:t xml:space="preserve">Statement </w:t>
            </w:r>
            <w:r w:rsidR="00CA231E" w:rsidRPr="00DD689B">
              <w:rPr>
                <w:rFonts w:ascii="Arial" w:hAnsi="Arial" w:cs="Arial"/>
                <w:b/>
                <w:bCs/>
                <w:sz w:val="18"/>
                <w:szCs w:val="18"/>
              </w:rPr>
              <w:t>being adduced</w:t>
            </w:r>
          </w:p>
        </w:tc>
        <w:tc>
          <w:tcPr>
            <w:tcW w:w="1850" w:type="dxa"/>
            <w:shd w:val="clear" w:color="auto" w:fill="D9D9D9" w:themeFill="background1" w:themeFillShade="D9"/>
          </w:tcPr>
          <w:p w14:paraId="69151746" w14:textId="77777777" w:rsidR="009969E8" w:rsidRPr="00DD689B" w:rsidRDefault="00D552D8" w:rsidP="00CA231E">
            <w:pPr>
              <w:autoSpaceDE w:val="0"/>
              <w:spacing w:before="60" w:after="60"/>
              <w:rPr>
                <w:rFonts w:ascii="Arial" w:hAnsi="Arial" w:cs="Arial"/>
                <w:b/>
                <w:bCs/>
                <w:sz w:val="18"/>
                <w:szCs w:val="18"/>
              </w:rPr>
            </w:pPr>
            <w:r w:rsidRPr="00DD689B">
              <w:rPr>
                <w:rFonts w:ascii="Arial" w:hAnsi="Arial" w:cs="Arial"/>
                <w:b/>
                <w:bCs/>
                <w:sz w:val="18"/>
                <w:szCs w:val="18"/>
              </w:rPr>
              <w:t>Reason for the CEA Notice</w:t>
            </w:r>
          </w:p>
        </w:tc>
        <w:tc>
          <w:tcPr>
            <w:tcW w:w="1701" w:type="dxa"/>
            <w:shd w:val="clear" w:color="auto" w:fill="D9D9D9" w:themeFill="background1" w:themeFillShade="D9"/>
          </w:tcPr>
          <w:p w14:paraId="692AC3E0" w14:textId="77777777" w:rsidR="009969E8" w:rsidRPr="00DD689B" w:rsidRDefault="00D552D8" w:rsidP="00CA231E">
            <w:pPr>
              <w:autoSpaceDE w:val="0"/>
              <w:spacing w:before="60" w:after="60"/>
              <w:rPr>
                <w:rFonts w:ascii="Arial" w:hAnsi="Arial" w:cs="Arial"/>
                <w:b/>
                <w:bCs/>
                <w:sz w:val="18"/>
                <w:szCs w:val="18"/>
              </w:rPr>
            </w:pPr>
            <w:r w:rsidRPr="00DD689B">
              <w:rPr>
                <w:rFonts w:ascii="Arial" w:hAnsi="Arial" w:cs="Arial"/>
                <w:b/>
                <w:bCs/>
                <w:sz w:val="18"/>
                <w:szCs w:val="18"/>
              </w:rPr>
              <w:t>Party relying on the evidence</w:t>
            </w:r>
          </w:p>
        </w:tc>
        <w:tc>
          <w:tcPr>
            <w:tcW w:w="2784" w:type="dxa"/>
            <w:shd w:val="clear" w:color="auto" w:fill="D9D9D9" w:themeFill="background1" w:themeFillShade="D9"/>
          </w:tcPr>
          <w:p w14:paraId="28A95459" w14:textId="77777777" w:rsidR="009969E8" w:rsidRPr="00DD689B" w:rsidRDefault="00A3681F" w:rsidP="00CA231E">
            <w:pPr>
              <w:autoSpaceDE w:val="0"/>
              <w:spacing w:before="60" w:after="60"/>
              <w:rPr>
                <w:rFonts w:ascii="Arial" w:hAnsi="Arial" w:cs="Arial"/>
                <w:b/>
                <w:bCs/>
                <w:sz w:val="18"/>
                <w:szCs w:val="18"/>
              </w:rPr>
            </w:pPr>
            <w:r w:rsidRPr="00DD689B">
              <w:rPr>
                <w:rFonts w:ascii="Arial" w:hAnsi="Arial" w:cs="Arial"/>
                <w:b/>
                <w:bCs/>
                <w:sz w:val="18"/>
                <w:szCs w:val="18"/>
              </w:rPr>
              <w:t xml:space="preserve">Description of the </w:t>
            </w:r>
            <w:r w:rsidR="00DD689B" w:rsidRPr="00DD689B">
              <w:rPr>
                <w:rFonts w:ascii="Arial" w:hAnsi="Arial" w:cs="Arial"/>
                <w:b/>
                <w:bCs/>
                <w:sz w:val="18"/>
                <w:szCs w:val="18"/>
              </w:rPr>
              <w:t>evidence</w:t>
            </w:r>
          </w:p>
        </w:tc>
      </w:tr>
      <w:tr w:rsidR="00957443" w14:paraId="6B0F3B51" w14:textId="77777777" w:rsidTr="00C75ECC">
        <w:tc>
          <w:tcPr>
            <w:tcW w:w="2114" w:type="dxa"/>
          </w:tcPr>
          <w:p w14:paraId="71353E98" w14:textId="77777777" w:rsidR="00957443" w:rsidRDefault="00957443" w:rsidP="00957443">
            <w:pPr>
              <w:autoSpaceDE w:val="0"/>
              <w:spacing w:before="60" w:after="60"/>
              <w:rPr>
                <w:rFonts w:ascii="Arial" w:hAnsi="Arial" w:cs="Arial"/>
                <w:sz w:val="18"/>
                <w:szCs w:val="18"/>
              </w:rPr>
            </w:pPr>
            <w:r>
              <w:rPr>
                <w:rFonts w:ascii="Arial" w:hAnsi="Arial" w:cs="Arial"/>
                <w:sz w:val="18"/>
                <w:szCs w:val="18"/>
              </w:rPr>
              <w:t>Affidavit of Rahimtoola sworn 15 July 1955 (</w:t>
            </w:r>
            <w:r>
              <w:rPr>
                <w:rFonts w:ascii="Arial" w:hAnsi="Arial" w:cs="Arial"/>
                <w:b/>
                <w:bCs/>
                <w:sz w:val="18"/>
                <w:szCs w:val="18"/>
              </w:rPr>
              <w:t>Rahimtoola 1</w:t>
            </w:r>
            <w:r>
              <w:rPr>
                <w:rFonts w:ascii="Arial" w:hAnsi="Arial" w:cs="Arial"/>
                <w:sz w:val="18"/>
                <w:szCs w:val="18"/>
              </w:rPr>
              <w:t>)</w:t>
            </w:r>
            <w:r w:rsidR="00CF2637">
              <w:rPr>
                <w:rFonts w:ascii="Arial" w:hAnsi="Arial" w:cs="Arial"/>
                <w:sz w:val="18"/>
                <w:szCs w:val="18"/>
              </w:rPr>
              <w:t>.</w:t>
            </w:r>
          </w:p>
        </w:tc>
        <w:tc>
          <w:tcPr>
            <w:tcW w:w="1850" w:type="dxa"/>
          </w:tcPr>
          <w:p w14:paraId="22AF4FC0" w14:textId="77777777" w:rsidR="00957443" w:rsidRDefault="00957443" w:rsidP="00957443">
            <w:pPr>
              <w:autoSpaceDE w:val="0"/>
              <w:spacing w:before="60" w:after="60"/>
              <w:rPr>
                <w:rFonts w:ascii="Arial" w:hAnsi="Arial" w:cs="Arial"/>
                <w:sz w:val="18"/>
                <w:szCs w:val="18"/>
              </w:rPr>
            </w:pPr>
            <w:r>
              <w:rPr>
                <w:rFonts w:ascii="Arial" w:hAnsi="Arial" w:cs="Arial"/>
                <w:sz w:val="18"/>
                <w:szCs w:val="18"/>
              </w:rPr>
              <w:t>Rahimtoola is deceased.</w:t>
            </w:r>
          </w:p>
        </w:tc>
        <w:tc>
          <w:tcPr>
            <w:tcW w:w="1701" w:type="dxa"/>
          </w:tcPr>
          <w:p w14:paraId="3A932CFA" w14:textId="77777777" w:rsidR="00957443" w:rsidRPr="008B08C1" w:rsidRDefault="00957443" w:rsidP="00957443">
            <w:pPr>
              <w:autoSpaceDE w:val="0"/>
              <w:spacing w:before="60" w:after="60"/>
              <w:rPr>
                <w:rFonts w:ascii="Arial" w:hAnsi="Arial" w:cs="Arial"/>
                <w:sz w:val="18"/>
                <w:szCs w:val="18"/>
              </w:rPr>
            </w:pPr>
            <w:r>
              <w:rPr>
                <w:rFonts w:ascii="Arial" w:hAnsi="Arial" w:cs="Arial"/>
                <w:sz w:val="18"/>
                <w:szCs w:val="18"/>
              </w:rPr>
              <w:t>Pakistan</w:t>
            </w:r>
          </w:p>
        </w:tc>
        <w:tc>
          <w:tcPr>
            <w:tcW w:w="2784" w:type="dxa"/>
          </w:tcPr>
          <w:p w14:paraId="3B313D73" w14:textId="77777777" w:rsidR="00957443" w:rsidRDefault="00EA76C0" w:rsidP="00957443">
            <w:pPr>
              <w:autoSpaceDE w:val="0"/>
              <w:spacing w:before="60" w:after="60"/>
              <w:rPr>
                <w:rFonts w:ascii="Arial" w:hAnsi="Arial" w:cs="Arial"/>
                <w:sz w:val="18"/>
                <w:szCs w:val="18"/>
              </w:rPr>
            </w:pPr>
            <w:r>
              <w:rPr>
                <w:rFonts w:ascii="Arial" w:hAnsi="Arial" w:cs="Arial"/>
                <w:sz w:val="18"/>
                <w:szCs w:val="18"/>
              </w:rPr>
              <w:t xml:space="preserve">This </w:t>
            </w:r>
            <w:r w:rsidR="007B55EB">
              <w:rPr>
                <w:rFonts w:ascii="Arial" w:hAnsi="Arial" w:cs="Arial"/>
                <w:sz w:val="18"/>
                <w:szCs w:val="18"/>
              </w:rPr>
              <w:t>was an affidavit produced for the purposes of the 1954 Proceedings</w:t>
            </w:r>
            <w:r w:rsidR="007E2059">
              <w:rPr>
                <w:rFonts w:ascii="Arial" w:hAnsi="Arial" w:cs="Arial"/>
                <w:sz w:val="18"/>
                <w:szCs w:val="18"/>
              </w:rPr>
              <w:t>, regarding the capacity in which Rahimtoola received the Fund.</w:t>
            </w:r>
          </w:p>
        </w:tc>
      </w:tr>
      <w:tr w:rsidR="00957443" w14:paraId="35840166" w14:textId="77777777" w:rsidTr="00C75ECC">
        <w:tc>
          <w:tcPr>
            <w:tcW w:w="2114" w:type="dxa"/>
          </w:tcPr>
          <w:p w14:paraId="42638AC3" w14:textId="77777777" w:rsidR="00957443" w:rsidRPr="00657449" w:rsidRDefault="00957443" w:rsidP="00957443">
            <w:pPr>
              <w:autoSpaceDE w:val="0"/>
              <w:spacing w:before="60" w:after="60"/>
              <w:rPr>
                <w:rFonts w:ascii="Arial" w:hAnsi="Arial" w:cs="Arial"/>
                <w:b/>
                <w:bCs/>
                <w:sz w:val="18"/>
                <w:szCs w:val="18"/>
              </w:rPr>
            </w:pPr>
            <w:r>
              <w:rPr>
                <w:rFonts w:ascii="Arial" w:hAnsi="Arial" w:cs="Arial"/>
                <w:sz w:val="18"/>
                <w:szCs w:val="18"/>
              </w:rPr>
              <w:t>Affidavit of Lakshmi Narayan Gupta (</w:t>
            </w:r>
            <w:r>
              <w:rPr>
                <w:rFonts w:ascii="Arial" w:hAnsi="Arial" w:cs="Arial"/>
                <w:b/>
                <w:bCs/>
                <w:sz w:val="18"/>
                <w:szCs w:val="18"/>
              </w:rPr>
              <w:t>Gupta</w:t>
            </w:r>
            <w:r>
              <w:rPr>
                <w:rFonts w:ascii="Arial" w:hAnsi="Arial" w:cs="Arial"/>
                <w:sz w:val="18"/>
                <w:szCs w:val="18"/>
              </w:rPr>
              <w:t>) sworn 17 March 1956 (</w:t>
            </w:r>
            <w:r>
              <w:rPr>
                <w:rFonts w:ascii="Arial" w:hAnsi="Arial" w:cs="Arial"/>
                <w:b/>
                <w:bCs/>
                <w:sz w:val="18"/>
                <w:szCs w:val="18"/>
              </w:rPr>
              <w:t>Gupta 1</w:t>
            </w:r>
            <w:r>
              <w:rPr>
                <w:rFonts w:ascii="Arial" w:hAnsi="Arial" w:cs="Arial"/>
                <w:sz w:val="18"/>
                <w:szCs w:val="18"/>
              </w:rPr>
              <w:t>)</w:t>
            </w:r>
            <w:r w:rsidR="00CF2637">
              <w:rPr>
                <w:rFonts w:ascii="Arial" w:hAnsi="Arial" w:cs="Arial"/>
                <w:sz w:val="18"/>
                <w:szCs w:val="18"/>
              </w:rPr>
              <w:t>.</w:t>
            </w:r>
            <w:r w:rsidR="000B6575">
              <w:rPr>
                <w:rFonts w:ascii="Arial" w:hAnsi="Arial" w:cs="Arial"/>
                <w:sz w:val="18"/>
                <w:szCs w:val="18"/>
              </w:rPr>
              <w:t xml:space="preserve"> Gupta was, in 1948, the Financial Secretary in the Hyderabad Government.</w:t>
            </w:r>
          </w:p>
        </w:tc>
        <w:tc>
          <w:tcPr>
            <w:tcW w:w="1850" w:type="dxa"/>
          </w:tcPr>
          <w:p w14:paraId="7FCF29E3" w14:textId="77777777" w:rsidR="00957443" w:rsidRPr="00DD689B" w:rsidRDefault="00957443" w:rsidP="00957443">
            <w:pPr>
              <w:autoSpaceDE w:val="0"/>
              <w:spacing w:before="60" w:after="60"/>
              <w:rPr>
                <w:rFonts w:ascii="Arial" w:hAnsi="Arial" w:cs="Arial"/>
                <w:b/>
                <w:bCs/>
                <w:sz w:val="18"/>
                <w:szCs w:val="18"/>
              </w:rPr>
            </w:pPr>
            <w:r>
              <w:rPr>
                <w:rFonts w:ascii="Arial" w:hAnsi="Arial" w:cs="Arial"/>
                <w:sz w:val="18"/>
                <w:szCs w:val="18"/>
              </w:rPr>
              <w:t xml:space="preserve">Gupta is deceased. </w:t>
            </w:r>
          </w:p>
        </w:tc>
        <w:tc>
          <w:tcPr>
            <w:tcW w:w="1701" w:type="dxa"/>
          </w:tcPr>
          <w:p w14:paraId="4986DB81" w14:textId="77777777" w:rsidR="00957443" w:rsidRPr="008B08C1" w:rsidRDefault="00957443" w:rsidP="00957443">
            <w:pPr>
              <w:autoSpaceDE w:val="0"/>
              <w:spacing w:before="60" w:after="60"/>
              <w:rPr>
                <w:rFonts w:ascii="Arial" w:hAnsi="Arial" w:cs="Arial"/>
                <w:sz w:val="18"/>
                <w:szCs w:val="18"/>
              </w:rPr>
            </w:pPr>
            <w:r w:rsidRPr="008B08C1">
              <w:rPr>
                <w:rFonts w:ascii="Arial" w:hAnsi="Arial" w:cs="Arial"/>
                <w:sz w:val="18"/>
                <w:szCs w:val="18"/>
              </w:rPr>
              <w:t>India</w:t>
            </w:r>
          </w:p>
          <w:p w14:paraId="559FCF62" w14:textId="77777777" w:rsidR="00957443" w:rsidRPr="009969E8" w:rsidRDefault="00957443" w:rsidP="00957443">
            <w:pPr>
              <w:autoSpaceDE w:val="0"/>
              <w:spacing w:before="60" w:after="60"/>
              <w:rPr>
                <w:rFonts w:ascii="Arial" w:hAnsi="Arial" w:cs="Arial"/>
                <w:sz w:val="18"/>
                <w:szCs w:val="18"/>
              </w:rPr>
            </w:pPr>
            <w:r w:rsidRPr="008B08C1">
              <w:rPr>
                <w:rFonts w:ascii="Arial" w:hAnsi="Arial" w:cs="Arial"/>
                <w:sz w:val="18"/>
                <w:szCs w:val="18"/>
              </w:rPr>
              <w:t>Nizam VIII</w:t>
            </w:r>
          </w:p>
        </w:tc>
        <w:tc>
          <w:tcPr>
            <w:tcW w:w="2784" w:type="dxa"/>
          </w:tcPr>
          <w:p w14:paraId="6EE3D58A" w14:textId="77777777" w:rsidR="00957443" w:rsidRPr="009969E8" w:rsidRDefault="00957443" w:rsidP="00957443">
            <w:pPr>
              <w:autoSpaceDE w:val="0"/>
              <w:spacing w:before="60" w:after="60"/>
              <w:rPr>
                <w:rFonts w:ascii="Arial" w:hAnsi="Arial" w:cs="Arial"/>
                <w:sz w:val="18"/>
                <w:szCs w:val="18"/>
              </w:rPr>
            </w:pPr>
            <w:r>
              <w:rPr>
                <w:rFonts w:ascii="Arial" w:hAnsi="Arial" w:cs="Arial"/>
                <w:sz w:val="18"/>
                <w:szCs w:val="18"/>
              </w:rPr>
              <w:t xml:space="preserve">This was </w:t>
            </w:r>
            <w:r w:rsidR="00EA76C0">
              <w:rPr>
                <w:rFonts w:ascii="Arial" w:hAnsi="Arial" w:cs="Arial"/>
                <w:sz w:val="18"/>
                <w:szCs w:val="18"/>
              </w:rPr>
              <w:t xml:space="preserve">also </w:t>
            </w:r>
            <w:r w:rsidR="00074E2D">
              <w:rPr>
                <w:rFonts w:ascii="Arial" w:hAnsi="Arial" w:cs="Arial"/>
                <w:sz w:val="18"/>
                <w:szCs w:val="18"/>
              </w:rPr>
              <w:t xml:space="preserve">an </w:t>
            </w:r>
            <w:r>
              <w:rPr>
                <w:rFonts w:ascii="Arial" w:hAnsi="Arial" w:cs="Arial"/>
                <w:sz w:val="18"/>
                <w:szCs w:val="18"/>
              </w:rPr>
              <w:t>affidavit produced for the purposes of the 1954 Proceedings. Gupta spoke principally of the absence of authority for the Transfer from Nizam VII.</w:t>
            </w:r>
          </w:p>
        </w:tc>
      </w:tr>
      <w:tr w:rsidR="00957443" w14:paraId="12A98A65" w14:textId="77777777" w:rsidTr="00C75ECC">
        <w:tc>
          <w:tcPr>
            <w:tcW w:w="2114" w:type="dxa"/>
          </w:tcPr>
          <w:p w14:paraId="2436800C" w14:textId="77777777" w:rsidR="00957443" w:rsidRPr="001E501B" w:rsidRDefault="00957443" w:rsidP="00957443">
            <w:pPr>
              <w:autoSpaceDE w:val="0"/>
              <w:spacing w:before="60" w:after="60"/>
              <w:rPr>
                <w:rFonts w:ascii="Arial" w:hAnsi="Arial" w:cs="Arial"/>
                <w:b/>
                <w:bCs/>
                <w:sz w:val="18"/>
                <w:szCs w:val="18"/>
              </w:rPr>
            </w:pPr>
            <w:r>
              <w:rPr>
                <w:rFonts w:ascii="Arial" w:hAnsi="Arial" w:cs="Arial"/>
                <w:sz w:val="18"/>
                <w:szCs w:val="18"/>
              </w:rPr>
              <w:t xml:space="preserve">Affidavit of Rahimtoola sworn 19 June 1956 </w:t>
            </w:r>
            <w:r w:rsidR="004501BD">
              <w:rPr>
                <w:rFonts w:ascii="Arial" w:hAnsi="Arial" w:cs="Arial"/>
                <w:sz w:val="18"/>
                <w:szCs w:val="18"/>
              </w:rPr>
              <w:t>(</w:t>
            </w:r>
            <w:r w:rsidR="004501BD">
              <w:rPr>
                <w:rFonts w:ascii="Arial" w:hAnsi="Arial" w:cs="Arial"/>
                <w:b/>
                <w:bCs/>
                <w:sz w:val="18"/>
                <w:szCs w:val="18"/>
              </w:rPr>
              <w:t>Rahimtoola 2</w:t>
            </w:r>
            <w:r w:rsidR="004501BD">
              <w:rPr>
                <w:rFonts w:ascii="Arial" w:hAnsi="Arial" w:cs="Arial"/>
                <w:sz w:val="18"/>
                <w:szCs w:val="18"/>
              </w:rPr>
              <w:t>)</w:t>
            </w:r>
            <w:r w:rsidR="000B6575">
              <w:rPr>
                <w:rFonts w:ascii="Arial" w:hAnsi="Arial" w:cs="Arial"/>
                <w:sz w:val="18"/>
                <w:szCs w:val="18"/>
              </w:rPr>
              <w:t>.</w:t>
            </w:r>
          </w:p>
        </w:tc>
        <w:tc>
          <w:tcPr>
            <w:tcW w:w="1850" w:type="dxa"/>
          </w:tcPr>
          <w:p w14:paraId="59DB059A" w14:textId="77777777" w:rsidR="00957443" w:rsidRPr="001E501B" w:rsidRDefault="00957443" w:rsidP="00957443">
            <w:pPr>
              <w:autoSpaceDE w:val="0"/>
              <w:spacing w:before="60" w:after="60"/>
              <w:rPr>
                <w:rFonts w:ascii="Arial" w:hAnsi="Arial" w:cs="Arial"/>
                <w:b/>
                <w:bCs/>
                <w:sz w:val="18"/>
                <w:szCs w:val="18"/>
              </w:rPr>
            </w:pPr>
            <w:r>
              <w:rPr>
                <w:rFonts w:ascii="Arial" w:hAnsi="Arial" w:cs="Arial"/>
                <w:sz w:val="18"/>
                <w:szCs w:val="18"/>
              </w:rPr>
              <w:t>Rahimtoola is deceased.</w:t>
            </w:r>
          </w:p>
        </w:tc>
        <w:tc>
          <w:tcPr>
            <w:tcW w:w="1701" w:type="dxa"/>
          </w:tcPr>
          <w:p w14:paraId="4272DC75" w14:textId="77777777" w:rsidR="00957443" w:rsidRDefault="00957443" w:rsidP="00957443">
            <w:pPr>
              <w:autoSpaceDE w:val="0"/>
              <w:spacing w:before="60" w:after="60"/>
              <w:rPr>
                <w:rFonts w:ascii="Arial" w:hAnsi="Arial" w:cs="Arial"/>
                <w:sz w:val="18"/>
                <w:szCs w:val="18"/>
              </w:rPr>
            </w:pPr>
            <w:r>
              <w:rPr>
                <w:rFonts w:ascii="Arial" w:hAnsi="Arial" w:cs="Arial"/>
                <w:sz w:val="18"/>
                <w:szCs w:val="18"/>
              </w:rPr>
              <w:t>Pakistan</w:t>
            </w:r>
          </w:p>
        </w:tc>
        <w:tc>
          <w:tcPr>
            <w:tcW w:w="2784" w:type="dxa"/>
          </w:tcPr>
          <w:p w14:paraId="4B80437A" w14:textId="77777777" w:rsidR="00957443" w:rsidRPr="009969E8" w:rsidRDefault="00957443" w:rsidP="00957443">
            <w:pPr>
              <w:autoSpaceDE w:val="0"/>
              <w:spacing w:before="60" w:after="60"/>
              <w:rPr>
                <w:rFonts w:ascii="Arial" w:hAnsi="Arial" w:cs="Arial"/>
                <w:sz w:val="18"/>
                <w:szCs w:val="18"/>
              </w:rPr>
            </w:pPr>
            <w:r>
              <w:rPr>
                <w:rFonts w:ascii="Arial" w:hAnsi="Arial" w:cs="Arial"/>
                <w:sz w:val="18"/>
                <w:szCs w:val="18"/>
              </w:rPr>
              <w:t xml:space="preserve">This was an affidavit </w:t>
            </w:r>
            <w:r w:rsidR="007E2059">
              <w:rPr>
                <w:rFonts w:ascii="Arial" w:hAnsi="Arial" w:cs="Arial"/>
                <w:sz w:val="18"/>
                <w:szCs w:val="18"/>
              </w:rPr>
              <w:t>again</w:t>
            </w:r>
            <w:r>
              <w:rPr>
                <w:rFonts w:ascii="Arial" w:hAnsi="Arial" w:cs="Arial"/>
                <w:sz w:val="18"/>
                <w:szCs w:val="18"/>
              </w:rPr>
              <w:t xml:space="preserve"> produced for the 1954 Proceedings and responsive to Gupta 1. The thrust of the affidavit is the capacity in which Rahimtoola received the Fund.</w:t>
            </w:r>
          </w:p>
        </w:tc>
      </w:tr>
      <w:tr w:rsidR="00957443" w14:paraId="63C2D0C6" w14:textId="77777777" w:rsidTr="00C75ECC">
        <w:tc>
          <w:tcPr>
            <w:tcW w:w="2114" w:type="dxa"/>
          </w:tcPr>
          <w:p w14:paraId="0D2F0DD3" w14:textId="77777777" w:rsidR="00957443" w:rsidRPr="000B6575" w:rsidRDefault="00957443" w:rsidP="00957443">
            <w:pPr>
              <w:autoSpaceDE w:val="0"/>
              <w:spacing w:before="60" w:after="60"/>
              <w:rPr>
                <w:rFonts w:ascii="Arial" w:hAnsi="Arial" w:cs="Arial"/>
                <w:sz w:val="18"/>
                <w:szCs w:val="18"/>
              </w:rPr>
            </w:pPr>
            <w:r>
              <w:rPr>
                <w:rFonts w:ascii="Arial" w:hAnsi="Arial" w:cs="Arial"/>
                <w:sz w:val="18"/>
                <w:szCs w:val="18"/>
              </w:rPr>
              <w:t xml:space="preserve">Affidavit of Nizam VII sworn 3 November </w:t>
            </w:r>
            <w:r w:rsidR="0009477C">
              <w:rPr>
                <w:rFonts w:ascii="Arial" w:hAnsi="Arial" w:cs="Arial"/>
                <w:sz w:val="18"/>
                <w:szCs w:val="18"/>
              </w:rPr>
              <w:t>1956 (</w:t>
            </w:r>
            <w:r w:rsidR="0009477C">
              <w:rPr>
                <w:rFonts w:ascii="Arial" w:hAnsi="Arial" w:cs="Arial"/>
                <w:b/>
                <w:bCs/>
                <w:sz w:val="18"/>
                <w:szCs w:val="18"/>
              </w:rPr>
              <w:t>Nizam VII 1</w:t>
            </w:r>
            <w:r w:rsidR="000B6575">
              <w:rPr>
                <w:rFonts w:ascii="Arial" w:hAnsi="Arial" w:cs="Arial"/>
                <w:sz w:val="18"/>
                <w:szCs w:val="18"/>
              </w:rPr>
              <w:t>).</w:t>
            </w:r>
          </w:p>
        </w:tc>
        <w:tc>
          <w:tcPr>
            <w:tcW w:w="1850" w:type="dxa"/>
          </w:tcPr>
          <w:p w14:paraId="613215EB" w14:textId="77777777" w:rsidR="00957443" w:rsidRPr="00DF718B" w:rsidRDefault="00957443" w:rsidP="00957443">
            <w:pPr>
              <w:autoSpaceDE w:val="0"/>
              <w:spacing w:before="60" w:after="60"/>
              <w:rPr>
                <w:rFonts w:ascii="Arial" w:hAnsi="Arial" w:cs="Arial"/>
                <w:b/>
                <w:bCs/>
                <w:sz w:val="18"/>
                <w:szCs w:val="18"/>
              </w:rPr>
            </w:pPr>
            <w:r>
              <w:rPr>
                <w:rFonts w:ascii="Arial" w:hAnsi="Arial" w:cs="Arial"/>
                <w:sz w:val="18"/>
                <w:szCs w:val="18"/>
              </w:rPr>
              <w:t>Nizam VII is deceased.</w:t>
            </w:r>
          </w:p>
        </w:tc>
        <w:tc>
          <w:tcPr>
            <w:tcW w:w="1701" w:type="dxa"/>
          </w:tcPr>
          <w:p w14:paraId="597FB009" w14:textId="77777777" w:rsidR="00957443" w:rsidRDefault="00957443" w:rsidP="00957443">
            <w:pPr>
              <w:autoSpaceDE w:val="0"/>
              <w:spacing w:before="60" w:after="60"/>
              <w:rPr>
                <w:rFonts w:ascii="Arial" w:hAnsi="Arial" w:cs="Arial"/>
                <w:sz w:val="18"/>
                <w:szCs w:val="18"/>
              </w:rPr>
            </w:pPr>
            <w:r>
              <w:rPr>
                <w:rFonts w:ascii="Arial" w:hAnsi="Arial" w:cs="Arial"/>
                <w:sz w:val="18"/>
                <w:szCs w:val="18"/>
              </w:rPr>
              <w:t>India</w:t>
            </w:r>
          </w:p>
          <w:p w14:paraId="1291370B" w14:textId="77777777" w:rsidR="00957443" w:rsidRDefault="00957443" w:rsidP="00957443">
            <w:pPr>
              <w:autoSpaceDE w:val="0"/>
              <w:spacing w:before="60" w:after="60"/>
              <w:rPr>
                <w:rFonts w:ascii="Arial" w:hAnsi="Arial" w:cs="Arial"/>
                <w:sz w:val="18"/>
                <w:szCs w:val="18"/>
              </w:rPr>
            </w:pPr>
            <w:r>
              <w:rPr>
                <w:rFonts w:ascii="Arial" w:hAnsi="Arial" w:cs="Arial"/>
                <w:sz w:val="18"/>
                <w:szCs w:val="18"/>
              </w:rPr>
              <w:t>Nizam VIII</w:t>
            </w:r>
          </w:p>
        </w:tc>
        <w:tc>
          <w:tcPr>
            <w:tcW w:w="2784" w:type="dxa"/>
          </w:tcPr>
          <w:p w14:paraId="67F95871" w14:textId="77777777" w:rsidR="00957443" w:rsidRPr="009969E8" w:rsidRDefault="00396A52" w:rsidP="00957443">
            <w:pPr>
              <w:autoSpaceDE w:val="0"/>
              <w:spacing w:before="60" w:after="60"/>
              <w:rPr>
                <w:rFonts w:ascii="Arial" w:hAnsi="Arial" w:cs="Arial"/>
                <w:sz w:val="18"/>
                <w:szCs w:val="18"/>
              </w:rPr>
            </w:pPr>
            <w:r>
              <w:rPr>
                <w:rFonts w:ascii="Arial" w:hAnsi="Arial" w:cs="Arial"/>
                <w:sz w:val="18"/>
                <w:szCs w:val="18"/>
              </w:rPr>
              <w:t>Although this affidavit was produced for the purposes of the 1954 Proceedings</w:t>
            </w:r>
            <w:r w:rsidR="00C75ECC">
              <w:rPr>
                <w:rFonts w:ascii="Arial" w:hAnsi="Arial" w:cs="Arial"/>
                <w:sz w:val="18"/>
                <w:szCs w:val="18"/>
              </w:rPr>
              <w:t>, it was produced in the Court of Appeal in response to comments made by Upjohn J at first instance.</w:t>
            </w:r>
            <w:r w:rsidR="00873695">
              <w:rPr>
                <w:rStyle w:val="FootnoteReference"/>
                <w:rFonts w:ascii="Arial" w:hAnsi="Arial" w:cs="Arial"/>
                <w:sz w:val="18"/>
                <w:szCs w:val="18"/>
              </w:rPr>
              <w:footnoteReference w:id="43"/>
            </w:r>
          </w:p>
        </w:tc>
      </w:tr>
    </w:tbl>
    <w:p w14:paraId="43D02115" w14:textId="77777777" w:rsidR="00C75ECC" w:rsidRPr="00E461CD" w:rsidRDefault="00C75ECC" w:rsidP="007A6385">
      <w:pPr>
        <w:tabs>
          <w:tab w:val="left" w:pos="567"/>
        </w:tabs>
        <w:autoSpaceDE w:val="0"/>
        <w:spacing w:before="240" w:after="240"/>
        <w:jc w:val="both"/>
      </w:pPr>
      <w:r>
        <w:rPr>
          <w:b/>
          <w:bCs/>
        </w:rPr>
        <w:tab/>
      </w:r>
      <w:r w:rsidR="00E461CD">
        <w:rPr>
          <w:u w:val="single"/>
        </w:rPr>
        <w:t>Table 1</w:t>
      </w:r>
      <w:r w:rsidR="00E461CD">
        <w:t>: Witness evidence given under Civil Evidence Act Notices</w:t>
      </w:r>
    </w:p>
    <w:p w14:paraId="229204B6" w14:textId="77777777" w:rsidR="00E461CD" w:rsidRDefault="00F65397" w:rsidP="00E461CD">
      <w:pPr>
        <w:numPr>
          <w:ilvl w:val="0"/>
          <w:numId w:val="2"/>
        </w:numPr>
        <w:autoSpaceDE w:val="0"/>
        <w:spacing w:before="240" w:after="240"/>
        <w:jc w:val="both"/>
      </w:pPr>
      <w:r w:rsidRPr="00423B91">
        <w:t xml:space="preserve">None of these witnesses </w:t>
      </w:r>
      <w:r w:rsidR="00423B91">
        <w:t xml:space="preserve">could be called, and their evidence obviously relates </w:t>
      </w:r>
      <w:r w:rsidR="005062FA">
        <w:t>closely</w:t>
      </w:r>
      <w:r w:rsidR="00423B91">
        <w:t xml:space="preserve"> to issues </w:t>
      </w:r>
      <w:r w:rsidR="00975D94">
        <w:t>I have to decide. I take it into account, but with the following cautionary notes:</w:t>
      </w:r>
    </w:p>
    <w:p w14:paraId="56CB8B0A" w14:textId="77777777" w:rsidR="00975D94" w:rsidRDefault="00975D94" w:rsidP="00975D94">
      <w:pPr>
        <w:numPr>
          <w:ilvl w:val="1"/>
          <w:numId w:val="2"/>
        </w:numPr>
        <w:autoSpaceDE w:val="0"/>
        <w:spacing w:before="240" w:after="240"/>
        <w:jc w:val="both"/>
      </w:pPr>
      <w:r>
        <w:t xml:space="preserve">The evidence was given </w:t>
      </w:r>
      <w:r w:rsidR="002C284A">
        <w:t xml:space="preserve">seven or more years after the events in question, </w:t>
      </w:r>
      <w:r w:rsidR="005062FA">
        <w:t>namely</w:t>
      </w:r>
      <w:r w:rsidR="002C284A">
        <w:t xml:space="preserve"> the Transfer and the establishment of the Fund.</w:t>
      </w:r>
    </w:p>
    <w:p w14:paraId="59A1DF10" w14:textId="77777777" w:rsidR="00961D81" w:rsidRDefault="00961D81" w:rsidP="00975D94">
      <w:pPr>
        <w:numPr>
          <w:ilvl w:val="1"/>
          <w:numId w:val="2"/>
        </w:numPr>
        <w:autoSpaceDE w:val="0"/>
        <w:spacing w:before="240" w:after="240"/>
        <w:jc w:val="both"/>
      </w:pPr>
      <w:r>
        <w:t>None of the affidavits purports to be comprehensive: they all go to the specific issue that w</w:t>
      </w:r>
      <w:r w:rsidR="003949CD">
        <w:t>as</w:t>
      </w:r>
      <w:r>
        <w:t xml:space="preserve"> live during the 1954 Proceedings, namely </w:t>
      </w:r>
      <w:r w:rsidR="00E37E10">
        <w:t>the question of sovereign immunity.</w:t>
      </w:r>
    </w:p>
    <w:p w14:paraId="31F76040" w14:textId="77777777" w:rsidR="00E010FD" w:rsidRDefault="00E010FD" w:rsidP="00975D94">
      <w:pPr>
        <w:numPr>
          <w:ilvl w:val="1"/>
          <w:numId w:val="2"/>
        </w:numPr>
        <w:autoSpaceDE w:val="0"/>
        <w:spacing w:before="240" w:after="240"/>
        <w:jc w:val="both"/>
      </w:pPr>
      <w:r>
        <w:lastRenderedPageBreak/>
        <w:t>The evidence would have been given after a certain hardening</w:t>
      </w:r>
      <w:r w:rsidR="00E31136">
        <w:t xml:space="preserve"> of positio</w:t>
      </w:r>
      <w:r w:rsidR="00E31136" w:rsidRPr="00107517">
        <w:t>n</w:t>
      </w:r>
      <w:r w:rsidR="0099131C" w:rsidRPr="00107517">
        <w:t>s</w:t>
      </w:r>
      <w:r w:rsidR="00E31136">
        <w:t xml:space="preserve"> on all sides had occurred. The fact is that, by the time of the 1954 Proceedings, </w:t>
      </w:r>
      <w:r w:rsidR="00A23640">
        <w:t xml:space="preserve">India was pressing Nizam VII to seek to recover the </w:t>
      </w:r>
      <w:r w:rsidR="006010EF">
        <w:t>F</w:t>
      </w:r>
      <w:r w:rsidR="00A23640">
        <w:t xml:space="preserve">und and Nizam VII was </w:t>
      </w:r>
      <w:r w:rsidR="00644317">
        <w:t>d</w:t>
      </w:r>
      <w:r w:rsidR="00A23640">
        <w:t xml:space="preserve">oing so; Pakistan was </w:t>
      </w:r>
      <w:r w:rsidR="006010EF">
        <w:t xml:space="preserve">disinclined to allow India, through Nizam VII, to recover the Fund and </w:t>
      </w:r>
      <w:r w:rsidR="00285460">
        <w:t xml:space="preserve">was prepared to assert sovereign immunity to do so. Inevitably, the evidence would have been directed – on each side </w:t>
      </w:r>
      <w:r w:rsidR="008074E0">
        <w:t>–</w:t>
      </w:r>
      <w:r w:rsidR="00285460">
        <w:t xml:space="preserve"> </w:t>
      </w:r>
      <w:r w:rsidR="008074E0">
        <w:t>to support the position being adopted by the parties. I do not say that these affidavits should automatically be disbelieved for this reason</w:t>
      </w:r>
      <w:r w:rsidR="00D1104B">
        <w:t xml:space="preserve">: they are sworn documents </w:t>
      </w:r>
      <w:r w:rsidR="002D0DB9">
        <w:t>and my default is to treat them a</w:t>
      </w:r>
      <w:r w:rsidR="009046C4">
        <w:t>s</w:t>
      </w:r>
      <w:r w:rsidR="002D0DB9">
        <w:t xml:space="preserve"> true. But, at the very least,</w:t>
      </w:r>
      <w:r w:rsidR="009046C4">
        <w:t xml:space="preserve"> their content will have been coloured by the positions adopted by the parties.</w:t>
      </w:r>
    </w:p>
    <w:p w14:paraId="7A343F41" w14:textId="77777777" w:rsidR="00A626D8" w:rsidRDefault="00A626D8" w:rsidP="00975D94">
      <w:pPr>
        <w:numPr>
          <w:ilvl w:val="1"/>
          <w:numId w:val="2"/>
        </w:numPr>
        <w:autoSpaceDE w:val="0"/>
        <w:spacing w:before="240" w:after="240"/>
        <w:jc w:val="both"/>
      </w:pPr>
      <w:r>
        <w:t>The evidence was given before discovery, and</w:t>
      </w:r>
      <w:r w:rsidR="00A818C8">
        <w:t xml:space="preserve"> the evidence of</w:t>
      </w:r>
      <w:r>
        <w:t xml:space="preserve"> none of the witnesses was</w:t>
      </w:r>
      <w:r w:rsidR="009046C4">
        <w:t xml:space="preserve"> tested in</w:t>
      </w:r>
      <w:r>
        <w:t xml:space="preserve"> cross-exami</w:t>
      </w:r>
      <w:r w:rsidR="009046C4">
        <w:t>nation</w:t>
      </w:r>
      <w:r>
        <w:t>.</w:t>
      </w:r>
      <w:r w:rsidR="009046C4">
        <w:t xml:space="preserve"> </w:t>
      </w:r>
      <w:r w:rsidR="001C0C74">
        <w:t xml:space="preserve">The fact that the evidence of these witnesses could not be tested in cross-examination in </w:t>
      </w:r>
      <w:r w:rsidR="00E37E10">
        <w:t xml:space="preserve">the light of </w:t>
      </w:r>
      <w:r w:rsidR="00893D10">
        <w:t>discovered documents significantly affects the weight that I can attach to these affidavits.</w:t>
      </w:r>
    </w:p>
    <w:p w14:paraId="416B8FCF" w14:textId="77777777" w:rsidR="00893D10" w:rsidRPr="00423B91" w:rsidRDefault="00864F18" w:rsidP="00893D10">
      <w:pPr>
        <w:numPr>
          <w:ilvl w:val="0"/>
          <w:numId w:val="2"/>
        </w:numPr>
        <w:autoSpaceDE w:val="0"/>
        <w:spacing w:before="240" w:after="240"/>
        <w:jc w:val="both"/>
      </w:pPr>
      <w:r>
        <w:t xml:space="preserve">It was suggested that </w:t>
      </w:r>
      <w:r w:rsidR="00972C1A">
        <w:t xml:space="preserve">the fact that </w:t>
      </w:r>
      <w:r>
        <w:t>there might have been an opportunity to cross-examine these witnesses during the course of the 1954 Proceedings</w:t>
      </w:r>
      <w:r w:rsidR="00976B8E">
        <w:t xml:space="preserve">, which was not taken, ought in some way to give added weight to the evidence. In other words, </w:t>
      </w:r>
      <w:r w:rsidR="009735B9">
        <w:t xml:space="preserve">it was suggested that </w:t>
      </w:r>
      <w:r w:rsidR="00B151BD">
        <w:t>the fact that</w:t>
      </w:r>
      <w:r w:rsidR="00976B8E">
        <w:t xml:space="preserve"> the evidence </w:t>
      </w:r>
      <w:r w:rsidR="004A2AC5" w:rsidRPr="00A91B61">
        <w:rPr>
          <w:u w:val="single"/>
        </w:rPr>
        <w:t>could</w:t>
      </w:r>
      <w:r w:rsidR="004A2AC5">
        <w:t xml:space="preserve"> have been tested in cross-examination, but was not, justifie</w:t>
      </w:r>
      <w:r w:rsidR="009630B4">
        <w:t>d</w:t>
      </w:r>
      <w:r w:rsidR="004A2AC5">
        <w:t xml:space="preserve"> an inference that the witness was telling the truth or (perhaps more accurately) that the party </w:t>
      </w:r>
      <w:r w:rsidR="00E673CF">
        <w:t xml:space="preserve">who could have, but did not, cross-examine, ought in some way to be bound to accept the evidence given as true. I reject that as an approach. </w:t>
      </w:r>
      <w:r w:rsidR="0059393B">
        <w:t>The subject-matter of the 1954 Proceedings was very different from that before me now, and it would be unwise to read too much into decision</w:t>
      </w:r>
      <w:r w:rsidR="00BA330E">
        <w:t>s</w:t>
      </w:r>
      <w:r w:rsidR="0059393B">
        <w:t>, taken</w:t>
      </w:r>
      <w:r w:rsidR="00AA375D">
        <w:t xml:space="preserve"> over sixty years ago, as to whether or not to cross-examine</w:t>
      </w:r>
      <w:r w:rsidR="001141A3">
        <w:t xml:space="preserve"> a particular witness</w:t>
      </w:r>
      <w:r w:rsidR="00AA375D">
        <w:t xml:space="preserve">. </w:t>
      </w:r>
      <w:r w:rsidR="0059393B">
        <w:t xml:space="preserve"> </w:t>
      </w:r>
    </w:p>
    <w:p w14:paraId="5678C0F4" w14:textId="77777777" w:rsidR="009C1375" w:rsidRPr="007A6385" w:rsidRDefault="007A6385" w:rsidP="00AB401C">
      <w:pPr>
        <w:keepNext/>
        <w:tabs>
          <w:tab w:val="left" w:pos="567"/>
        </w:tabs>
        <w:autoSpaceDE w:val="0"/>
        <w:spacing w:before="240" w:after="240"/>
        <w:jc w:val="both"/>
        <w:rPr>
          <w:b/>
          <w:bCs/>
        </w:rPr>
      </w:pPr>
      <w:r>
        <w:rPr>
          <w:b/>
          <w:bCs/>
        </w:rPr>
        <w:t>(4)</w:t>
      </w:r>
      <w:r>
        <w:rPr>
          <w:b/>
          <w:bCs/>
        </w:rPr>
        <w:tab/>
        <w:t>Documentary evidence</w:t>
      </w:r>
    </w:p>
    <w:p w14:paraId="718F38CA" w14:textId="77777777" w:rsidR="00B60966" w:rsidRPr="00B60966" w:rsidRDefault="00B60966" w:rsidP="00AB401C">
      <w:pPr>
        <w:keepNext/>
        <w:tabs>
          <w:tab w:val="left" w:pos="567"/>
        </w:tabs>
        <w:autoSpaceDE w:val="0"/>
        <w:spacing w:before="240" w:after="240"/>
        <w:jc w:val="both"/>
        <w:rPr>
          <w:b/>
          <w:bCs/>
          <w:i/>
          <w:iCs/>
        </w:rPr>
      </w:pPr>
      <w:r>
        <w:rPr>
          <w:b/>
          <w:bCs/>
          <w:i/>
          <w:iCs/>
        </w:rPr>
        <w:t>(a)</w:t>
      </w:r>
      <w:r>
        <w:rPr>
          <w:b/>
          <w:bCs/>
          <w:i/>
          <w:iCs/>
        </w:rPr>
        <w:tab/>
        <w:t>Disclosed documents</w:t>
      </w:r>
    </w:p>
    <w:p w14:paraId="1E8289A8" w14:textId="77777777" w:rsidR="007A6385" w:rsidRDefault="00647A91" w:rsidP="007E67DC">
      <w:pPr>
        <w:numPr>
          <w:ilvl w:val="0"/>
          <w:numId w:val="2"/>
        </w:numPr>
        <w:autoSpaceDE w:val="0"/>
        <w:spacing w:before="240" w:after="240"/>
        <w:jc w:val="both"/>
      </w:pPr>
      <w:r>
        <w:t>Pakistan, the Princes, India and the Bank all gave disclosure</w:t>
      </w:r>
      <w:r w:rsidR="00162149">
        <w:t xml:space="preserve">. Given the passage of time, this clearly was a challenging exercise for all concerned. </w:t>
      </w:r>
      <w:r w:rsidR="002367ED">
        <w:t xml:space="preserve">It is important that I record that all of the parties </w:t>
      </w:r>
      <w:r w:rsidR="00AC5785">
        <w:t xml:space="preserve">fulfilled their responsibilities in an entirely appropriate manner. </w:t>
      </w:r>
      <w:r w:rsidR="00785D1D">
        <w:t>It is necessary to say this because – inevitably – there were gaps in the documentary record. Some of these gaps were obvious</w:t>
      </w:r>
      <w:r w:rsidR="005E2FA9">
        <w:t xml:space="preserve"> to see</w:t>
      </w:r>
      <w:r w:rsidR="00785D1D">
        <w:t xml:space="preserve">. Thus, </w:t>
      </w:r>
      <w:r w:rsidR="00716463">
        <w:t>a document in the disclosure might refer to another document no-one was able to trace</w:t>
      </w:r>
      <w:r w:rsidR="005E2FA9">
        <w:t xml:space="preserve"> or produce</w:t>
      </w:r>
      <w:r w:rsidR="00716463">
        <w:t xml:space="preserve">. Equally, there were a number of copy-typed documents </w:t>
      </w:r>
      <w:r w:rsidR="00463C27">
        <w:t xml:space="preserve">used for the purpose of the bound case before the House of Lords in the 1954 Proceedings that did not exist in their original form in the disclosure. </w:t>
      </w:r>
      <w:r w:rsidR="00795493">
        <w:t xml:space="preserve">The inference in such cases </w:t>
      </w:r>
      <w:r w:rsidR="00A27908">
        <w:t>must be</w:t>
      </w:r>
      <w:r w:rsidR="00795493">
        <w:t xml:space="preserve"> that these documents </w:t>
      </w:r>
      <w:r w:rsidR="00795493">
        <w:rPr>
          <w:u w:val="single"/>
        </w:rPr>
        <w:t>did</w:t>
      </w:r>
      <w:r w:rsidR="00795493">
        <w:t xml:space="preserve"> exist in the 1950s, but subsequently were misplaced, misfiled</w:t>
      </w:r>
      <w:r w:rsidR="008F3FD8">
        <w:t xml:space="preserve"> or otherwise lost.</w:t>
      </w:r>
    </w:p>
    <w:p w14:paraId="10E7B7A5" w14:textId="77777777" w:rsidR="00C17155" w:rsidRDefault="008F3FD8" w:rsidP="007E67DC">
      <w:pPr>
        <w:numPr>
          <w:ilvl w:val="0"/>
          <w:numId w:val="2"/>
        </w:numPr>
        <w:autoSpaceDE w:val="0"/>
        <w:spacing w:before="240" w:after="240"/>
        <w:jc w:val="both"/>
      </w:pPr>
      <w:r>
        <w:t xml:space="preserve">These are the documents that are </w:t>
      </w:r>
      <w:r>
        <w:rPr>
          <w:u w:val="single"/>
        </w:rPr>
        <w:t>known</w:t>
      </w:r>
      <w:r>
        <w:t xml:space="preserve"> to be missing. </w:t>
      </w:r>
    </w:p>
    <w:p w14:paraId="247CDE9B" w14:textId="77777777" w:rsidR="008F3FD8" w:rsidRDefault="00FD1168" w:rsidP="007E67DC">
      <w:pPr>
        <w:numPr>
          <w:ilvl w:val="0"/>
          <w:numId w:val="2"/>
        </w:numPr>
        <w:autoSpaceDE w:val="0"/>
        <w:spacing w:before="240" w:after="240"/>
        <w:jc w:val="both"/>
      </w:pPr>
      <w:r>
        <w:t>I consider that t</w:t>
      </w:r>
      <w:r w:rsidR="008F3FD8">
        <w:t xml:space="preserve">here will be </w:t>
      </w:r>
      <w:r w:rsidR="005310A0">
        <w:t xml:space="preserve">documents that once existed, which have been </w:t>
      </w:r>
      <w:r w:rsidR="003B25E0">
        <w:t>lost without trace</w:t>
      </w:r>
      <w:r w:rsidR="006919E6">
        <w:t>, and without either the parties or the court appreciating that they once existed</w:t>
      </w:r>
      <w:r w:rsidR="003B25E0">
        <w:t xml:space="preserve">. </w:t>
      </w:r>
      <w:r>
        <w:t xml:space="preserve">A graphic illustration of this </w:t>
      </w:r>
      <w:r w:rsidR="00A7493A">
        <w:t xml:space="preserve">can be seen in relation to </w:t>
      </w:r>
      <w:r w:rsidR="00A573BC">
        <w:t>various</w:t>
      </w:r>
      <w:r w:rsidR="00A7493A">
        <w:t xml:space="preserve"> documents </w:t>
      </w:r>
      <w:r w:rsidR="006F0634">
        <w:t xml:space="preserve">that </w:t>
      </w:r>
      <w:r w:rsidR="00FB20B5">
        <w:t xml:space="preserve">were disclosed by Pakistan on 15 January 2019. </w:t>
      </w:r>
      <w:r w:rsidR="003D1F8E">
        <w:t>These documents were discovered</w:t>
      </w:r>
      <w:r w:rsidR="00A77AB6">
        <w:t xml:space="preserve"> amongst documents in the basement of the Pakistan High Commission in London </w:t>
      </w:r>
      <w:r w:rsidR="00777F82">
        <w:t>in December 2018</w:t>
      </w:r>
      <w:r w:rsidR="00277D6D">
        <w:t xml:space="preserve">. </w:t>
      </w:r>
      <w:r w:rsidR="00A573BC">
        <w:t xml:space="preserve">Two are apparently dated 15 September 1948, and the rest date from 1977 </w:t>
      </w:r>
      <w:r w:rsidR="0092420F">
        <w:t xml:space="preserve">and refer to these earlier letters. </w:t>
      </w:r>
      <w:r w:rsidR="00277D6D">
        <w:t>No other copies</w:t>
      </w:r>
      <w:r w:rsidR="008A49FC">
        <w:t xml:space="preserve"> of these letters have been found and they are </w:t>
      </w:r>
      <w:r w:rsidR="008A49FC">
        <w:lastRenderedPageBreak/>
        <w:t xml:space="preserve">not referred to </w:t>
      </w:r>
      <w:r w:rsidR="0015178B">
        <w:t xml:space="preserve">in the documents that </w:t>
      </w:r>
      <w:r w:rsidR="0015178B">
        <w:rPr>
          <w:u w:val="single"/>
        </w:rPr>
        <w:t>have</w:t>
      </w:r>
      <w:r w:rsidR="0015178B">
        <w:t xml:space="preserve"> been disclosed. But for the alertness of </w:t>
      </w:r>
      <w:r w:rsidR="0045313C">
        <w:t>Pakistan and her legal team</w:t>
      </w:r>
      <w:r w:rsidR="006919E6">
        <w:t>,</w:t>
      </w:r>
      <w:r w:rsidR="0045313C">
        <w:t xml:space="preserve"> </w:t>
      </w:r>
      <w:r w:rsidR="0057341B">
        <w:t xml:space="preserve">these documents would never have been produced and there would have been no hint </w:t>
      </w:r>
      <w:r w:rsidR="00B8279D">
        <w:t>as to their existence from other, disclosed</w:t>
      </w:r>
      <w:r w:rsidR="00814A76">
        <w:t>,</w:t>
      </w:r>
      <w:r w:rsidR="00B8279D">
        <w:t xml:space="preserve"> documents.</w:t>
      </w:r>
    </w:p>
    <w:p w14:paraId="6574937C" w14:textId="77777777" w:rsidR="00634387" w:rsidRDefault="00A93E1C" w:rsidP="007E67DC">
      <w:pPr>
        <w:numPr>
          <w:ilvl w:val="0"/>
          <w:numId w:val="2"/>
        </w:numPr>
        <w:autoSpaceDE w:val="0"/>
        <w:spacing w:before="240" w:after="240"/>
        <w:jc w:val="both"/>
      </w:pPr>
      <w:r>
        <w:t>Th</w:t>
      </w:r>
      <w:r w:rsidR="00BF3B40">
        <w:t>ree of</w:t>
      </w:r>
      <w:r>
        <w:t xml:space="preserve"> </w:t>
      </w:r>
      <w:r w:rsidR="00BF3B40">
        <w:t xml:space="preserve">these </w:t>
      </w:r>
      <w:r>
        <w:t xml:space="preserve">documents </w:t>
      </w:r>
      <w:r w:rsidR="005336A8">
        <w:t>are the subject of Civil Evidence Act Notices made by the Princes and India</w:t>
      </w:r>
      <w:r w:rsidR="00E36480">
        <w:t>, as set out below:</w:t>
      </w:r>
    </w:p>
    <w:tbl>
      <w:tblPr>
        <w:tblStyle w:val="TableGrid"/>
        <w:tblW w:w="8500" w:type="dxa"/>
        <w:tblInd w:w="567" w:type="dxa"/>
        <w:tblLook w:val="04A0" w:firstRow="1" w:lastRow="0" w:firstColumn="1" w:lastColumn="0" w:noHBand="0" w:noVBand="1"/>
      </w:tblPr>
      <w:tblGrid>
        <w:gridCol w:w="2830"/>
        <w:gridCol w:w="2835"/>
        <w:gridCol w:w="2835"/>
      </w:tblGrid>
      <w:tr w:rsidR="00977D81" w:rsidRPr="00DD689B" w14:paraId="77137751" w14:textId="77777777" w:rsidTr="00977D81">
        <w:tc>
          <w:tcPr>
            <w:tcW w:w="2830" w:type="dxa"/>
            <w:shd w:val="clear" w:color="auto" w:fill="D9D9D9" w:themeFill="background1" w:themeFillShade="D9"/>
          </w:tcPr>
          <w:p w14:paraId="444AD835" w14:textId="77777777" w:rsidR="00977D81" w:rsidRPr="00DD689B" w:rsidRDefault="00977D81" w:rsidP="00AC550E">
            <w:pPr>
              <w:autoSpaceDE w:val="0"/>
              <w:spacing w:before="60" w:after="60"/>
              <w:rPr>
                <w:rFonts w:ascii="Arial" w:hAnsi="Arial" w:cs="Arial"/>
                <w:b/>
                <w:bCs/>
                <w:sz w:val="18"/>
                <w:szCs w:val="18"/>
              </w:rPr>
            </w:pPr>
            <w:r>
              <w:rPr>
                <w:rFonts w:ascii="Arial" w:hAnsi="Arial" w:cs="Arial"/>
                <w:b/>
                <w:bCs/>
                <w:sz w:val="18"/>
                <w:szCs w:val="18"/>
              </w:rPr>
              <w:t>Document</w:t>
            </w:r>
            <w:r w:rsidRPr="00DD689B">
              <w:rPr>
                <w:rFonts w:ascii="Arial" w:hAnsi="Arial" w:cs="Arial"/>
                <w:b/>
                <w:bCs/>
                <w:sz w:val="18"/>
                <w:szCs w:val="18"/>
              </w:rPr>
              <w:t xml:space="preserve"> being adduced</w:t>
            </w:r>
          </w:p>
        </w:tc>
        <w:tc>
          <w:tcPr>
            <w:tcW w:w="2835" w:type="dxa"/>
            <w:shd w:val="clear" w:color="auto" w:fill="D9D9D9" w:themeFill="background1" w:themeFillShade="D9"/>
          </w:tcPr>
          <w:p w14:paraId="06555322" w14:textId="77777777" w:rsidR="00977D81" w:rsidRPr="00DD689B" w:rsidRDefault="00977D81" w:rsidP="00AC550E">
            <w:pPr>
              <w:autoSpaceDE w:val="0"/>
              <w:spacing w:before="60" w:after="60"/>
              <w:rPr>
                <w:rFonts w:ascii="Arial" w:hAnsi="Arial" w:cs="Arial"/>
                <w:b/>
                <w:bCs/>
                <w:sz w:val="18"/>
                <w:szCs w:val="18"/>
              </w:rPr>
            </w:pPr>
            <w:r w:rsidRPr="00DD689B">
              <w:rPr>
                <w:rFonts w:ascii="Arial" w:hAnsi="Arial" w:cs="Arial"/>
                <w:b/>
                <w:bCs/>
                <w:sz w:val="18"/>
                <w:szCs w:val="18"/>
              </w:rPr>
              <w:t>Reason for the CEA Notice</w:t>
            </w:r>
          </w:p>
        </w:tc>
        <w:tc>
          <w:tcPr>
            <w:tcW w:w="2835" w:type="dxa"/>
            <w:shd w:val="clear" w:color="auto" w:fill="D9D9D9" w:themeFill="background1" w:themeFillShade="D9"/>
          </w:tcPr>
          <w:p w14:paraId="1262E5B8" w14:textId="77777777" w:rsidR="00977D81" w:rsidRPr="00DD689B" w:rsidRDefault="00977D81" w:rsidP="00AC550E">
            <w:pPr>
              <w:autoSpaceDE w:val="0"/>
              <w:spacing w:before="60" w:after="60"/>
              <w:rPr>
                <w:rFonts w:ascii="Arial" w:hAnsi="Arial" w:cs="Arial"/>
                <w:b/>
                <w:bCs/>
                <w:sz w:val="18"/>
                <w:szCs w:val="18"/>
              </w:rPr>
            </w:pPr>
            <w:r w:rsidRPr="00DD689B">
              <w:rPr>
                <w:rFonts w:ascii="Arial" w:hAnsi="Arial" w:cs="Arial"/>
                <w:b/>
                <w:bCs/>
                <w:sz w:val="18"/>
                <w:szCs w:val="18"/>
              </w:rPr>
              <w:t>Party relying on the evidence</w:t>
            </w:r>
          </w:p>
        </w:tc>
      </w:tr>
      <w:tr w:rsidR="00977D81" w:rsidRPr="009969E8" w14:paraId="0087FDFF" w14:textId="77777777" w:rsidTr="00977D81">
        <w:tc>
          <w:tcPr>
            <w:tcW w:w="2830" w:type="dxa"/>
          </w:tcPr>
          <w:p w14:paraId="40D55676" w14:textId="77777777" w:rsidR="00977D81" w:rsidRPr="00414FB6" w:rsidRDefault="00977D81" w:rsidP="00AC550E">
            <w:pPr>
              <w:autoSpaceDE w:val="0"/>
              <w:spacing w:before="60" w:after="60"/>
              <w:rPr>
                <w:rFonts w:ascii="Arial" w:hAnsi="Arial" w:cs="Arial"/>
                <w:b/>
                <w:bCs/>
                <w:sz w:val="18"/>
                <w:szCs w:val="18"/>
              </w:rPr>
            </w:pPr>
            <w:r>
              <w:rPr>
                <w:rFonts w:ascii="Arial" w:hAnsi="Arial" w:cs="Arial"/>
                <w:sz w:val="18"/>
                <w:szCs w:val="18"/>
              </w:rPr>
              <w:t>Letter dated 15 September 1948 from Moin to Rahimtoola</w:t>
            </w:r>
            <w:r w:rsidR="00BF3B40">
              <w:rPr>
                <w:rFonts w:ascii="Arial" w:hAnsi="Arial" w:cs="Arial"/>
                <w:sz w:val="18"/>
                <w:szCs w:val="18"/>
              </w:rPr>
              <w:t>.</w:t>
            </w:r>
          </w:p>
        </w:tc>
        <w:tc>
          <w:tcPr>
            <w:tcW w:w="2835" w:type="dxa"/>
          </w:tcPr>
          <w:p w14:paraId="5362C668" w14:textId="77777777" w:rsidR="00977D81" w:rsidRPr="00F31046" w:rsidRDefault="00977D81" w:rsidP="00AC550E">
            <w:pPr>
              <w:autoSpaceDE w:val="0"/>
              <w:spacing w:before="60" w:after="60"/>
              <w:rPr>
                <w:rFonts w:ascii="Arial" w:hAnsi="Arial" w:cs="Arial"/>
                <w:b/>
                <w:bCs/>
                <w:sz w:val="18"/>
                <w:szCs w:val="18"/>
              </w:rPr>
            </w:pPr>
            <w:r>
              <w:rPr>
                <w:rFonts w:ascii="Arial" w:hAnsi="Arial" w:cs="Arial"/>
                <w:sz w:val="18"/>
                <w:szCs w:val="18"/>
              </w:rPr>
              <w:t>The writer is deceased.</w:t>
            </w:r>
          </w:p>
        </w:tc>
        <w:tc>
          <w:tcPr>
            <w:tcW w:w="2835" w:type="dxa"/>
          </w:tcPr>
          <w:p w14:paraId="0F625FF2"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India</w:t>
            </w:r>
          </w:p>
          <w:p w14:paraId="4C078A6D"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Nizam VIII</w:t>
            </w:r>
          </w:p>
          <w:p w14:paraId="58564453" w14:textId="77777777" w:rsidR="00977D81" w:rsidRPr="009969E8" w:rsidRDefault="00977D81" w:rsidP="00AC550E">
            <w:pPr>
              <w:autoSpaceDE w:val="0"/>
              <w:spacing w:before="60" w:after="60"/>
              <w:rPr>
                <w:rFonts w:ascii="Arial" w:hAnsi="Arial" w:cs="Arial"/>
                <w:sz w:val="18"/>
                <w:szCs w:val="18"/>
              </w:rPr>
            </w:pPr>
            <w:r w:rsidRPr="008B08C1">
              <w:rPr>
                <w:rFonts w:ascii="Arial" w:hAnsi="Arial" w:cs="Arial"/>
                <w:sz w:val="18"/>
                <w:szCs w:val="18"/>
              </w:rPr>
              <w:t>Prince Muffakham</w:t>
            </w:r>
            <w:r>
              <w:rPr>
                <w:rFonts w:ascii="Arial" w:hAnsi="Arial" w:cs="Arial"/>
                <w:sz w:val="18"/>
                <w:szCs w:val="18"/>
              </w:rPr>
              <w:t xml:space="preserve"> </w:t>
            </w:r>
          </w:p>
        </w:tc>
      </w:tr>
      <w:tr w:rsidR="00977D81" w:rsidRPr="009969E8" w14:paraId="13A3C57B" w14:textId="77777777" w:rsidTr="00977D81">
        <w:tc>
          <w:tcPr>
            <w:tcW w:w="2830" w:type="dxa"/>
          </w:tcPr>
          <w:p w14:paraId="7C27CAF1" w14:textId="77777777" w:rsidR="00977D81" w:rsidRPr="006A56E9" w:rsidRDefault="00977D81" w:rsidP="00AC550E">
            <w:pPr>
              <w:autoSpaceDE w:val="0"/>
              <w:spacing w:before="60" w:after="60"/>
              <w:rPr>
                <w:rFonts w:ascii="Arial" w:hAnsi="Arial" w:cs="Arial"/>
                <w:b/>
                <w:bCs/>
                <w:sz w:val="18"/>
                <w:szCs w:val="18"/>
              </w:rPr>
            </w:pPr>
            <w:r>
              <w:rPr>
                <w:rFonts w:ascii="Arial" w:hAnsi="Arial" w:cs="Arial"/>
                <w:sz w:val="18"/>
                <w:szCs w:val="18"/>
              </w:rPr>
              <w:t>Letter dated 15 September 1948 from Rahimtoola to Moin</w:t>
            </w:r>
            <w:r w:rsidR="00BF3B40">
              <w:rPr>
                <w:rFonts w:ascii="Arial" w:hAnsi="Arial" w:cs="Arial"/>
                <w:sz w:val="18"/>
                <w:szCs w:val="18"/>
              </w:rPr>
              <w:t>.</w:t>
            </w:r>
          </w:p>
        </w:tc>
        <w:tc>
          <w:tcPr>
            <w:tcW w:w="2835" w:type="dxa"/>
          </w:tcPr>
          <w:p w14:paraId="1DA17F4F" w14:textId="77777777" w:rsidR="00977D81" w:rsidRPr="00DF718B" w:rsidRDefault="00977D81" w:rsidP="00AC550E">
            <w:pPr>
              <w:autoSpaceDE w:val="0"/>
              <w:spacing w:before="60" w:after="60"/>
              <w:rPr>
                <w:rFonts w:ascii="Arial" w:hAnsi="Arial" w:cs="Arial"/>
                <w:b/>
                <w:bCs/>
                <w:sz w:val="18"/>
                <w:szCs w:val="18"/>
              </w:rPr>
            </w:pPr>
            <w:r>
              <w:rPr>
                <w:rFonts w:ascii="Arial" w:hAnsi="Arial" w:cs="Arial"/>
                <w:sz w:val="18"/>
                <w:szCs w:val="18"/>
              </w:rPr>
              <w:t>The writer is deceased.</w:t>
            </w:r>
          </w:p>
        </w:tc>
        <w:tc>
          <w:tcPr>
            <w:tcW w:w="2835" w:type="dxa"/>
          </w:tcPr>
          <w:p w14:paraId="579DAD2D"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India</w:t>
            </w:r>
          </w:p>
          <w:p w14:paraId="57096905"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Nizam VIII</w:t>
            </w:r>
          </w:p>
          <w:p w14:paraId="1F0EBE35" w14:textId="77777777" w:rsidR="00977D81" w:rsidRDefault="00977D81" w:rsidP="00AC550E">
            <w:pPr>
              <w:autoSpaceDE w:val="0"/>
              <w:spacing w:before="60" w:after="60"/>
              <w:rPr>
                <w:rFonts w:ascii="Arial" w:hAnsi="Arial" w:cs="Arial"/>
                <w:sz w:val="18"/>
                <w:szCs w:val="18"/>
              </w:rPr>
            </w:pPr>
            <w:r w:rsidRPr="008B08C1">
              <w:rPr>
                <w:rFonts w:ascii="Arial" w:hAnsi="Arial" w:cs="Arial"/>
                <w:sz w:val="18"/>
                <w:szCs w:val="18"/>
              </w:rPr>
              <w:t>Prince Muffakham</w:t>
            </w:r>
          </w:p>
        </w:tc>
      </w:tr>
      <w:tr w:rsidR="00977D81" w:rsidRPr="009969E8" w14:paraId="6C9D9BB9" w14:textId="77777777" w:rsidTr="00977D81">
        <w:tc>
          <w:tcPr>
            <w:tcW w:w="2830" w:type="dxa"/>
          </w:tcPr>
          <w:p w14:paraId="0CDBCB71" w14:textId="77777777" w:rsidR="00977D81" w:rsidRPr="00977D81" w:rsidRDefault="00977D81" w:rsidP="00AC550E">
            <w:pPr>
              <w:autoSpaceDE w:val="0"/>
              <w:spacing w:before="60" w:after="60"/>
              <w:rPr>
                <w:rFonts w:ascii="Arial" w:hAnsi="Arial" w:cs="Arial"/>
                <w:b/>
                <w:bCs/>
                <w:sz w:val="18"/>
                <w:szCs w:val="18"/>
              </w:rPr>
            </w:pPr>
            <w:r>
              <w:rPr>
                <w:rFonts w:ascii="Arial" w:hAnsi="Arial" w:cs="Arial"/>
                <w:sz w:val="18"/>
                <w:szCs w:val="18"/>
              </w:rPr>
              <w:t>Letter dated 28 May 1977 from the Ministry of Foreign Affairs of the Government of Pakistan in Islamabad to the Embassy of Pakistan in London</w:t>
            </w:r>
            <w:r w:rsidR="00BF3B40">
              <w:rPr>
                <w:rFonts w:ascii="Arial" w:hAnsi="Arial" w:cs="Arial"/>
                <w:sz w:val="18"/>
                <w:szCs w:val="18"/>
              </w:rPr>
              <w:t>.</w:t>
            </w:r>
          </w:p>
        </w:tc>
        <w:tc>
          <w:tcPr>
            <w:tcW w:w="2835" w:type="dxa"/>
          </w:tcPr>
          <w:p w14:paraId="671853AA"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The writer is unknown and, if still living, is likely to be resident outside the jurisdiction</w:t>
            </w:r>
            <w:r w:rsidR="00BF3B40" w:rsidRPr="00BF3B40">
              <w:rPr>
                <w:rFonts w:ascii="Arial" w:hAnsi="Arial" w:cs="Arial"/>
                <w:sz w:val="18"/>
                <w:szCs w:val="18"/>
              </w:rPr>
              <w:t>.</w:t>
            </w:r>
          </w:p>
        </w:tc>
        <w:tc>
          <w:tcPr>
            <w:tcW w:w="2835" w:type="dxa"/>
          </w:tcPr>
          <w:p w14:paraId="2B4E81A4"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India</w:t>
            </w:r>
          </w:p>
          <w:p w14:paraId="7DD04518" w14:textId="77777777" w:rsidR="00977D81" w:rsidRDefault="00977D81" w:rsidP="00AC550E">
            <w:pPr>
              <w:autoSpaceDE w:val="0"/>
              <w:spacing w:before="60" w:after="60"/>
              <w:rPr>
                <w:rFonts w:ascii="Arial" w:hAnsi="Arial" w:cs="Arial"/>
                <w:sz w:val="18"/>
                <w:szCs w:val="18"/>
              </w:rPr>
            </w:pPr>
            <w:r>
              <w:rPr>
                <w:rFonts w:ascii="Arial" w:hAnsi="Arial" w:cs="Arial"/>
                <w:sz w:val="18"/>
                <w:szCs w:val="18"/>
              </w:rPr>
              <w:t>Nizam VIII</w:t>
            </w:r>
          </w:p>
          <w:p w14:paraId="39F7A5BA" w14:textId="77777777" w:rsidR="00977D81" w:rsidRDefault="00977D81" w:rsidP="00AC550E">
            <w:pPr>
              <w:autoSpaceDE w:val="0"/>
              <w:spacing w:before="60" w:after="60"/>
              <w:rPr>
                <w:rFonts w:ascii="Arial" w:hAnsi="Arial" w:cs="Arial"/>
                <w:sz w:val="18"/>
                <w:szCs w:val="18"/>
              </w:rPr>
            </w:pPr>
            <w:r w:rsidRPr="008B08C1">
              <w:rPr>
                <w:rFonts w:ascii="Arial" w:hAnsi="Arial" w:cs="Arial"/>
                <w:sz w:val="18"/>
                <w:szCs w:val="18"/>
              </w:rPr>
              <w:t>Prince Muffakham</w:t>
            </w:r>
          </w:p>
        </w:tc>
      </w:tr>
    </w:tbl>
    <w:p w14:paraId="756BE929" w14:textId="77777777" w:rsidR="004B2029" w:rsidRPr="004B2029" w:rsidRDefault="004B2029" w:rsidP="004B2029">
      <w:pPr>
        <w:autoSpaceDE w:val="0"/>
        <w:spacing w:before="240" w:after="240"/>
        <w:ind w:left="567"/>
        <w:jc w:val="both"/>
      </w:pPr>
      <w:r>
        <w:rPr>
          <w:u w:val="single"/>
        </w:rPr>
        <w:t>Table 2</w:t>
      </w:r>
      <w:r>
        <w:t>: Documents put in under Civil Evidence Act Notices</w:t>
      </w:r>
    </w:p>
    <w:p w14:paraId="47DCCBE5" w14:textId="77777777" w:rsidR="004B2029" w:rsidRPr="00751778" w:rsidRDefault="00025F02" w:rsidP="007E67DC">
      <w:pPr>
        <w:numPr>
          <w:ilvl w:val="0"/>
          <w:numId w:val="2"/>
        </w:numPr>
        <w:autoSpaceDE w:val="0"/>
        <w:spacing w:before="240" w:after="240"/>
        <w:jc w:val="both"/>
      </w:pPr>
      <w:r>
        <w:t>It will be necessary to consider the content and weight to be given to these documents in due course. By their dates</w:t>
      </w:r>
      <w:r w:rsidR="00A84A20">
        <w:t xml:space="preserve">, it is plain that (assuming the dates are correct) the first two documents are </w:t>
      </w:r>
      <w:r w:rsidR="00FE58CC">
        <w:t xml:space="preserve">closely </w:t>
      </w:r>
      <w:r w:rsidR="003B11A2">
        <w:t xml:space="preserve">contemporaneous with the Transfer, which </w:t>
      </w:r>
      <w:r w:rsidR="003B11A2" w:rsidRPr="00751778">
        <w:t xml:space="preserve">took place on 20 September 1948. </w:t>
      </w:r>
      <w:r w:rsidR="00D34B24" w:rsidRPr="00751778">
        <w:t>The third document</w:t>
      </w:r>
      <w:r w:rsidR="005A2B5B" w:rsidRPr="00751778">
        <w:t xml:space="preserve"> is from the Ministry of Foreign Affairs in Pak</w:t>
      </w:r>
      <w:r w:rsidR="00EC0DDA" w:rsidRPr="00751778">
        <w:t>i</w:t>
      </w:r>
      <w:r w:rsidR="005A2B5B" w:rsidRPr="00751778">
        <w:t xml:space="preserve">stan, addressed to the </w:t>
      </w:r>
      <w:r w:rsidR="00F83928" w:rsidRPr="00751778">
        <w:t xml:space="preserve">Minister resident at Pakistan’s London </w:t>
      </w:r>
      <w:r w:rsidR="001C2266" w:rsidRPr="00751778">
        <w:t>E</w:t>
      </w:r>
      <w:r w:rsidR="00F83928" w:rsidRPr="00751778">
        <w:t xml:space="preserve">mbassy, dated 28 May 1977. </w:t>
      </w:r>
      <w:r w:rsidR="009C1F02" w:rsidRPr="00751778">
        <w:t>The letter reads as follows:</w:t>
      </w:r>
    </w:p>
    <w:p w14:paraId="7C86EFB9" w14:textId="77777777" w:rsidR="00AA3A52" w:rsidRDefault="009C1F02" w:rsidP="00AA3A52">
      <w:pPr>
        <w:autoSpaceDE w:val="0"/>
        <w:spacing w:before="240" w:after="240"/>
        <w:ind w:left="567"/>
        <w:jc w:val="both"/>
        <w:rPr>
          <w:sz w:val="22"/>
          <w:szCs w:val="22"/>
        </w:rPr>
      </w:pPr>
      <w:r>
        <w:rPr>
          <w:sz w:val="22"/>
          <w:szCs w:val="22"/>
        </w:rPr>
        <w:t xml:space="preserve">“On 15 </w:t>
      </w:r>
      <w:r w:rsidR="00ED2828">
        <w:rPr>
          <w:sz w:val="22"/>
          <w:szCs w:val="22"/>
        </w:rPr>
        <w:t>September 1948, [Moin], the Finance Minister of the then Hyderabad State</w:t>
      </w:r>
      <w:r w:rsidR="00AA3A52">
        <w:rPr>
          <w:sz w:val="22"/>
          <w:szCs w:val="22"/>
        </w:rPr>
        <w:t xml:space="preserve">, had requested [Rahimtoola], the then Pakistan High Commissioner in London, to accept transfer </w:t>
      </w:r>
      <w:r w:rsidR="00123694">
        <w:rPr>
          <w:sz w:val="22"/>
          <w:szCs w:val="22"/>
        </w:rPr>
        <w:t xml:space="preserve">into his account as a trust of an amount of over 1 million lying at the credit of the Nizam’s </w:t>
      </w:r>
      <w:r w:rsidR="00E111FB">
        <w:rPr>
          <w:sz w:val="22"/>
          <w:szCs w:val="22"/>
        </w:rPr>
        <w:t xml:space="preserve">government in the Westminster Bank, London. This transfer of funds was accepted by [Rahimtoola] through his letter of </w:t>
      </w:r>
      <w:r w:rsidR="008955F4">
        <w:rPr>
          <w:sz w:val="22"/>
          <w:szCs w:val="22"/>
        </w:rPr>
        <w:t>15 September 1948. The original correspondence exchanged between them is however not readily traceable in the Ministry.</w:t>
      </w:r>
    </w:p>
    <w:p w14:paraId="5FA77CBF" w14:textId="77777777" w:rsidR="008955F4" w:rsidRPr="009C1F02" w:rsidRDefault="0077053E" w:rsidP="00AA3A52">
      <w:pPr>
        <w:autoSpaceDE w:val="0"/>
        <w:spacing w:before="240" w:after="240"/>
        <w:ind w:left="567"/>
        <w:jc w:val="both"/>
        <w:rPr>
          <w:sz w:val="22"/>
          <w:szCs w:val="22"/>
        </w:rPr>
      </w:pPr>
      <w:r>
        <w:rPr>
          <w:sz w:val="22"/>
          <w:szCs w:val="22"/>
        </w:rPr>
        <w:t>2.</w:t>
      </w:r>
      <w:r>
        <w:rPr>
          <w:sz w:val="22"/>
          <w:szCs w:val="22"/>
        </w:rPr>
        <w:tab/>
        <w:t xml:space="preserve">We should, therefore, be grateful if you could kindly </w:t>
      </w:r>
      <w:r w:rsidR="00DC73E1">
        <w:rPr>
          <w:sz w:val="22"/>
          <w:szCs w:val="22"/>
        </w:rPr>
        <w:t>check up your old records and supply us photocopies of these two letters if available with you.”</w:t>
      </w:r>
    </w:p>
    <w:p w14:paraId="3769A4FF" w14:textId="77777777" w:rsidR="00DC73E1" w:rsidRDefault="0017119F" w:rsidP="007E67DC">
      <w:pPr>
        <w:numPr>
          <w:ilvl w:val="0"/>
          <w:numId w:val="2"/>
        </w:numPr>
        <w:autoSpaceDE w:val="0"/>
        <w:spacing w:before="240" w:after="240"/>
        <w:jc w:val="both"/>
      </w:pPr>
      <w:r>
        <w:t>Thus, the Ministry in Pakistan was clearly aware of the letters dated 15 September 1948</w:t>
      </w:r>
      <w:r w:rsidR="0086411C">
        <w:t xml:space="preserve"> going between Moin and Rahimtoola, but had only copy-typed versions</w:t>
      </w:r>
      <w:r w:rsidR="00DF0E3E">
        <w:t>.</w:t>
      </w:r>
      <w:r w:rsidR="00DC535E">
        <w:rPr>
          <w:rStyle w:val="FootnoteReference"/>
        </w:rPr>
        <w:footnoteReference w:id="44"/>
      </w:r>
      <w:r w:rsidR="00DF0E3E">
        <w:t xml:space="preserve"> The letter to the </w:t>
      </w:r>
      <w:r w:rsidR="00DB7006">
        <w:t>London Embassy sought to make good that deficiency in the documents.</w:t>
      </w:r>
      <w:r w:rsidR="00074A19">
        <w:t xml:space="preserve"> Unfortunately, the Embassy was unable to help, because </w:t>
      </w:r>
      <w:r w:rsidR="001401B9">
        <w:t>no correspondence prior to 23 May 1953 was available to the Embassy.</w:t>
      </w:r>
    </w:p>
    <w:p w14:paraId="6AEB9CE8" w14:textId="77777777" w:rsidR="001401B9" w:rsidRDefault="00D036A5" w:rsidP="007E67DC">
      <w:pPr>
        <w:numPr>
          <w:ilvl w:val="0"/>
          <w:numId w:val="2"/>
        </w:numPr>
        <w:autoSpaceDE w:val="0"/>
        <w:spacing w:before="240" w:after="240"/>
        <w:jc w:val="both"/>
      </w:pPr>
      <w:r>
        <w:t xml:space="preserve">This 1977 </w:t>
      </w:r>
      <w:r w:rsidR="00B406F8">
        <w:t xml:space="preserve">letter </w:t>
      </w:r>
      <w:r>
        <w:t>exchange casts extremely helpful light on the survival and loss of documents:</w:t>
      </w:r>
    </w:p>
    <w:p w14:paraId="6BEF5B0D" w14:textId="77777777" w:rsidR="00D036A5" w:rsidRDefault="00387B5D" w:rsidP="00D036A5">
      <w:pPr>
        <w:numPr>
          <w:ilvl w:val="1"/>
          <w:numId w:val="2"/>
        </w:numPr>
        <w:autoSpaceDE w:val="0"/>
        <w:spacing w:before="240" w:after="240"/>
        <w:jc w:val="both"/>
      </w:pPr>
      <w:r>
        <w:lastRenderedPageBreak/>
        <w:t xml:space="preserve">It is clear that Pakistan’s London </w:t>
      </w:r>
      <w:r w:rsidR="00D8711F">
        <w:t>E</w:t>
      </w:r>
      <w:r>
        <w:t xml:space="preserve">mbassy had, in 1977, no documents pre-dating </w:t>
      </w:r>
      <w:r w:rsidR="00AF3BFA">
        <w:t xml:space="preserve">23 May 1953. </w:t>
      </w:r>
    </w:p>
    <w:p w14:paraId="5884FBC8" w14:textId="77777777" w:rsidR="00AF3BFA" w:rsidRDefault="00AF3BFA" w:rsidP="00D036A5">
      <w:pPr>
        <w:numPr>
          <w:ilvl w:val="1"/>
          <w:numId w:val="2"/>
        </w:numPr>
        <w:autoSpaceDE w:val="0"/>
        <w:spacing w:before="240" w:after="240"/>
        <w:jc w:val="both"/>
      </w:pPr>
      <w:r>
        <w:t xml:space="preserve">It is an appropriate inference </w:t>
      </w:r>
      <w:r w:rsidR="002B0CBF">
        <w:t xml:space="preserve">that, prior to their </w:t>
      </w:r>
      <w:r w:rsidR="00291231">
        <w:t>loss, Pakistan’s London High Commission/</w:t>
      </w:r>
      <w:r w:rsidR="001C2266">
        <w:t>E</w:t>
      </w:r>
      <w:r w:rsidR="00291231">
        <w:t>mbassy</w:t>
      </w:r>
      <w:r w:rsidR="00296720">
        <w:rPr>
          <w:rStyle w:val="FootnoteReference"/>
        </w:rPr>
        <w:footnoteReference w:id="45"/>
      </w:r>
      <w:r w:rsidR="006B33A7">
        <w:t xml:space="preserve"> sent copies of relevant documents to </w:t>
      </w:r>
      <w:r w:rsidR="007C6B32">
        <w:t>Pakistan. Th</w:t>
      </w:r>
      <w:r w:rsidR="001C2266">
        <w:t>i</w:t>
      </w:r>
      <w:r w:rsidR="007C6B32">
        <w:t>s must have included the two letters dated 15 September 1948</w:t>
      </w:r>
      <w:r w:rsidR="008B577B">
        <w:t>.</w:t>
      </w:r>
      <w:r w:rsidR="007C6B32">
        <w:t xml:space="preserve"> </w:t>
      </w:r>
      <w:r w:rsidR="008B577B">
        <w:t>T</w:t>
      </w:r>
      <w:r w:rsidR="007C6B32">
        <w:t xml:space="preserve">here is no other plausible explanation for how </w:t>
      </w:r>
      <w:r w:rsidR="00277E91">
        <w:t>copy-typed versions of these documents could have ended up with the Ministry in Pakistan.</w:t>
      </w:r>
    </w:p>
    <w:p w14:paraId="00BBFD74" w14:textId="77777777" w:rsidR="00A31CEF" w:rsidRDefault="00175DDB" w:rsidP="00D036A5">
      <w:pPr>
        <w:numPr>
          <w:ilvl w:val="1"/>
          <w:numId w:val="2"/>
        </w:numPr>
        <w:autoSpaceDE w:val="0"/>
        <w:spacing w:before="240" w:after="240"/>
        <w:jc w:val="both"/>
      </w:pPr>
      <w:r>
        <w:t xml:space="preserve">The Ministry </w:t>
      </w:r>
      <w:r w:rsidR="009A14E2">
        <w:t xml:space="preserve">in Pakistan </w:t>
      </w:r>
      <w:r>
        <w:t xml:space="preserve">was, in 1977, able to send these copy-typed versions back to London, and </w:t>
      </w:r>
      <w:r w:rsidR="009A14E2">
        <w:t xml:space="preserve">engage in correspondence with the </w:t>
      </w:r>
      <w:r w:rsidR="008B577B">
        <w:t>E</w:t>
      </w:r>
      <w:r w:rsidR="009A14E2">
        <w:t xml:space="preserve">mbassy as to the existence of better copies. </w:t>
      </w:r>
      <w:r w:rsidR="003E7A91">
        <w:t>That correspondence has survived in the basement files of the Pakistan High Commission in London, but has not survived</w:t>
      </w:r>
      <w:r w:rsidR="0028509F">
        <w:t xml:space="preserve"> in the Ministry’s files in Pakistan. It is plain from the</w:t>
      </w:r>
      <w:r w:rsidR="007670E2">
        <w:t xml:space="preserve"> file references in the</w:t>
      </w:r>
      <w:r w:rsidR="0028509F">
        <w:t xml:space="preserve"> 1977 exchanges that </w:t>
      </w:r>
      <w:r w:rsidR="0028509F">
        <w:rPr>
          <w:u w:val="single"/>
        </w:rPr>
        <w:t>both</w:t>
      </w:r>
      <w:r w:rsidR="0028509F">
        <w:t xml:space="preserve"> the Ministry </w:t>
      </w:r>
      <w:r w:rsidR="0028509F" w:rsidRPr="0028509F">
        <w:rPr>
          <w:u w:val="single"/>
        </w:rPr>
        <w:t>and</w:t>
      </w:r>
      <w:r w:rsidR="0028509F">
        <w:t xml:space="preserve"> the </w:t>
      </w:r>
      <w:r w:rsidR="001B6C9D">
        <w:t>E</w:t>
      </w:r>
      <w:r w:rsidR="0028509F">
        <w:t>mbassy</w:t>
      </w:r>
      <w:r w:rsidR="007670E2">
        <w:t xml:space="preserve"> would have kept files</w:t>
      </w:r>
      <w:r w:rsidR="00C44D3E">
        <w:t xml:space="preserve">. The obvious inference is that at a point in time unknown, but post-dating 1977, there has been </w:t>
      </w:r>
      <w:r w:rsidR="00BF1B27">
        <w:t xml:space="preserve">a loss of documents in Pakistan. </w:t>
      </w:r>
    </w:p>
    <w:p w14:paraId="46F6FDCB" w14:textId="77777777" w:rsidR="00175DDB" w:rsidRDefault="00BF1B27" w:rsidP="00A31CEF">
      <w:pPr>
        <w:numPr>
          <w:ilvl w:val="0"/>
          <w:numId w:val="2"/>
        </w:numPr>
        <w:autoSpaceDE w:val="0"/>
        <w:spacing w:before="240" w:after="240"/>
        <w:jc w:val="both"/>
      </w:pPr>
      <w:r>
        <w:t xml:space="preserve">It would be pointless to speculate as to the cause </w:t>
      </w:r>
      <w:r w:rsidR="007E00D6">
        <w:t xml:space="preserve">for missing documents. </w:t>
      </w:r>
      <w:r w:rsidR="00FA74CA">
        <w:t xml:space="preserve">I repeat what I have said about the care and diligence of Pakistan and her legal team </w:t>
      </w:r>
      <w:r w:rsidR="00A31CEF">
        <w:t>regarding Pakistan’s disclosure</w:t>
      </w:r>
      <w:r w:rsidR="007E00D6">
        <w:t>, and I make the same point as regards the Princes and India</w:t>
      </w:r>
      <w:r w:rsidR="00A31CEF">
        <w:t>. I draw no inference from the absence of documents</w:t>
      </w:r>
      <w:r w:rsidR="00FF1699">
        <w:t>,</w:t>
      </w:r>
      <w:r w:rsidR="00A31CEF">
        <w:t xml:space="preserve"> save that I must be al</w:t>
      </w:r>
      <w:r w:rsidR="007E00D6">
        <w:t xml:space="preserve">ert to the fact that </w:t>
      </w:r>
      <w:r w:rsidR="00135990">
        <w:t>documents – and potentially very material documents – will have gone missing at various points in time over the years.</w:t>
      </w:r>
      <w:r w:rsidR="00854349">
        <w:t xml:space="preserve"> I must decide the case in the absence of these documents</w:t>
      </w:r>
      <w:r w:rsidR="00452F67">
        <w:t>, knowing nothing of their significance or otherwise.</w:t>
      </w:r>
    </w:p>
    <w:p w14:paraId="0C73267F" w14:textId="77777777" w:rsidR="00452F67" w:rsidRPr="00972194" w:rsidRDefault="00452F67" w:rsidP="009D1723">
      <w:pPr>
        <w:keepNext/>
        <w:tabs>
          <w:tab w:val="left" w:pos="567"/>
        </w:tabs>
        <w:autoSpaceDE w:val="0"/>
        <w:spacing w:before="240" w:after="240"/>
        <w:jc w:val="both"/>
        <w:rPr>
          <w:b/>
          <w:bCs/>
          <w:i/>
          <w:iCs/>
        </w:rPr>
      </w:pPr>
      <w:r>
        <w:rPr>
          <w:b/>
          <w:bCs/>
          <w:i/>
          <w:iCs/>
        </w:rPr>
        <w:t>(b)</w:t>
      </w:r>
      <w:r>
        <w:rPr>
          <w:b/>
          <w:bCs/>
          <w:i/>
          <w:iCs/>
        </w:rPr>
        <w:tab/>
        <w:t>Public documents</w:t>
      </w:r>
    </w:p>
    <w:p w14:paraId="38989B99" w14:textId="77777777" w:rsidR="00972194" w:rsidRDefault="00850779" w:rsidP="007E67DC">
      <w:pPr>
        <w:numPr>
          <w:ilvl w:val="0"/>
          <w:numId w:val="2"/>
        </w:numPr>
        <w:autoSpaceDE w:val="0"/>
        <w:spacing w:before="240" w:after="240"/>
        <w:jc w:val="both"/>
      </w:pPr>
      <w:r>
        <w:t>As I have described,</w:t>
      </w:r>
      <w:r>
        <w:rPr>
          <w:rStyle w:val="FootnoteReference"/>
        </w:rPr>
        <w:footnoteReference w:id="46"/>
      </w:r>
      <w:r>
        <w:t xml:space="preserve"> </w:t>
      </w:r>
      <w:r w:rsidR="00D0016A">
        <w:t xml:space="preserve">the Factual Narratives that I permitted the parties to introduce could refer to public, as well as disclosed, documents. </w:t>
      </w:r>
      <w:r w:rsidR="005F4CE9">
        <w:t>Pakistan undertook a most thorough review of public records</w:t>
      </w:r>
      <w:r w:rsidR="00C640A5">
        <w:t xml:space="preserve"> for relevant or potentially relevant material</w:t>
      </w:r>
      <w:r w:rsidR="0004797F">
        <w:t>. The material that Pakistan consider</w:t>
      </w:r>
      <w:r w:rsidR="00905724">
        <w:t>ed</w:t>
      </w:r>
      <w:r w:rsidR="0004797F">
        <w:t xml:space="preserve"> helpful was referenced in Pakistan’s Factual Narrative and exhibited to that Factual Narrative </w:t>
      </w:r>
      <w:r w:rsidR="003A054E">
        <w:t xml:space="preserve">in some six lever arch files. </w:t>
      </w:r>
      <w:r w:rsidR="00806730">
        <w:t>In terms of volume, this was about the same as the disclosure that the parties chose to include in the chronological run of documents</w:t>
      </w:r>
      <w:r w:rsidR="00477AF1">
        <w:t xml:space="preserve">, which also </w:t>
      </w:r>
      <w:r w:rsidR="00741720">
        <w:t xml:space="preserve">amounted to </w:t>
      </w:r>
      <w:r w:rsidR="00477AF1">
        <w:t>some six lever arch files.</w:t>
      </w:r>
    </w:p>
    <w:p w14:paraId="5195FEAB" w14:textId="77777777" w:rsidR="00AB11C6" w:rsidRDefault="00477AF1" w:rsidP="00AB6A91">
      <w:pPr>
        <w:numPr>
          <w:ilvl w:val="0"/>
          <w:numId w:val="2"/>
        </w:numPr>
        <w:autoSpaceDE w:val="0"/>
        <w:spacing w:before="240" w:after="240"/>
        <w:jc w:val="both"/>
      </w:pPr>
      <w:r>
        <w:t xml:space="preserve">I have no difficulty in using this material </w:t>
      </w:r>
      <w:r w:rsidR="006F1AFE">
        <w:t xml:space="preserve">to assist in a consideration of the relevant events. Pakistan – self-evidently, since these were the fruits of her efforts </w:t>
      </w:r>
      <w:r w:rsidR="00524453">
        <w:t>–</w:t>
      </w:r>
      <w:r w:rsidR="006F1AFE">
        <w:t xml:space="preserve"> </w:t>
      </w:r>
      <w:r w:rsidR="00524453">
        <w:t>relied upon them extensively. The Princes and India did not seek to dissuade me from considering this material</w:t>
      </w:r>
      <w:r w:rsidR="00AB11C6">
        <w:t>, but they did stress that I needed to take care when considering these documents</w:t>
      </w:r>
      <w:r w:rsidR="00A179D7">
        <w:t xml:space="preserve">. </w:t>
      </w:r>
      <w:r w:rsidR="00F70DBB">
        <w:t xml:space="preserve">Unlike the disclosure process, which focusses on documents in a party’s control, these documents </w:t>
      </w:r>
      <w:r w:rsidR="00CC7D47">
        <w:t xml:space="preserve">had been obtained from public records. The volume of material </w:t>
      </w:r>
      <w:r w:rsidR="002B29F3">
        <w:t xml:space="preserve">regarding the affairs of India, Pakistan and Hyderabad in the 1940s and 1950s </w:t>
      </w:r>
      <w:r w:rsidR="00493267">
        <w:t>is vast</w:t>
      </w:r>
      <w:r w:rsidR="00AB6A91">
        <w:t>. Inevitably</w:t>
      </w:r>
      <w:r w:rsidR="00493267">
        <w:t>,</w:t>
      </w:r>
      <w:r w:rsidR="00AB6A91">
        <w:t xml:space="preserve"> in identifying the material to be referenced in Pakistan’s Factual Narrative, </w:t>
      </w:r>
      <w:r w:rsidR="00493267">
        <w:t xml:space="preserve">some </w:t>
      </w:r>
      <w:r w:rsidR="00A179D7">
        <w:t xml:space="preserve">process of selection will have been undertaken. </w:t>
      </w:r>
      <w:r w:rsidR="00F42C36">
        <w:t>That would mean:</w:t>
      </w:r>
    </w:p>
    <w:p w14:paraId="0257C7E8" w14:textId="77777777" w:rsidR="00F42C36" w:rsidRDefault="00074E2D" w:rsidP="00F42C36">
      <w:pPr>
        <w:numPr>
          <w:ilvl w:val="1"/>
          <w:numId w:val="2"/>
        </w:numPr>
        <w:autoSpaceDE w:val="0"/>
        <w:spacing w:before="240" w:after="240"/>
        <w:jc w:val="both"/>
      </w:pPr>
      <w:r>
        <w:lastRenderedPageBreak/>
        <w:t>t</w:t>
      </w:r>
      <w:r w:rsidR="00F42C36">
        <w:t>hat potentially relevant material might have been omitted; and</w:t>
      </w:r>
    </w:p>
    <w:p w14:paraId="7C9CC454" w14:textId="77777777" w:rsidR="00F42C36" w:rsidRDefault="00074E2D" w:rsidP="00F42C36">
      <w:pPr>
        <w:numPr>
          <w:ilvl w:val="1"/>
          <w:numId w:val="2"/>
        </w:numPr>
        <w:autoSpaceDE w:val="0"/>
        <w:spacing w:before="240" w:after="240"/>
        <w:jc w:val="both"/>
      </w:pPr>
      <w:r>
        <w:t>t</w:t>
      </w:r>
      <w:r w:rsidR="00F42C36">
        <w:t xml:space="preserve">hat </w:t>
      </w:r>
      <w:r w:rsidR="00430F90">
        <w:t xml:space="preserve">irrelevant material – but which </w:t>
      </w:r>
      <w:r w:rsidR="00430F90">
        <w:rPr>
          <w:u w:val="single"/>
        </w:rPr>
        <w:t>looked</w:t>
      </w:r>
      <w:r w:rsidR="00430F90">
        <w:t xml:space="preserve"> relevant – might have been included.</w:t>
      </w:r>
    </w:p>
    <w:p w14:paraId="2524BB70" w14:textId="77777777" w:rsidR="00430F90" w:rsidRDefault="00AD31A2" w:rsidP="00430F90">
      <w:pPr>
        <w:numPr>
          <w:ilvl w:val="0"/>
          <w:numId w:val="2"/>
        </w:numPr>
        <w:autoSpaceDE w:val="0"/>
        <w:spacing w:before="240" w:after="240"/>
        <w:jc w:val="both"/>
      </w:pPr>
      <w:r>
        <w:t xml:space="preserve">Without in any way criticising Pakistan’s process, </w:t>
      </w:r>
      <w:r w:rsidR="00524F64">
        <w:t xml:space="preserve">I consider that the warnings of the Princes and India are apposite. To take but one example: </w:t>
      </w:r>
      <w:r w:rsidR="00C80652">
        <w:t xml:space="preserve">many of the documents cited by Pakistan in her Factual Narrative and produced by her related to the </w:t>
      </w:r>
      <w:r w:rsidR="001873C2">
        <w:t xml:space="preserve">Arms for Money Argument. </w:t>
      </w:r>
      <w:r w:rsidR="00952BAB">
        <w:t xml:space="preserve">Everyone accepted that there had been assistance by Pakistan in the supply and transportation of </w:t>
      </w:r>
      <w:r w:rsidR="009B0D41">
        <w:t xml:space="preserve">weapons to support Hyderabad’s independence. But that fact does not mean that there is an inevitable link between the Fund and the provision of weapons. </w:t>
      </w:r>
      <w:r w:rsidR="00AA56BD">
        <w:t xml:space="preserve">I cannot be beguiled into concluding, merely from the inclusion of such documents in </w:t>
      </w:r>
      <w:r w:rsidR="009A27CE">
        <w:t>Pakistan’s Factual Narrative</w:t>
      </w:r>
      <w:r w:rsidR="00AA56BD">
        <w:t>, that such a link exists</w:t>
      </w:r>
      <w:r w:rsidR="00CB272A">
        <w:t>,</w:t>
      </w:r>
      <w:r w:rsidR="00EC0158">
        <w:t xml:space="preserve"> because </w:t>
      </w:r>
      <w:r w:rsidR="009F7ECE">
        <w:t>the</w:t>
      </w:r>
      <w:r w:rsidR="00CB272A">
        <w:t>se</w:t>
      </w:r>
      <w:r w:rsidR="009F7ECE">
        <w:t xml:space="preserve"> documents have not been produced </w:t>
      </w:r>
      <w:r w:rsidR="00CB272A">
        <w:t>out of</w:t>
      </w:r>
      <w:r w:rsidR="00B92AC8">
        <w:t xml:space="preserve"> the disclosure of the parties but through a trawl of </w:t>
      </w:r>
      <w:r w:rsidR="00EC0158">
        <w:t xml:space="preserve">public source documents. </w:t>
      </w:r>
    </w:p>
    <w:p w14:paraId="0D3777E8" w14:textId="77777777" w:rsidR="00EC0158" w:rsidRDefault="00EC0158" w:rsidP="00430F90">
      <w:pPr>
        <w:numPr>
          <w:ilvl w:val="0"/>
          <w:numId w:val="2"/>
        </w:numPr>
        <w:autoSpaceDE w:val="0"/>
        <w:spacing w:before="240" w:after="240"/>
        <w:jc w:val="both"/>
      </w:pPr>
      <w:r>
        <w:t xml:space="preserve">Context is everything: </w:t>
      </w:r>
      <w:r w:rsidR="001C4FDB">
        <w:t xml:space="preserve">a document’s source can be telling. For example, a document regarding </w:t>
      </w:r>
      <w:r w:rsidR="00BF33CE">
        <w:t xml:space="preserve">the provision of weapons </w:t>
      </w:r>
      <w:r w:rsidR="001C4FDB">
        <w:t xml:space="preserve">to Hyderabad </w:t>
      </w:r>
      <w:r w:rsidR="00B23138">
        <w:t xml:space="preserve">coming from an archive of Nizam VII would </w:t>
      </w:r>
      <w:r w:rsidR="00BF33CE">
        <w:t xml:space="preserve">be more compelling in support of the </w:t>
      </w:r>
      <w:r w:rsidR="00921F64">
        <w:t>Arms for Money Argument than a</w:t>
      </w:r>
      <w:r w:rsidR="00800F56">
        <w:t xml:space="preserve"> similar</w:t>
      </w:r>
      <w:r w:rsidR="00921F64">
        <w:t xml:space="preserve"> document emanating from </w:t>
      </w:r>
      <w:r w:rsidR="00B23138">
        <w:t xml:space="preserve">(say) </w:t>
      </w:r>
      <w:r w:rsidR="00800F56">
        <w:t>the records of Sidney Cotton (</w:t>
      </w:r>
      <w:r w:rsidR="00800F56">
        <w:rPr>
          <w:b/>
          <w:bCs/>
        </w:rPr>
        <w:t>Cotton</w:t>
      </w:r>
      <w:r w:rsidR="00800F56">
        <w:t>)</w:t>
      </w:r>
      <w:r w:rsidR="00D153D9">
        <w:t>, the gentleman centrally involved in the provision of arms to Pakistan</w:t>
      </w:r>
      <w:r w:rsidR="00923243">
        <w:t xml:space="preserve"> and Hyderabad</w:t>
      </w:r>
      <w:r w:rsidR="00D153D9">
        <w:t>.</w:t>
      </w:r>
      <w:r w:rsidR="00921F64">
        <w:t xml:space="preserve"> </w:t>
      </w:r>
    </w:p>
    <w:p w14:paraId="23FFA5F2" w14:textId="77777777" w:rsidR="00D153D9" w:rsidRPr="00D153D9" w:rsidRDefault="00D153D9" w:rsidP="00D15985">
      <w:pPr>
        <w:keepNext/>
        <w:tabs>
          <w:tab w:val="left" w:pos="567"/>
        </w:tabs>
        <w:autoSpaceDE w:val="0"/>
        <w:spacing w:before="240" w:after="240"/>
        <w:jc w:val="both"/>
        <w:rPr>
          <w:b/>
          <w:bCs/>
          <w:i/>
          <w:iCs/>
        </w:rPr>
      </w:pPr>
      <w:r>
        <w:rPr>
          <w:b/>
          <w:bCs/>
          <w:i/>
          <w:iCs/>
        </w:rPr>
        <w:t>(c)</w:t>
      </w:r>
      <w:r>
        <w:rPr>
          <w:b/>
          <w:bCs/>
          <w:i/>
          <w:iCs/>
        </w:rPr>
        <w:tab/>
        <w:t>The source of documents</w:t>
      </w:r>
    </w:p>
    <w:p w14:paraId="218E0444" w14:textId="77777777" w:rsidR="00D9562A" w:rsidRDefault="00C12F36" w:rsidP="009D0303">
      <w:pPr>
        <w:numPr>
          <w:ilvl w:val="0"/>
          <w:numId w:val="2"/>
        </w:numPr>
        <w:autoSpaceDE w:val="0"/>
        <w:spacing w:before="240" w:after="240"/>
        <w:jc w:val="both"/>
      </w:pPr>
      <w:r>
        <w:t>The parties provided a chronological schedule of documents, containing the key documents from disclosure relied upo</w:t>
      </w:r>
      <w:r w:rsidR="007A75BA">
        <w:t xml:space="preserve">n </w:t>
      </w:r>
      <w:r w:rsidR="00CE5B7F">
        <w:t>by them, together with the source from which that document had been obtained. I found this extremely helpful.</w:t>
      </w:r>
    </w:p>
    <w:p w14:paraId="604665E4" w14:textId="77777777" w:rsidR="001848DE" w:rsidRPr="00F1748A" w:rsidRDefault="001848DE" w:rsidP="00CC7A6A">
      <w:pPr>
        <w:keepNext/>
        <w:tabs>
          <w:tab w:val="left" w:pos="567"/>
        </w:tabs>
        <w:autoSpaceDE w:val="0"/>
        <w:spacing w:before="240" w:after="240"/>
        <w:jc w:val="both"/>
        <w:rPr>
          <w:b/>
          <w:bCs/>
        </w:rPr>
      </w:pPr>
      <w:r w:rsidRPr="00F1748A">
        <w:rPr>
          <w:b/>
          <w:bCs/>
        </w:rPr>
        <w:t>(5)</w:t>
      </w:r>
      <w:r w:rsidRPr="00F1748A">
        <w:rPr>
          <w:b/>
          <w:bCs/>
        </w:rPr>
        <w:tab/>
        <w:t>Expert evidence</w:t>
      </w:r>
    </w:p>
    <w:p w14:paraId="07BFB6B8" w14:textId="77777777" w:rsidR="001848DE" w:rsidRDefault="006235AA" w:rsidP="007E67DC">
      <w:pPr>
        <w:numPr>
          <w:ilvl w:val="0"/>
          <w:numId w:val="2"/>
        </w:numPr>
        <w:autoSpaceDE w:val="0"/>
        <w:spacing w:before="240" w:after="240"/>
        <w:jc w:val="both"/>
      </w:pPr>
      <w:r>
        <w:t xml:space="preserve">India </w:t>
      </w:r>
      <w:r w:rsidR="007F595D">
        <w:t xml:space="preserve">and Nizam VIII </w:t>
      </w:r>
      <w:r>
        <w:t xml:space="preserve">sought to rely upon two affidavits of </w:t>
      </w:r>
      <w:r w:rsidR="001848DE" w:rsidRPr="00F1748A">
        <w:t>Nonavinakere Srinavasa Raghavan</w:t>
      </w:r>
      <w:r>
        <w:t xml:space="preserve"> (</w:t>
      </w:r>
      <w:r>
        <w:rPr>
          <w:b/>
          <w:bCs/>
        </w:rPr>
        <w:t>Raghavan</w:t>
      </w:r>
      <w:r>
        <w:t>)</w:t>
      </w:r>
      <w:r w:rsidR="00D67AC4">
        <w:t xml:space="preserve"> sworn 17 February 1956</w:t>
      </w:r>
      <w:r w:rsidR="009D0303">
        <w:t xml:space="preserve"> (</w:t>
      </w:r>
      <w:r w:rsidR="009D0303">
        <w:rPr>
          <w:b/>
          <w:bCs/>
        </w:rPr>
        <w:t>Raghavan 1</w:t>
      </w:r>
      <w:r w:rsidR="009D0303">
        <w:t>)</w:t>
      </w:r>
      <w:r w:rsidR="00D67AC4">
        <w:t xml:space="preserve"> and 17 March 1956</w:t>
      </w:r>
      <w:r w:rsidR="009D0303">
        <w:t xml:space="preserve"> (</w:t>
      </w:r>
      <w:r w:rsidR="009D0303">
        <w:rPr>
          <w:b/>
          <w:bCs/>
        </w:rPr>
        <w:t>Raghavan 2</w:t>
      </w:r>
      <w:r w:rsidR="009D0303">
        <w:t>)</w:t>
      </w:r>
      <w:r w:rsidR="00956B7A">
        <w:t xml:space="preserve"> in the 1954 Proceedings</w:t>
      </w:r>
      <w:r w:rsidR="00EE1482">
        <w:t xml:space="preserve">. </w:t>
      </w:r>
      <w:r w:rsidR="009D0303">
        <w:t xml:space="preserve">These were adduced by way of </w:t>
      </w:r>
      <w:r w:rsidR="00EE1482">
        <w:t>C</w:t>
      </w:r>
      <w:r w:rsidR="009D0303">
        <w:t xml:space="preserve">ivil </w:t>
      </w:r>
      <w:r w:rsidR="00EE1482">
        <w:t>E</w:t>
      </w:r>
      <w:r w:rsidR="009D0303">
        <w:t xml:space="preserve">vidence </w:t>
      </w:r>
      <w:r w:rsidR="00EE1482">
        <w:t>A</w:t>
      </w:r>
      <w:r w:rsidR="009D0303">
        <w:t>ct</w:t>
      </w:r>
      <w:r w:rsidR="00EE1482">
        <w:t xml:space="preserve"> Notice </w:t>
      </w:r>
      <w:r w:rsidR="009D0303">
        <w:t xml:space="preserve">and were relied upon as </w:t>
      </w:r>
      <w:r w:rsidR="00A32C6B">
        <w:t>expert evidence</w:t>
      </w:r>
      <w:r w:rsidR="009D0303">
        <w:t xml:space="preserve"> concerning the constitutional arrangements</w:t>
      </w:r>
      <w:r w:rsidR="007F595D">
        <w:t xml:space="preserve"> in Hyderabad in 1948.</w:t>
      </w:r>
      <w:r w:rsidR="00994B89">
        <w:t xml:space="preserve"> </w:t>
      </w:r>
      <w:r w:rsidR="002B21EB">
        <w:t xml:space="preserve">Raghavan 2 is </w:t>
      </w:r>
      <w:r w:rsidR="00AF7D13">
        <w:t xml:space="preserve">simply </w:t>
      </w:r>
      <w:r w:rsidR="002B21EB">
        <w:t>a re-sworn version of Raghavan 1</w:t>
      </w:r>
      <w:r w:rsidR="0066774C">
        <w:t>, and so adds nothing.</w:t>
      </w:r>
    </w:p>
    <w:p w14:paraId="60D170FB" w14:textId="77777777" w:rsidR="00F66DE6" w:rsidRDefault="00F66DE6" w:rsidP="007E67DC">
      <w:pPr>
        <w:numPr>
          <w:ilvl w:val="0"/>
          <w:numId w:val="2"/>
        </w:numPr>
        <w:autoSpaceDE w:val="0"/>
        <w:spacing w:before="240" w:after="240"/>
        <w:jc w:val="both"/>
      </w:pPr>
      <w:r>
        <w:t>It is well-established that CPR 35 does not constitute a complete code for adduction of expert evidence in English civil procedure</w:t>
      </w:r>
      <w:r w:rsidR="006C581E">
        <w:t>,</w:t>
      </w:r>
      <w:r w:rsidR="002F3FA8">
        <w:rPr>
          <w:rStyle w:val="FootnoteReference"/>
        </w:rPr>
        <w:footnoteReference w:id="47"/>
      </w:r>
      <w:r w:rsidR="0045369E">
        <w:t xml:space="preserve"> and that expert evidence can be received outside the confines of </w:t>
      </w:r>
      <w:r w:rsidR="009904BB">
        <w:t>CPR 35, for instance by way of section 3 of the Civil Evidence Act 1972</w:t>
      </w:r>
      <w:r w:rsidR="000713F1">
        <w:t>.</w:t>
      </w:r>
      <w:r w:rsidR="000713F1">
        <w:rPr>
          <w:rStyle w:val="FootnoteReference"/>
        </w:rPr>
        <w:footnoteReference w:id="48"/>
      </w:r>
      <w:r w:rsidR="00803B37">
        <w:t xml:space="preserve"> </w:t>
      </w:r>
      <w:r w:rsidR="009A1CB1">
        <w:t xml:space="preserve">Raghavan, like the factual witnesses referred to in paragraphs </w:t>
      </w:r>
      <w:r w:rsidR="003C170D">
        <w:t>40</w:t>
      </w:r>
      <w:r w:rsidR="009A1CB1">
        <w:t xml:space="preserve"> above, is now deceased and I do take his evidence into account. </w:t>
      </w:r>
      <w:r w:rsidR="004D4E85">
        <w:t xml:space="preserve">Of course, I recognise that Pakistan had no ability to cross-examine Raghavan, and that is a matter that </w:t>
      </w:r>
      <w:r w:rsidR="00984167">
        <w:t>would</w:t>
      </w:r>
      <w:r w:rsidR="004D4E85">
        <w:t xml:space="preserve"> go to weight.</w:t>
      </w:r>
      <w:r w:rsidR="00B95CDF">
        <w:t xml:space="preserve"> As it happened, however, there was</w:t>
      </w:r>
      <w:r w:rsidR="003C170D">
        <w:t xml:space="preserve"> relatively</w:t>
      </w:r>
      <w:r w:rsidR="00B95CDF">
        <w:t xml:space="preserve"> little controversy over Raghavan’s evidence.</w:t>
      </w:r>
    </w:p>
    <w:p w14:paraId="5DE8399A" w14:textId="77777777" w:rsidR="00956B7A" w:rsidRPr="00F1748A" w:rsidRDefault="005C2DA5" w:rsidP="007E67DC">
      <w:pPr>
        <w:numPr>
          <w:ilvl w:val="0"/>
          <w:numId w:val="2"/>
        </w:numPr>
        <w:autoSpaceDE w:val="0"/>
        <w:spacing w:before="240" w:after="240"/>
        <w:jc w:val="both"/>
      </w:pPr>
      <w:r>
        <w:lastRenderedPageBreak/>
        <w:t>As I have described</w:t>
      </w:r>
      <w:r w:rsidR="0007100C">
        <w:t>,</w:t>
      </w:r>
      <w:r w:rsidR="0007100C">
        <w:rPr>
          <w:rStyle w:val="FootnoteReference"/>
        </w:rPr>
        <w:footnoteReference w:id="49"/>
      </w:r>
      <w:r w:rsidR="0007100C">
        <w:t xml:space="preserve"> Pakistan sought to adduce the expert evidence of </w:t>
      </w:r>
      <w:r w:rsidR="009272C2">
        <w:t xml:space="preserve">Radley during the course of the trial. I rejected Pakistan’s application. I explain why when </w:t>
      </w:r>
      <w:r w:rsidR="00DA381A">
        <w:t>describing</w:t>
      </w:r>
      <w:r w:rsidR="009272C2">
        <w:t xml:space="preserve"> the documents which </w:t>
      </w:r>
      <w:r w:rsidR="009272C2" w:rsidRPr="001B44BE">
        <w:t>Radley 1</w:t>
      </w:r>
      <w:r w:rsidR="009272C2">
        <w:t xml:space="preserve"> </w:t>
      </w:r>
      <w:r w:rsidR="006243FE">
        <w:t>considered</w:t>
      </w:r>
      <w:r w:rsidR="009272C2">
        <w:t xml:space="preserve">. </w:t>
      </w:r>
    </w:p>
    <w:p w14:paraId="30F6C2C8" w14:textId="77777777" w:rsidR="00634387" w:rsidRPr="00634387" w:rsidRDefault="00634387" w:rsidP="006243FE">
      <w:pPr>
        <w:keepNext/>
        <w:tabs>
          <w:tab w:val="left" w:pos="567"/>
        </w:tabs>
        <w:autoSpaceDE w:val="0"/>
        <w:spacing w:before="240" w:after="240"/>
        <w:jc w:val="both"/>
        <w:rPr>
          <w:b/>
          <w:bCs/>
        </w:rPr>
      </w:pPr>
      <w:r>
        <w:rPr>
          <w:b/>
          <w:bCs/>
        </w:rPr>
        <w:t>(</w:t>
      </w:r>
      <w:r w:rsidR="00011937">
        <w:rPr>
          <w:b/>
          <w:bCs/>
        </w:rPr>
        <w:t>6</w:t>
      </w:r>
      <w:r>
        <w:rPr>
          <w:b/>
          <w:bCs/>
        </w:rPr>
        <w:t>)</w:t>
      </w:r>
      <w:r>
        <w:rPr>
          <w:b/>
          <w:bCs/>
        </w:rPr>
        <w:tab/>
      </w:r>
      <w:r w:rsidR="00022862">
        <w:rPr>
          <w:b/>
          <w:bCs/>
        </w:rPr>
        <w:t xml:space="preserve">The </w:t>
      </w:r>
      <w:r w:rsidR="001F312A">
        <w:rPr>
          <w:b/>
          <w:bCs/>
        </w:rPr>
        <w:t>F</w:t>
      </w:r>
      <w:r w:rsidR="001B44BE">
        <w:rPr>
          <w:b/>
          <w:bCs/>
        </w:rPr>
        <w:t xml:space="preserve">actual </w:t>
      </w:r>
      <w:r w:rsidR="001F312A">
        <w:rPr>
          <w:b/>
          <w:bCs/>
        </w:rPr>
        <w:t>N</w:t>
      </w:r>
      <w:r w:rsidR="00022862">
        <w:rPr>
          <w:b/>
          <w:bCs/>
        </w:rPr>
        <w:t>arratives</w:t>
      </w:r>
    </w:p>
    <w:p w14:paraId="059B3379" w14:textId="77777777" w:rsidR="00DF6409" w:rsidRPr="001E3947" w:rsidRDefault="00727C32" w:rsidP="002512A1">
      <w:pPr>
        <w:numPr>
          <w:ilvl w:val="0"/>
          <w:numId w:val="2"/>
        </w:numPr>
        <w:autoSpaceDE w:val="0"/>
        <w:spacing w:before="240" w:after="240"/>
        <w:jc w:val="both"/>
      </w:pPr>
      <w:r>
        <w:t>I have described the Pak</w:t>
      </w:r>
      <w:r w:rsidR="003B398A" w:rsidRPr="00107517">
        <w:t>i</w:t>
      </w:r>
      <w:r w:rsidRPr="00107517">
        <w:t>sta</w:t>
      </w:r>
      <w:r>
        <w:t xml:space="preserve">n and India Factual Narratives </w:t>
      </w:r>
      <w:r w:rsidR="002512A1">
        <w:t xml:space="preserve">in paragraph </w:t>
      </w:r>
      <w:r w:rsidR="00E360E5">
        <w:t>33</w:t>
      </w:r>
      <w:r w:rsidR="002512A1">
        <w:t xml:space="preserve"> above. </w:t>
      </w:r>
      <w:r w:rsidR="00E03D1C">
        <w:t>In themselves, the</w:t>
      </w:r>
      <w:r w:rsidR="004A54CE">
        <w:t>y</w:t>
      </w:r>
      <w:r w:rsidR="00E03D1C">
        <w:t xml:space="preserve"> are not evidence, merely narratives pulling together into a coherent whole</w:t>
      </w:r>
      <w:r w:rsidR="007936B6">
        <w:t xml:space="preserve"> the respective factual contentions of Pakistan and India.</w:t>
      </w:r>
      <w:r w:rsidR="00284708">
        <w:t xml:space="preserve"> I have relied upon them both in order to construct the factual narratives contained in th</w:t>
      </w:r>
      <w:r w:rsidR="004A54CE">
        <w:t>is</w:t>
      </w:r>
      <w:r w:rsidR="00284708">
        <w:t xml:space="preserve"> Judgment</w:t>
      </w:r>
      <w:r w:rsidR="001F312A">
        <w:t xml:space="preserve">: I have, however, when referencing documents, tended to reference the primary documents as identified in the Factual Narratives, rather than the Factual Narratives themselves. </w:t>
      </w:r>
    </w:p>
    <w:p w14:paraId="2E126101" w14:textId="77777777" w:rsidR="001E3947" w:rsidRPr="001E3947" w:rsidRDefault="001E3947" w:rsidP="004A54CE">
      <w:pPr>
        <w:keepNext/>
        <w:tabs>
          <w:tab w:val="left" w:pos="567"/>
        </w:tabs>
        <w:autoSpaceDE w:val="0"/>
        <w:spacing w:before="240" w:after="240"/>
        <w:jc w:val="both"/>
      </w:pPr>
      <w:r>
        <w:rPr>
          <w:b/>
          <w:bCs/>
        </w:rPr>
        <w:t>(</w:t>
      </w:r>
      <w:r w:rsidR="008862C3">
        <w:rPr>
          <w:b/>
          <w:bCs/>
        </w:rPr>
        <w:t>7</w:t>
      </w:r>
      <w:r>
        <w:rPr>
          <w:b/>
          <w:bCs/>
        </w:rPr>
        <w:t>)</w:t>
      </w:r>
      <w:r>
        <w:rPr>
          <w:b/>
          <w:bCs/>
        </w:rPr>
        <w:tab/>
      </w:r>
      <w:r w:rsidR="00011937">
        <w:rPr>
          <w:b/>
          <w:bCs/>
        </w:rPr>
        <w:t>My approach to the evidence</w:t>
      </w:r>
    </w:p>
    <w:p w14:paraId="1220381C" w14:textId="77777777" w:rsidR="001E3947" w:rsidRDefault="002A096B" w:rsidP="001E3947">
      <w:pPr>
        <w:numPr>
          <w:ilvl w:val="0"/>
          <w:numId w:val="2"/>
        </w:numPr>
        <w:autoSpaceDE w:val="0"/>
        <w:spacing w:before="240" w:after="240"/>
        <w:jc w:val="both"/>
      </w:pPr>
      <w:r>
        <w:t xml:space="preserve">In the ordinary course, </w:t>
      </w:r>
      <w:r w:rsidR="009D6092">
        <w:t xml:space="preserve">when assessing factual evidence, a Judge has well in mind the approach of Lord Goff in </w:t>
      </w:r>
      <w:r w:rsidR="009D6092">
        <w:rPr>
          <w:i/>
          <w:iCs/>
        </w:rPr>
        <w:t>Grace Shipping Inc v. CF Sharp and Co (Malaya) Pte Ltd</w:t>
      </w:r>
      <w:r w:rsidR="00D1758D">
        <w:t>:</w:t>
      </w:r>
      <w:r w:rsidR="00D1758D">
        <w:rPr>
          <w:rStyle w:val="FootnoteReference"/>
        </w:rPr>
        <w:footnoteReference w:id="50"/>
      </w:r>
    </w:p>
    <w:p w14:paraId="79154E5A" w14:textId="77777777" w:rsidR="00EB249F" w:rsidRPr="00EB249F" w:rsidRDefault="00EB249F" w:rsidP="00EB249F">
      <w:pPr>
        <w:autoSpaceDE w:val="0"/>
        <w:spacing w:before="240" w:after="240"/>
        <w:ind w:left="567"/>
        <w:jc w:val="both"/>
        <w:rPr>
          <w:sz w:val="22"/>
          <w:szCs w:val="22"/>
        </w:rPr>
      </w:pPr>
      <w:r>
        <w:rPr>
          <w:sz w:val="22"/>
          <w:szCs w:val="22"/>
        </w:rPr>
        <w:t>“In such a case [where witnesses were seeking to recall events and telephone conversations of five years earlier</w:t>
      </w:r>
      <w:r w:rsidR="008D7A78">
        <w:rPr>
          <w:sz w:val="22"/>
          <w:szCs w:val="22"/>
        </w:rPr>
        <w:t xml:space="preserve">] memories may very well be unreliable; and it is of crucial importance for the Judge to have regard </w:t>
      </w:r>
      <w:r w:rsidR="00EB1481">
        <w:rPr>
          <w:sz w:val="22"/>
          <w:szCs w:val="22"/>
        </w:rPr>
        <w:t>to the contemporary documents and to the overall probabilities.”</w:t>
      </w:r>
    </w:p>
    <w:p w14:paraId="416BDE23" w14:textId="77777777" w:rsidR="00EB1481" w:rsidRDefault="00EB1481" w:rsidP="00EB1481">
      <w:pPr>
        <w:numPr>
          <w:ilvl w:val="0"/>
          <w:numId w:val="2"/>
        </w:numPr>
        <w:autoSpaceDE w:val="0"/>
        <w:spacing w:before="240" w:after="240"/>
        <w:jc w:val="both"/>
      </w:pPr>
      <w:r>
        <w:t xml:space="preserve">In this case, </w:t>
      </w:r>
      <w:r w:rsidR="005246C0">
        <w:t xml:space="preserve">none of the critical actors at the time of the </w:t>
      </w:r>
      <w:r w:rsidR="00610F90">
        <w:t>T</w:t>
      </w:r>
      <w:r w:rsidR="005246C0">
        <w:t>ransfer – in particular Nizam VII, Moin and Rahi</w:t>
      </w:r>
      <w:r w:rsidR="0083509F">
        <w:t>m</w:t>
      </w:r>
      <w:r w:rsidR="005246C0">
        <w:t>t</w:t>
      </w:r>
      <w:r w:rsidR="00D322DE">
        <w:t>oo</w:t>
      </w:r>
      <w:r w:rsidR="005246C0">
        <w:t xml:space="preserve">la </w:t>
      </w:r>
      <w:r w:rsidR="00610F90">
        <w:t>–</w:t>
      </w:r>
      <w:r w:rsidR="005246C0">
        <w:t xml:space="preserve"> </w:t>
      </w:r>
      <w:r w:rsidR="00610F90">
        <w:t>could give evidence. After the event – for instance during the course of the 195</w:t>
      </w:r>
      <w:r w:rsidR="00D30159">
        <w:t>4</w:t>
      </w:r>
      <w:r w:rsidR="00610F90">
        <w:t xml:space="preserve"> Proceedings </w:t>
      </w:r>
      <w:r w:rsidR="00D30159">
        <w:t>–</w:t>
      </w:r>
      <w:r w:rsidR="00610F90">
        <w:t xml:space="preserve"> </w:t>
      </w:r>
      <w:r w:rsidR="00D30159">
        <w:t xml:space="preserve">some of these actors </w:t>
      </w:r>
      <w:r w:rsidR="00D30159">
        <w:rPr>
          <w:u w:val="single"/>
        </w:rPr>
        <w:t>did</w:t>
      </w:r>
      <w:r w:rsidR="00D30159">
        <w:t xml:space="preserve"> give evidence</w:t>
      </w:r>
      <w:r w:rsidR="00A1539B">
        <w:t xml:space="preserve">. But that evidence suffers from all of the fragilities that I have described in paragraph </w:t>
      </w:r>
      <w:r w:rsidR="00501967">
        <w:t>41</w:t>
      </w:r>
      <w:r w:rsidR="00A1539B">
        <w:t xml:space="preserve"> above.</w:t>
      </w:r>
      <w:r w:rsidR="00435A2A">
        <w:t xml:space="preserve"> For those reasons, the </w:t>
      </w:r>
      <w:r w:rsidR="0006487C" w:rsidRPr="0006487C">
        <w:rPr>
          <w:u w:val="single"/>
        </w:rPr>
        <w:t>contemporary</w:t>
      </w:r>
      <w:r w:rsidR="0006487C">
        <w:t xml:space="preserve"> documents</w:t>
      </w:r>
      <w:r w:rsidR="004D7ECB">
        <w:t>, particularly those directly related to the Transfer,</w:t>
      </w:r>
      <w:r w:rsidR="0006487C">
        <w:t xml:space="preserve"> are</w:t>
      </w:r>
      <w:r w:rsidR="004D7ECB">
        <w:t xml:space="preserve"> </w:t>
      </w:r>
      <w:r w:rsidR="0006487C">
        <w:t>critical. Of course, the greater effl</w:t>
      </w:r>
      <w:r w:rsidR="00915153">
        <w:t xml:space="preserve">uxion of time </w:t>
      </w:r>
      <w:r w:rsidR="0083509F">
        <w:t xml:space="preserve">between the relevant events and the date of the document, </w:t>
      </w:r>
      <w:r w:rsidR="00915153">
        <w:t>and the remoter the subject-matter</w:t>
      </w:r>
      <w:r w:rsidR="0083509F">
        <w:t xml:space="preserve"> of the document</w:t>
      </w:r>
      <w:r w:rsidR="00915153">
        <w:t>, the less cogent such documentary evidence is.</w:t>
      </w:r>
      <w:r w:rsidR="00B63803">
        <w:t xml:space="preserve"> I also must bear in mind the potential for </w:t>
      </w:r>
      <w:r w:rsidR="007D5C0A">
        <w:t>the contemporary record to mislead by reason of its incompleteness</w:t>
      </w:r>
      <w:r w:rsidR="0083509F">
        <w:t>, known and unknown</w:t>
      </w:r>
      <w:r w:rsidR="007D5C0A">
        <w:t>.</w:t>
      </w:r>
      <w:r w:rsidR="0083509F">
        <w:rPr>
          <w:rStyle w:val="FootnoteReference"/>
        </w:rPr>
        <w:footnoteReference w:id="51"/>
      </w:r>
      <w:r w:rsidR="007D5C0A">
        <w:t xml:space="preserve"> I have well in mind Lord Goff’s injunction </w:t>
      </w:r>
      <w:r w:rsidR="00FC3948">
        <w:t xml:space="preserve">to have regard not only to the contemporary documents, but also to the </w:t>
      </w:r>
      <w:r w:rsidR="00FC3948">
        <w:rPr>
          <w:u w:val="single"/>
        </w:rPr>
        <w:t>overall probabilities</w:t>
      </w:r>
      <w:r w:rsidR="00FC3948">
        <w:t>. My intention is to view the overall picture</w:t>
      </w:r>
      <w:r w:rsidR="005E6DC2">
        <w:t xml:space="preserve"> having well in mind the overall probabilities,</w:t>
      </w:r>
      <w:r w:rsidR="00FC3948">
        <w:t xml:space="preserve"> and to consider </w:t>
      </w:r>
      <w:r w:rsidR="00BB55AE">
        <w:t xml:space="preserve">specific events in </w:t>
      </w:r>
      <w:r w:rsidR="005E6DC2">
        <w:t>that light</w:t>
      </w:r>
      <w:r w:rsidR="00BB55AE">
        <w:t>.</w:t>
      </w:r>
    </w:p>
    <w:p w14:paraId="6235BFE7" w14:textId="77777777" w:rsidR="00151D12" w:rsidRPr="00151D12" w:rsidRDefault="00151D12" w:rsidP="00B27C6F">
      <w:pPr>
        <w:keepNext/>
        <w:tabs>
          <w:tab w:val="left" w:pos="567"/>
        </w:tabs>
        <w:autoSpaceDE w:val="0"/>
        <w:spacing w:before="240" w:after="240"/>
        <w:jc w:val="both"/>
        <w:rPr>
          <w:b/>
          <w:bCs/>
        </w:rPr>
      </w:pPr>
      <w:r>
        <w:rPr>
          <w:b/>
          <w:bCs/>
        </w:rPr>
        <w:t>C.</w:t>
      </w:r>
      <w:r>
        <w:rPr>
          <w:b/>
          <w:bCs/>
        </w:rPr>
        <w:tab/>
        <w:t>HYDERABAD</w:t>
      </w:r>
    </w:p>
    <w:p w14:paraId="430FDCEE" w14:textId="77777777" w:rsidR="00F71A13" w:rsidRPr="00F71A13" w:rsidRDefault="00F71A13" w:rsidP="00B27C6F">
      <w:pPr>
        <w:keepNext/>
        <w:tabs>
          <w:tab w:val="left" w:pos="567"/>
        </w:tabs>
        <w:autoSpaceDE w:val="0"/>
        <w:spacing w:before="240" w:after="240"/>
        <w:jc w:val="both"/>
        <w:rPr>
          <w:b/>
          <w:bCs/>
        </w:rPr>
      </w:pPr>
      <w:r>
        <w:rPr>
          <w:b/>
          <w:bCs/>
        </w:rPr>
        <w:t>(1)</w:t>
      </w:r>
      <w:r>
        <w:rPr>
          <w:b/>
          <w:bCs/>
        </w:rPr>
        <w:tab/>
        <w:t>Partition: India, Pakistan and Hyderabad</w:t>
      </w:r>
    </w:p>
    <w:p w14:paraId="529B7266" w14:textId="77777777" w:rsidR="00B64727" w:rsidRDefault="002D12A1" w:rsidP="00B83817">
      <w:pPr>
        <w:numPr>
          <w:ilvl w:val="0"/>
          <w:numId w:val="2"/>
        </w:numPr>
        <w:autoSpaceDE w:val="0"/>
        <w:spacing w:before="240" w:after="240"/>
        <w:jc w:val="both"/>
      </w:pPr>
      <w:r>
        <w:t xml:space="preserve">Hyderabad was a </w:t>
      </w:r>
      <w:r w:rsidRPr="00757AAD">
        <w:rPr>
          <w:b/>
          <w:bCs/>
        </w:rPr>
        <w:t>princely state</w:t>
      </w:r>
      <w:r>
        <w:t xml:space="preserve"> during the British Raj, ruled over by the Nizams of Hyderabad. The princely states were not part of </w:t>
      </w:r>
      <w:r w:rsidRPr="00757AAD">
        <w:rPr>
          <w:b/>
          <w:bCs/>
        </w:rPr>
        <w:t>British India</w:t>
      </w:r>
      <w:r w:rsidR="00951242">
        <w:t xml:space="preserve">, but </w:t>
      </w:r>
      <w:r w:rsidR="00EB4FD4">
        <w:t>H</w:t>
      </w:r>
      <w:r w:rsidR="00BB55AE">
        <w:t xml:space="preserve">is </w:t>
      </w:r>
      <w:r w:rsidR="00EB4FD4">
        <w:t>M</w:t>
      </w:r>
      <w:r w:rsidR="00BB55AE">
        <w:t>ajesty</w:t>
      </w:r>
      <w:r w:rsidR="00EB4FD4">
        <w:t xml:space="preserve"> The King exercised “suzerainty”</w:t>
      </w:r>
      <w:r w:rsidR="00757AAD">
        <w:t xml:space="preserve"> over the princely states.</w:t>
      </w:r>
    </w:p>
    <w:p w14:paraId="30808806" w14:textId="77777777" w:rsidR="00757AAD" w:rsidRDefault="00757AAD" w:rsidP="00B83817">
      <w:pPr>
        <w:numPr>
          <w:ilvl w:val="0"/>
          <w:numId w:val="2"/>
        </w:numPr>
        <w:autoSpaceDE w:val="0"/>
        <w:spacing w:before="240" w:after="240"/>
        <w:jc w:val="both"/>
      </w:pPr>
      <w:r>
        <w:t>The Indian Indepen</w:t>
      </w:r>
      <w:r w:rsidR="00135429">
        <w:t>den</w:t>
      </w:r>
      <w:r>
        <w:t xml:space="preserve">ce Act </w:t>
      </w:r>
      <w:r w:rsidR="0038345E">
        <w:t>1947 partitioned British India to create, as from 15 August 1947</w:t>
      </w:r>
      <w:r w:rsidR="009F63AC">
        <w:t xml:space="preserve"> (referred to in the Act as the </w:t>
      </w:r>
      <w:r w:rsidR="009F63AC">
        <w:rPr>
          <w:b/>
          <w:bCs/>
        </w:rPr>
        <w:t>appointed day</w:t>
      </w:r>
      <w:r w:rsidR="009F63AC" w:rsidRPr="00381D7F">
        <w:rPr>
          <w:rStyle w:val="FootnoteReference"/>
        </w:rPr>
        <w:footnoteReference w:id="52"/>
      </w:r>
      <w:r w:rsidR="009F63AC">
        <w:t>),</w:t>
      </w:r>
      <w:r w:rsidR="008F3864">
        <w:t xml:space="preserve"> “two independent Dominions…to </w:t>
      </w:r>
      <w:r w:rsidR="008F3864">
        <w:lastRenderedPageBreak/>
        <w:t>be known respectively as India and Pakistan”</w:t>
      </w:r>
      <w:r w:rsidR="004C57F3">
        <w:t>.</w:t>
      </w:r>
      <w:r w:rsidR="004C57F3">
        <w:rPr>
          <w:rStyle w:val="FootnoteReference"/>
        </w:rPr>
        <w:footnoteReference w:id="53"/>
      </w:r>
      <w:r w:rsidR="00135429">
        <w:t xml:space="preserve"> The</w:t>
      </w:r>
      <w:r w:rsidR="00633B95">
        <w:t xml:space="preserve"> territory so partitioned was described in section 2 of the 1947 Act.</w:t>
      </w:r>
    </w:p>
    <w:p w14:paraId="4DEF2745" w14:textId="77777777" w:rsidR="004C5DFC" w:rsidRDefault="002373B1" w:rsidP="00B83817">
      <w:pPr>
        <w:numPr>
          <w:ilvl w:val="0"/>
          <w:numId w:val="2"/>
        </w:numPr>
        <w:autoSpaceDE w:val="0"/>
        <w:spacing w:before="240" w:after="240"/>
        <w:jc w:val="both"/>
      </w:pPr>
      <w:r>
        <w:t>This partition did not affect the princely states,</w:t>
      </w:r>
      <w:r w:rsidR="00A760C5">
        <w:t xml:space="preserve"> not part of British India,</w:t>
      </w:r>
      <w:r>
        <w:t xml:space="preserve"> </w:t>
      </w:r>
      <w:r w:rsidR="00806096">
        <w:t xml:space="preserve">and </w:t>
      </w:r>
      <w:r w:rsidR="00C922FB">
        <w:t xml:space="preserve">referred to in the 1947 Act as the </w:t>
      </w:r>
      <w:r w:rsidR="00C922FB">
        <w:rPr>
          <w:b/>
          <w:bCs/>
        </w:rPr>
        <w:t>Indian States</w:t>
      </w:r>
      <w:r w:rsidR="002B31F7">
        <w:t xml:space="preserve">. </w:t>
      </w:r>
      <w:r w:rsidR="00A760C5">
        <w:t xml:space="preserve">Although section 2 </w:t>
      </w:r>
      <w:r w:rsidR="00BC66FA">
        <w:t>effected the partition of British India between India and Pakistan</w:t>
      </w:r>
      <w:r w:rsidR="00371707">
        <w:t>,</w:t>
      </w:r>
      <w:r w:rsidR="00BC66FA">
        <w:t xml:space="preserve"> and did </w:t>
      </w:r>
      <w:r w:rsidR="00DA353B">
        <w:t xml:space="preserve">not </w:t>
      </w:r>
      <w:r w:rsidR="00054FC4">
        <w:t>affect the princely states</w:t>
      </w:r>
      <w:r w:rsidR="00B267D0">
        <w:t>/</w:t>
      </w:r>
      <w:r w:rsidR="00054FC4">
        <w:t xml:space="preserve">Indian States, section 2(4) of the Act </w:t>
      </w:r>
      <w:r w:rsidR="00757F88">
        <w:t>provided that “nothing in this section shall be construed as preventing the accession of Indian States to either of the new Dominions”</w:t>
      </w:r>
      <w:r w:rsidR="004B1EE6">
        <w:t>.</w:t>
      </w:r>
    </w:p>
    <w:p w14:paraId="6AC25AC7" w14:textId="77777777" w:rsidR="004B1EE6" w:rsidRDefault="004B1EE6" w:rsidP="00B83817">
      <w:pPr>
        <w:numPr>
          <w:ilvl w:val="0"/>
          <w:numId w:val="2"/>
        </w:numPr>
        <w:autoSpaceDE w:val="0"/>
        <w:spacing w:before="240" w:after="240"/>
        <w:jc w:val="both"/>
      </w:pPr>
      <w:r>
        <w:t>Section</w:t>
      </w:r>
      <w:r w:rsidR="00CF741E">
        <w:t>s</w:t>
      </w:r>
      <w:r>
        <w:t xml:space="preserve"> </w:t>
      </w:r>
      <w:r w:rsidR="00CF741E">
        <w:t xml:space="preserve">6 </w:t>
      </w:r>
      <w:r w:rsidR="00997171">
        <w:t>to 8</w:t>
      </w:r>
      <w:r>
        <w:t xml:space="preserve"> provide</w:t>
      </w:r>
      <w:r w:rsidR="00CF741E">
        <w:t>d</w:t>
      </w:r>
      <w:r>
        <w:t xml:space="preserve"> for the consequences of </w:t>
      </w:r>
      <w:r w:rsidR="00CF741E">
        <w:t xml:space="preserve">independence. Section 6 stated the competence of </w:t>
      </w:r>
      <w:r w:rsidR="00571D12">
        <w:t xml:space="preserve">the </w:t>
      </w:r>
      <w:r w:rsidR="00AF47C8">
        <w:t>L</w:t>
      </w:r>
      <w:r w:rsidR="00571D12">
        <w:t xml:space="preserve">egislature of each of the new Dominions to have “full power to make laws for that Dominion, including laws having extra-territorial </w:t>
      </w:r>
      <w:r w:rsidR="006D1314">
        <w:t>operation”</w:t>
      </w:r>
      <w:r w:rsidR="006D1314">
        <w:rPr>
          <w:rStyle w:val="FootnoteReference"/>
        </w:rPr>
        <w:footnoteReference w:id="54"/>
      </w:r>
      <w:r w:rsidR="006D1314">
        <w:t xml:space="preserve"> and made clear that these legislatures </w:t>
      </w:r>
      <w:r w:rsidR="00D82046">
        <w:t>could enact legislation “repugnant to the law of England</w:t>
      </w:r>
      <w:r w:rsidR="00945DD5">
        <w:t>, or to the provisions of this or any existing or future Act of Parliament of the United Kingdom</w:t>
      </w:r>
      <w:r w:rsidR="00AF47C8">
        <w:t xml:space="preserve">, or to any order, rule or regulation made under any such Act, and the powers of the Legislature </w:t>
      </w:r>
      <w:r w:rsidR="00823370">
        <w:t xml:space="preserve">of each Dominion includes the power to repeal or amend any such Act, order, rule or regulation in so far as it is part </w:t>
      </w:r>
      <w:r w:rsidR="00524F5D">
        <w:t>of the law of the Dominion.”</w:t>
      </w:r>
    </w:p>
    <w:p w14:paraId="3D2186E5" w14:textId="77777777" w:rsidR="00524F5D" w:rsidRDefault="00524F5D" w:rsidP="00B83817">
      <w:pPr>
        <w:numPr>
          <w:ilvl w:val="0"/>
          <w:numId w:val="2"/>
        </w:numPr>
        <w:autoSpaceDE w:val="0"/>
        <w:spacing w:before="240" w:after="240"/>
        <w:jc w:val="both"/>
      </w:pPr>
      <w:r>
        <w:t>Section 7 provided as follows:</w:t>
      </w:r>
    </w:p>
    <w:p w14:paraId="4A40C9AB" w14:textId="77777777" w:rsidR="00524F5D" w:rsidRDefault="00547A86" w:rsidP="00670880">
      <w:pPr>
        <w:autoSpaceDE w:val="0"/>
        <w:spacing w:before="240" w:after="240"/>
        <w:ind w:left="1287" w:hanging="720"/>
        <w:jc w:val="both"/>
        <w:rPr>
          <w:sz w:val="22"/>
          <w:szCs w:val="22"/>
        </w:rPr>
      </w:pPr>
      <w:r>
        <w:rPr>
          <w:sz w:val="22"/>
          <w:szCs w:val="22"/>
        </w:rPr>
        <w:t>“</w:t>
      </w:r>
      <w:r w:rsidR="00670880">
        <w:rPr>
          <w:sz w:val="22"/>
          <w:szCs w:val="22"/>
        </w:rPr>
        <w:t>(1)</w:t>
      </w:r>
      <w:r w:rsidR="00670880">
        <w:rPr>
          <w:sz w:val="22"/>
          <w:szCs w:val="22"/>
        </w:rPr>
        <w:tab/>
        <w:t xml:space="preserve">As from the appointed day – </w:t>
      </w:r>
    </w:p>
    <w:p w14:paraId="32859417" w14:textId="77777777" w:rsidR="00670880" w:rsidRDefault="00670880" w:rsidP="00670880">
      <w:pPr>
        <w:autoSpaceDE w:val="0"/>
        <w:spacing w:before="240" w:after="240"/>
        <w:ind w:left="2007" w:hanging="720"/>
        <w:jc w:val="both"/>
        <w:rPr>
          <w:sz w:val="22"/>
          <w:szCs w:val="22"/>
        </w:rPr>
      </w:pPr>
      <w:r>
        <w:rPr>
          <w:sz w:val="22"/>
          <w:szCs w:val="22"/>
        </w:rPr>
        <w:t>(a)</w:t>
      </w:r>
      <w:r>
        <w:rPr>
          <w:sz w:val="22"/>
          <w:szCs w:val="22"/>
        </w:rPr>
        <w:tab/>
      </w:r>
      <w:r w:rsidR="00290447">
        <w:rPr>
          <w:sz w:val="22"/>
          <w:szCs w:val="22"/>
        </w:rPr>
        <w:t xml:space="preserve">His Majesty’s Government in the United Kingdom have no responsibility as respects </w:t>
      </w:r>
      <w:r w:rsidR="002165DF">
        <w:rPr>
          <w:sz w:val="22"/>
          <w:szCs w:val="22"/>
        </w:rPr>
        <w:t>the government of any of the territories which, immediately before that day, were included in British India;</w:t>
      </w:r>
    </w:p>
    <w:p w14:paraId="498F1092" w14:textId="77777777" w:rsidR="002165DF" w:rsidRDefault="002165DF" w:rsidP="00670880">
      <w:pPr>
        <w:autoSpaceDE w:val="0"/>
        <w:spacing w:before="240" w:after="240"/>
        <w:ind w:left="2007" w:hanging="720"/>
        <w:jc w:val="both"/>
        <w:rPr>
          <w:sz w:val="22"/>
          <w:szCs w:val="22"/>
        </w:rPr>
      </w:pPr>
      <w:r>
        <w:rPr>
          <w:sz w:val="22"/>
          <w:szCs w:val="22"/>
        </w:rPr>
        <w:t>(b)</w:t>
      </w:r>
      <w:r>
        <w:rPr>
          <w:sz w:val="22"/>
          <w:szCs w:val="22"/>
        </w:rPr>
        <w:tab/>
        <w:t>the suzerainty</w:t>
      </w:r>
      <w:r w:rsidR="00D60979">
        <w:rPr>
          <w:sz w:val="22"/>
          <w:szCs w:val="22"/>
        </w:rPr>
        <w:t xml:space="preserve"> of His Majesty over the Indian States </w:t>
      </w:r>
      <w:r w:rsidR="00D95956">
        <w:rPr>
          <w:sz w:val="22"/>
          <w:szCs w:val="22"/>
        </w:rPr>
        <w:t xml:space="preserve">lapses, and with it all treaties and agreements in force at the date of the passing of this Act between His Majesty </w:t>
      </w:r>
      <w:r w:rsidR="0087775E">
        <w:rPr>
          <w:sz w:val="22"/>
          <w:szCs w:val="22"/>
        </w:rPr>
        <w:t>and the rulers of Indian States, all functions</w:t>
      </w:r>
      <w:r w:rsidR="004F1DB2">
        <w:rPr>
          <w:sz w:val="22"/>
          <w:szCs w:val="22"/>
        </w:rPr>
        <w:t xml:space="preserve"> exercisable by His Majesty at that date with respect to Indian States</w:t>
      </w:r>
      <w:r w:rsidR="00E971AA">
        <w:rPr>
          <w:sz w:val="22"/>
          <w:szCs w:val="22"/>
        </w:rPr>
        <w:t>, all obligations of His Majesty existing at that date towards Indian States or the rulers thereof</w:t>
      </w:r>
      <w:r w:rsidR="008677B9">
        <w:rPr>
          <w:sz w:val="22"/>
          <w:szCs w:val="22"/>
        </w:rPr>
        <w:t>, and all powers, rights, authority or jurisdiction exercisable by His Majesty</w:t>
      </w:r>
      <w:r w:rsidR="00E80910" w:rsidRPr="00E80910">
        <w:rPr>
          <w:sz w:val="22"/>
          <w:szCs w:val="22"/>
        </w:rPr>
        <w:t xml:space="preserve"> at that date in or in relation to Indian States</w:t>
      </w:r>
      <w:r w:rsidR="008677B9">
        <w:rPr>
          <w:sz w:val="22"/>
          <w:szCs w:val="22"/>
        </w:rPr>
        <w:t xml:space="preserve"> by treaty, grant, </w:t>
      </w:r>
      <w:r w:rsidR="008677B9" w:rsidRPr="00751778">
        <w:rPr>
          <w:sz w:val="22"/>
          <w:szCs w:val="22"/>
        </w:rPr>
        <w:t>usage</w:t>
      </w:r>
      <w:r w:rsidR="00B8018B" w:rsidRPr="00751778">
        <w:rPr>
          <w:sz w:val="22"/>
          <w:szCs w:val="22"/>
        </w:rPr>
        <w:t>, suff</w:t>
      </w:r>
      <w:r w:rsidR="008E61F3" w:rsidRPr="00751778">
        <w:rPr>
          <w:sz w:val="22"/>
          <w:szCs w:val="22"/>
        </w:rPr>
        <w:t>e</w:t>
      </w:r>
      <w:r w:rsidR="00B8018B" w:rsidRPr="00751778">
        <w:rPr>
          <w:sz w:val="22"/>
          <w:szCs w:val="22"/>
        </w:rPr>
        <w:t>rance or otherwise</w:t>
      </w:r>
      <w:r w:rsidR="00B8018B">
        <w:rPr>
          <w:sz w:val="22"/>
          <w:szCs w:val="22"/>
        </w:rPr>
        <w:t>; and</w:t>
      </w:r>
    </w:p>
    <w:p w14:paraId="107B7F31" w14:textId="77777777" w:rsidR="00B8018B" w:rsidRDefault="00596965" w:rsidP="00670880">
      <w:pPr>
        <w:autoSpaceDE w:val="0"/>
        <w:spacing w:before="240" w:after="240"/>
        <w:ind w:left="2007" w:hanging="720"/>
        <w:jc w:val="both"/>
        <w:rPr>
          <w:sz w:val="22"/>
          <w:szCs w:val="22"/>
        </w:rPr>
      </w:pPr>
      <w:r>
        <w:rPr>
          <w:sz w:val="22"/>
          <w:szCs w:val="22"/>
        </w:rPr>
        <w:t>(c)</w:t>
      </w:r>
      <w:r>
        <w:rPr>
          <w:sz w:val="22"/>
          <w:szCs w:val="22"/>
        </w:rPr>
        <w:tab/>
      </w:r>
      <w:r w:rsidR="00062B5C">
        <w:rPr>
          <w:sz w:val="22"/>
          <w:szCs w:val="22"/>
        </w:rPr>
        <w:t xml:space="preserve">there lapse also any treaties or agreements in force at the </w:t>
      </w:r>
      <w:r w:rsidR="008F4ECE">
        <w:rPr>
          <w:sz w:val="22"/>
          <w:szCs w:val="22"/>
        </w:rPr>
        <w:t>date of the passing of this Act between His Majesty and any persons having authority in the tribal areas</w:t>
      </w:r>
      <w:r w:rsidR="009243E9">
        <w:rPr>
          <w:sz w:val="22"/>
          <w:szCs w:val="22"/>
        </w:rPr>
        <w:t xml:space="preserve">, any obligations of His Majesty existing at that date </w:t>
      </w:r>
      <w:r w:rsidR="003B7808">
        <w:rPr>
          <w:sz w:val="22"/>
          <w:szCs w:val="22"/>
        </w:rPr>
        <w:t>to any such persons or with respect to the tribal area</w:t>
      </w:r>
      <w:r w:rsidR="00BC7ADD">
        <w:rPr>
          <w:sz w:val="22"/>
          <w:szCs w:val="22"/>
        </w:rPr>
        <w:t>s, and all powers, rights, authority or jurisdiction</w:t>
      </w:r>
      <w:r w:rsidR="00415F24">
        <w:rPr>
          <w:sz w:val="22"/>
          <w:szCs w:val="22"/>
        </w:rPr>
        <w:t xml:space="preserve"> exercisable at that date </w:t>
      </w:r>
      <w:r w:rsidR="009243E9">
        <w:rPr>
          <w:sz w:val="22"/>
          <w:szCs w:val="22"/>
        </w:rPr>
        <w:t>by His Majesty</w:t>
      </w:r>
      <w:r w:rsidR="00846D63">
        <w:rPr>
          <w:sz w:val="22"/>
          <w:szCs w:val="22"/>
        </w:rPr>
        <w:t xml:space="preserve"> in or in relation to the tribal areas by treaty, grant, usage, sufferance or otherwise</w:t>
      </w:r>
      <w:r w:rsidR="00415F24">
        <w:rPr>
          <w:sz w:val="22"/>
          <w:szCs w:val="22"/>
        </w:rPr>
        <w:t>:</w:t>
      </w:r>
    </w:p>
    <w:p w14:paraId="6CCB3F95" w14:textId="77777777" w:rsidR="00415F24" w:rsidRDefault="00415F24" w:rsidP="00E92D8E">
      <w:pPr>
        <w:autoSpaceDE w:val="0"/>
        <w:spacing w:before="240" w:after="240"/>
        <w:ind w:left="1287"/>
        <w:jc w:val="both"/>
        <w:rPr>
          <w:sz w:val="22"/>
          <w:szCs w:val="22"/>
        </w:rPr>
      </w:pPr>
      <w:r>
        <w:rPr>
          <w:sz w:val="22"/>
          <w:szCs w:val="22"/>
        </w:rPr>
        <w:t>Provided that</w:t>
      </w:r>
      <w:r w:rsidR="00E92D8E">
        <w:rPr>
          <w:sz w:val="22"/>
          <w:szCs w:val="22"/>
        </w:rPr>
        <w:t>, notwithstanding anything in paragraph (b) or paragraph (c) of this subsection</w:t>
      </w:r>
      <w:r w:rsidR="00272337">
        <w:rPr>
          <w:sz w:val="22"/>
          <w:szCs w:val="22"/>
        </w:rPr>
        <w:t xml:space="preserve">, effect shall, as nearly as may be, continue to be given to the provisions of any such agreement as is therein </w:t>
      </w:r>
      <w:r w:rsidR="000A5F06">
        <w:rPr>
          <w:sz w:val="22"/>
          <w:szCs w:val="22"/>
        </w:rPr>
        <w:t>referred to which relate to customs, transit and communications, posts and telegraphs, or other like matters</w:t>
      </w:r>
      <w:r w:rsidR="00014A73">
        <w:rPr>
          <w:sz w:val="22"/>
          <w:szCs w:val="22"/>
        </w:rPr>
        <w:t xml:space="preserve">, until the provisions in question are denounced by the Ruler of the Indian State or person </w:t>
      </w:r>
      <w:r w:rsidR="00D034C0">
        <w:rPr>
          <w:sz w:val="22"/>
          <w:szCs w:val="22"/>
        </w:rPr>
        <w:t>having authority in the tribal areas on the one hand, or by the Dominion or Province or other part thereof concerned on the other hand</w:t>
      </w:r>
      <w:r w:rsidR="00A5603D">
        <w:rPr>
          <w:sz w:val="22"/>
          <w:szCs w:val="22"/>
        </w:rPr>
        <w:t>, or are superseded by subsequent agreement</w:t>
      </w:r>
      <w:r w:rsidR="00E80910">
        <w:rPr>
          <w:sz w:val="22"/>
          <w:szCs w:val="22"/>
        </w:rPr>
        <w:t>s</w:t>
      </w:r>
      <w:r w:rsidR="00A5603D">
        <w:rPr>
          <w:sz w:val="22"/>
          <w:szCs w:val="22"/>
        </w:rPr>
        <w:t>.</w:t>
      </w:r>
    </w:p>
    <w:p w14:paraId="4C532D97" w14:textId="77777777" w:rsidR="00A5603D" w:rsidRPr="00547A86" w:rsidRDefault="00A5603D" w:rsidP="00A5603D">
      <w:pPr>
        <w:autoSpaceDE w:val="0"/>
        <w:spacing w:before="240" w:after="240"/>
        <w:ind w:left="1287" w:hanging="720"/>
        <w:jc w:val="both"/>
        <w:rPr>
          <w:sz w:val="22"/>
          <w:szCs w:val="22"/>
        </w:rPr>
      </w:pPr>
      <w:r>
        <w:rPr>
          <w:sz w:val="22"/>
          <w:szCs w:val="22"/>
        </w:rPr>
        <w:lastRenderedPageBreak/>
        <w:t>(2)</w:t>
      </w:r>
      <w:r>
        <w:rPr>
          <w:sz w:val="22"/>
          <w:szCs w:val="22"/>
        </w:rPr>
        <w:tab/>
        <w:t xml:space="preserve">The assent of the Parliament of the United Kingdom </w:t>
      </w:r>
      <w:r w:rsidR="00F33B0C">
        <w:rPr>
          <w:sz w:val="22"/>
          <w:szCs w:val="22"/>
        </w:rPr>
        <w:t>is hereby given to the omission from the Royal Style and Titles of the words “Indiae Imperator” and the words “Emperor of India</w:t>
      </w:r>
      <w:r w:rsidR="00F01890">
        <w:rPr>
          <w:sz w:val="22"/>
          <w:szCs w:val="22"/>
        </w:rPr>
        <w:t>” and to the issue by His Majesty for that purpose of His Royal Proclamation under the Great Seal of the Realm.”</w:t>
      </w:r>
    </w:p>
    <w:p w14:paraId="2E08DA71" w14:textId="77777777" w:rsidR="00F01890" w:rsidRDefault="00F01890" w:rsidP="00B83817">
      <w:pPr>
        <w:numPr>
          <w:ilvl w:val="0"/>
          <w:numId w:val="2"/>
        </w:numPr>
        <w:autoSpaceDE w:val="0"/>
        <w:spacing w:before="240" w:after="240"/>
        <w:jc w:val="both"/>
      </w:pPr>
      <w:r>
        <w:t xml:space="preserve">Section 8 </w:t>
      </w:r>
      <w:r w:rsidR="003C4953">
        <w:t>made temporary provision as to the government of each of the new Dominions.</w:t>
      </w:r>
    </w:p>
    <w:p w14:paraId="24B0D9B3" w14:textId="77777777" w:rsidR="00421548" w:rsidRPr="00054CCD" w:rsidRDefault="00054CCD" w:rsidP="00B16B78">
      <w:pPr>
        <w:keepNext/>
        <w:tabs>
          <w:tab w:val="left" w:pos="567"/>
        </w:tabs>
        <w:autoSpaceDE w:val="0"/>
        <w:spacing w:before="240" w:after="240"/>
        <w:jc w:val="both"/>
        <w:rPr>
          <w:b/>
          <w:bCs/>
        </w:rPr>
      </w:pPr>
      <w:r>
        <w:rPr>
          <w:b/>
          <w:bCs/>
        </w:rPr>
        <w:t>(2)</w:t>
      </w:r>
      <w:r>
        <w:rPr>
          <w:b/>
          <w:bCs/>
        </w:rPr>
        <w:tab/>
        <w:t>The position of Hyderabad</w:t>
      </w:r>
      <w:r w:rsidR="002423C1">
        <w:rPr>
          <w:b/>
          <w:bCs/>
        </w:rPr>
        <w:t xml:space="preserve"> in 1948</w:t>
      </w:r>
    </w:p>
    <w:p w14:paraId="2F9C67CB" w14:textId="77777777" w:rsidR="008C6CB4" w:rsidRPr="008C6CB4" w:rsidRDefault="008C6CB4" w:rsidP="00B16B78">
      <w:pPr>
        <w:keepNext/>
        <w:tabs>
          <w:tab w:val="left" w:pos="567"/>
        </w:tabs>
        <w:autoSpaceDE w:val="0"/>
        <w:spacing w:before="240" w:after="240"/>
        <w:jc w:val="both"/>
        <w:rPr>
          <w:b/>
          <w:bCs/>
          <w:i/>
          <w:iCs/>
        </w:rPr>
      </w:pPr>
      <w:r>
        <w:rPr>
          <w:b/>
          <w:bCs/>
          <w:i/>
          <w:iCs/>
        </w:rPr>
        <w:t>(a)</w:t>
      </w:r>
      <w:r>
        <w:rPr>
          <w:b/>
          <w:bCs/>
          <w:i/>
          <w:iCs/>
        </w:rPr>
        <w:tab/>
        <w:t>Geography and religion</w:t>
      </w:r>
    </w:p>
    <w:p w14:paraId="1E46A054" w14:textId="77777777" w:rsidR="008C6CB4" w:rsidRDefault="00A071E2" w:rsidP="00DF113D">
      <w:pPr>
        <w:numPr>
          <w:ilvl w:val="0"/>
          <w:numId w:val="2"/>
        </w:numPr>
        <w:autoSpaceDE w:val="0"/>
        <w:spacing w:before="240" w:after="240"/>
        <w:jc w:val="both"/>
      </w:pPr>
      <w:r>
        <w:t xml:space="preserve">It is important to bear in mind the geography of Hyderabad. A map is </w:t>
      </w:r>
      <w:r w:rsidR="0026668B">
        <w:t xml:space="preserve">at Annex 2 of this Judgment, which </w:t>
      </w:r>
      <w:r w:rsidR="007F0ED4">
        <w:t>I</w:t>
      </w:r>
      <w:r w:rsidR="0026668B">
        <w:t xml:space="preserve"> use purely </w:t>
      </w:r>
      <w:r w:rsidR="009B2AEE">
        <w:t>to illustrate the geography</w:t>
      </w:r>
      <w:r w:rsidR="0026668B">
        <w:t xml:space="preserve">. </w:t>
      </w:r>
      <w:r w:rsidR="004D7EF6">
        <w:t xml:space="preserve">As can be seen, Hyderabad is landlocked within India, and </w:t>
      </w:r>
      <w:r w:rsidR="009B2AEE">
        <w:t xml:space="preserve">is </w:t>
      </w:r>
      <w:r w:rsidR="009E46DE">
        <w:t xml:space="preserve">geographically </w:t>
      </w:r>
      <w:r w:rsidR="004D7EF6">
        <w:t xml:space="preserve">very far from </w:t>
      </w:r>
      <w:r w:rsidR="00F6360C">
        <w:t>Pakistan.</w:t>
      </w:r>
      <w:r w:rsidR="00DF113D">
        <w:t xml:space="preserve"> I</w:t>
      </w:r>
      <w:r w:rsidR="008C6CB4">
        <w:t xml:space="preserve">n terms </w:t>
      </w:r>
      <w:r w:rsidR="008D15BD" w:rsidRPr="00107517">
        <w:t>of</w:t>
      </w:r>
      <w:r w:rsidR="008D15BD">
        <w:t xml:space="preserve"> </w:t>
      </w:r>
      <w:r w:rsidR="00FF560B">
        <w:t>religion</w:t>
      </w:r>
      <w:r w:rsidR="0080716C">
        <w:t xml:space="preserve">, the bulk of </w:t>
      </w:r>
      <w:r w:rsidR="00C0016E">
        <w:t xml:space="preserve">Hyderabad’s </w:t>
      </w:r>
      <w:r w:rsidR="00C45D23">
        <w:t>17.5 million people (at that time) were Hindus</w:t>
      </w:r>
      <w:r w:rsidR="002C17FF">
        <w:t xml:space="preserve">, as was the bulk of </w:t>
      </w:r>
      <w:r w:rsidR="00A97DCF">
        <w:t>the Indian population</w:t>
      </w:r>
      <w:r w:rsidR="002C17FF">
        <w:t xml:space="preserve">. Nizam VII, by contrast, </w:t>
      </w:r>
      <w:r w:rsidR="00BA5AC6">
        <w:t>was (like</w:t>
      </w:r>
      <w:r w:rsidR="00A97DCF">
        <w:t xml:space="preserve"> the </w:t>
      </w:r>
      <w:r w:rsidR="00BA24BE">
        <w:t xml:space="preserve">bulk of Pakistan’s population) a </w:t>
      </w:r>
      <w:r w:rsidR="00BA5AC6">
        <w:t>Muslim</w:t>
      </w:r>
      <w:r w:rsidR="00BA24BE">
        <w:t>.</w:t>
      </w:r>
      <w:r w:rsidR="00DF113D">
        <w:rPr>
          <w:rStyle w:val="FootnoteReference"/>
        </w:rPr>
        <w:footnoteReference w:id="55"/>
      </w:r>
      <w:r w:rsidR="00BA24BE">
        <w:t xml:space="preserve"> </w:t>
      </w:r>
    </w:p>
    <w:p w14:paraId="1681783B" w14:textId="77777777" w:rsidR="00BA24BE" w:rsidRPr="00BA24BE" w:rsidRDefault="00BA24BE" w:rsidP="00F82F21">
      <w:pPr>
        <w:keepNext/>
        <w:tabs>
          <w:tab w:val="left" w:pos="567"/>
        </w:tabs>
        <w:autoSpaceDE w:val="0"/>
        <w:spacing w:before="240" w:after="240"/>
        <w:jc w:val="both"/>
        <w:rPr>
          <w:b/>
          <w:bCs/>
          <w:i/>
          <w:iCs/>
        </w:rPr>
      </w:pPr>
      <w:r>
        <w:rPr>
          <w:b/>
          <w:bCs/>
          <w:i/>
          <w:iCs/>
        </w:rPr>
        <w:t>(b)</w:t>
      </w:r>
      <w:r>
        <w:rPr>
          <w:b/>
          <w:bCs/>
          <w:i/>
          <w:iCs/>
        </w:rPr>
        <w:tab/>
      </w:r>
      <w:r w:rsidR="00655BCF">
        <w:rPr>
          <w:b/>
          <w:bCs/>
          <w:i/>
          <w:iCs/>
        </w:rPr>
        <w:t>Approach of the United Kingdom</w:t>
      </w:r>
    </w:p>
    <w:p w14:paraId="7FEE2E5F" w14:textId="77777777" w:rsidR="00033A05" w:rsidRDefault="00694A1B" w:rsidP="00AC550E">
      <w:pPr>
        <w:numPr>
          <w:ilvl w:val="0"/>
          <w:numId w:val="2"/>
        </w:numPr>
        <w:autoSpaceDE w:val="0"/>
        <w:spacing w:before="240" w:after="240"/>
        <w:jc w:val="both"/>
      </w:pPr>
      <w:r>
        <w:t xml:space="preserve">The </w:t>
      </w:r>
      <w:r w:rsidR="00C22F21">
        <w:t>Indian Independence Act 1947 sought to ensure that arrangement</w:t>
      </w:r>
      <w:r w:rsidR="009E46DE">
        <w:t>s</w:t>
      </w:r>
      <w:r w:rsidR="00C22F21">
        <w:t xml:space="preserve"> prior to the appointed day</w:t>
      </w:r>
      <w:r w:rsidR="00E44B13">
        <w:t xml:space="preserve"> with regard to transit, communications, etc continued after the appointed day</w:t>
      </w:r>
      <w:r w:rsidR="00E675C1">
        <w:t>,</w:t>
      </w:r>
      <w:r w:rsidR="00E44B13">
        <w:rPr>
          <w:rStyle w:val="FootnoteReference"/>
        </w:rPr>
        <w:footnoteReference w:id="56"/>
      </w:r>
      <w:r w:rsidR="00E675C1">
        <w:t xml:space="preserve"> but that the </w:t>
      </w:r>
      <w:r w:rsidR="00B14C28">
        <w:t>princely states/</w:t>
      </w:r>
      <w:r w:rsidR="00E675C1">
        <w:t>Indian States would be free</w:t>
      </w:r>
      <w:r w:rsidR="00BA2348">
        <w:t xml:space="preserve"> to accede to either of the new Dominions if they </w:t>
      </w:r>
      <w:r w:rsidR="009E46DE">
        <w:t xml:space="preserve">so </w:t>
      </w:r>
      <w:r w:rsidR="00BA2348">
        <w:t>chose.</w:t>
      </w:r>
      <w:r w:rsidR="00BA2348">
        <w:rPr>
          <w:rStyle w:val="FootnoteReference"/>
        </w:rPr>
        <w:footnoteReference w:id="57"/>
      </w:r>
      <w:r w:rsidR="009E46DE">
        <w:t xml:space="preserve"> This </w:t>
      </w:r>
      <w:r w:rsidR="00FD6D2F">
        <w:t>freedom of choice was a theme throughout the debates</w:t>
      </w:r>
      <w:r w:rsidR="0097530F">
        <w:t xml:space="preserve"> in the House of Commons</w:t>
      </w:r>
      <w:r w:rsidR="00FD6D2F">
        <w:t xml:space="preserve"> of </w:t>
      </w:r>
      <w:r w:rsidR="00A8417B">
        <w:t>what was then the Indian Independence Bill</w:t>
      </w:r>
      <w:r w:rsidR="001168DF">
        <w:t xml:space="preserve">. However, there was </w:t>
      </w:r>
      <w:r w:rsidR="001F4DE7">
        <w:t xml:space="preserve">an equally telling measure of appreciating the realities of the situation. </w:t>
      </w:r>
      <w:r w:rsidR="00922E56">
        <w:t>During the second reading of the Indian Independence Bill</w:t>
      </w:r>
      <w:r w:rsidR="002B597B">
        <w:t xml:space="preserve"> on 10 July 1947</w:t>
      </w:r>
      <w:r w:rsidR="00922E56">
        <w:t>, the Prime Minister, Mr Attlee</w:t>
      </w:r>
      <w:r w:rsidR="002B597B">
        <w:t xml:space="preserve"> said this:</w:t>
      </w:r>
    </w:p>
    <w:p w14:paraId="6F75E287" w14:textId="77777777" w:rsidR="00C27A40" w:rsidRDefault="00C27A40" w:rsidP="00C27A40">
      <w:pPr>
        <w:autoSpaceDE w:val="0"/>
        <w:spacing w:before="240" w:after="240"/>
        <w:ind w:left="567"/>
        <w:jc w:val="both"/>
        <w:rPr>
          <w:sz w:val="22"/>
          <w:szCs w:val="22"/>
        </w:rPr>
      </w:pPr>
      <w:r>
        <w:rPr>
          <w:sz w:val="22"/>
          <w:szCs w:val="22"/>
        </w:rPr>
        <w:t>“</w:t>
      </w:r>
      <w:r w:rsidR="00631FC7">
        <w:rPr>
          <w:sz w:val="22"/>
          <w:szCs w:val="22"/>
        </w:rPr>
        <w:t>…The House will remember that the Cabinet Mission, in their memorandum of 12 May 1946</w:t>
      </w:r>
      <w:r w:rsidR="00BC0588">
        <w:rPr>
          <w:sz w:val="22"/>
          <w:szCs w:val="22"/>
        </w:rPr>
        <w:t xml:space="preserve">, informed the States that His Majesty’s Government could not, and will not in any circumstances, </w:t>
      </w:r>
      <w:r w:rsidR="00B61F43">
        <w:rPr>
          <w:sz w:val="22"/>
          <w:szCs w:val="22"/>
        </w:rPr>
        <w:t xml:space="preserve">transfer paramountcy </w:t>
      </w:r>
      <w:r w:rsidR="00117533">
        <w:rPr>
          <w:sz w:val="22"/>
          <w:szCs w:val="22"/>
        </w:rPr>
        <w:t>to an Indian Government. With the transfer of power to two Indian Dominions</w:t>
      </w:r>
      <w:r w:rsidR="00CF497C">
        <w:rPr>
          <w:sz w:val="22"/>
          <w:szCs w:val="22"/>
        </w:rPr>
        <w:t xml:space="preserve">, it is necessary to terminate the paramountcy and suzerainty </w:t>
      </w:r>
      <w:r w:rsidR="00282F21">
        <w:rPr>
          <w:sz w:val="22"/>
          <w:szCs w:val="22"/>
        </w:rPr>
        <w:t>of the Crown over the Indian States, and, with them, the political engagements concluded under paramountcy</w:t>
      </w:r>
      <w:r w:rsidR="00703F13">
        <w:rPr>
          <w:sz w:val="22"/>
          <w:szCs w:val="22"/>
        </w:rPr>
        <w:t xml:space="preserve"> and the mutual rights and obligations of the Crown and the States which derive therefrom. The reason for this</w:t>
      </w:r>
      <w:r w:rsidR="00530B68">
        <w:rPr>
          <w:sz w:val="22"/>
          <w:szCs w:val="22"/>
        </w:rPr>
        <w:t xml:space="preserve"> is that they all depended for their implementation on our part, on the continuance of the responsibility of </w:t>
      </w:r>
      <w:r w:rsidR="005931BA">
        <w:rPr>
          <w:sz w:val="22"/>
          <w:szCs w:val="22"/>
        </w:rPr>
        <w:t>Great Britain for the Government of India; and with the transfer of power to two Dominion Governments</w:t>
      </w:r>
      <w:r w:rsidR="00D31006">
        <w:rPr>
          <w:sz w:val="22"/>
          <w:szCs w:val="22"/>
        </w:rPr>
        <w:t>, it would be impossible for the British Government</w:t>
      </w:r>
      <w:r w:rsidR="00301019">
        <w:rPr>
          <w:sz w:val="22"/>
          <w:szCs w:val="22"/>
        </w:rPr>
        <w:t xml:space="preserve"> to carry out these obligations. An important element of those rights and obligations </w:t>
      </w:r>
      <w:r w:rsidR="004436C8">
        <w:rPr>
          <w:sz w:val="22"/>
          <w:szCs w:val="22"/>
        </w:rPr>
        <w:t xml:space="preserve">concerns the protection of the States against external aggression or internal subversive </w:t>
      </w:r>
      <w:r w:rsidR="00F665EB">
        <w:rPr>
          <w:sz w:val="22"/>
          <w:szCs w:val="22"/>
        </w:rPr>
        <w:t>movement, and the methods whereby the paramount Power h</w:t>
      </w:r>
      <w:r w:rsidR="009D755B">
        <w:rPr>
          <w:sz w:val="22"/>
          <w:szCs w:val="22"/>
        </w:rPr>
        <w:t>a</w:t>
      </w:r>
      <w:r w:rsidR="00F665EB">
        <w:rPr>
          <w:sz w:val="22"/>
          <w:szCs w:val="22"/>
        </w:rPr>
        <w:t xml:space="preserve">s in the past influenced the policy of the States </w:t>
      </w:r>
      <w:r w:rsidR="00BD066F">
        <w:rPr>
          <w:sz w:val="22"/>
          <w:szCs w:val="22"/>
        </w:rPr>
        <w:t xml:space="preserve">so as to enable it and them to fulfil such undertakings. A feature running through all our relations with the States </w:t>
      </w:r>
      <w:r w:rsidR="005A172B">
        <w:rPr>
          <w:sz w:val="22"/>
          <w:szCs w:val="22"/>
        </w:rPr>
        <w:t xml:space="preserve">has been that the Crown has conducted their foreign relations. They have received no international recognition </w:t>
      </w:r>
      <w:r w:rsidR="00A46CB5">
        <w:rPr>
          <w:sz w:val="22"/>
          <w:szCs w:val="22"/>
        </w:rPr>
        <w:t>independent of India as a whole.</w:t>
      </w:r>
    </w:p>
    <w:p w14:paraId="1880442A" w14:textId="77777777" w:rsidR="00A46CB5" w:rsidRPr="00C27A40" w:rsidRDefault="00A46CB5" w:rsidP="00C27A40">
      <w:pPr>
        <w:autoSpaceDE w:val="0"/>
        <w:spacing w:before="240" w:after="240"/>
        <w:ind w:left="567"/>
        <w:jc w:val="both"/>
        <w:rPr>
          <w:sz w:val="22"/>
          <w:szCs w:val="22"/>
        </w:rPr>
      </w:pPr>
      <w:r>
        <w:rPr>
          <w:sz w:val="22"/>
          <w:szCs w:val="22"/>
        </w:rPr>
        <w:lastRenderedPageBreak/>
        <w:t xml:space="preserve">With the ending of the treaties and agreements, the States regain their independence. </w:t>
      </w:r>
      <w:r w:rsidR="00353728">
        <w:rPr>
          <w:sz w:val="22"/>
          <w:szCs w:val="22"/>
        </w:rPr>
        <w:t xml:space="preserve">But they are part of geographical India, and their rulers and peoples </w:t>
      </w:r>
      <w:r w:rsidR="00D90664">
        <w:rPr>
          <w:sz w:val="22"/>
          <w:szCs w:val="22"/>
        </w:rPr>
        <w:t xml:space="preserve">are imbued with a patriotism no less great than that of their fellow Indians in British India. It would, I think, </w:t>
      </w:r>
      <w:r w:rsidR="00F00440">
        <w:rPr>
          <w:sz w:val="22"/>
          <w:szCs w:val="22"/>
        </w:rPr>
        <w:t xml:space="preserve">be unfortunate if, owing to the </w:t>
      </w:r>
      <w:r w:rsidR="00F00440" w:rsidRPr="00751778">
        <w:rPr>
          <w:sz w:val="22"/>
          <w:szCs w:val="22"/>
        </w:rPr>
        <w:t>formal severance of their</w:t>
      </w:r>
      <w:r w:rsidR="00F00440">
        <w:rPr>
          <w:sz w:val="22"/>
          <w:szCs w:val="22"/>
        </w:rPr>
        <w:t xml:space="preserve"> paramountcy relations with the Crown, they were to become islands</w:t>
      </w:r>
      <w:r w:rsidR="005D3158">
        <w:rPr>
          <w:sz w:val="22"/>
          <w:szCs w:val="22"/>
        </w:rPr>
        <w:t xml:space="preserve"> cut off from the rest of India. The termination of their existing relationship with the Crown need have no such consequence. </w:t>
      </w:r>
      <w:r w:rsidR="0001134F">
        <w:rPr>
          <w:sz w:val="22"/>
          <w:szCs w:val="22"/>
        </w:rPr>
        <w:t>In fact, already a large number of the States have declared their willingness to enter into relations</w:t>
      </w:r>
      <w:r w:rsidR="00833571">
        <w:rPr>
          <w:sz w:val="22"/>
          <w:szCs w:val="22"/>
        </w:rPr>
        <w:t>hips with the new Dominions, and some have been represented in the Constituent Assembly of India</w:t>
      </w:r>
      <w:r w:rsidR="00CD5870">
        <w:rPr>
          <w:sz w:val="22"/>
          <w:szCs w:val="22"/>
        </w:rPr>
        <w:t xml:space="preserve">. It is the hope of His Majesty’s Government that all States will, in due course, find their appropriate place </w:t>
      </w:r>
      <w:r w:rsidR="00616487">
        <w:rPr>
          <w:sz w:val="22"/>
          <w:szCs w:val="22"/>
        </w:rPr>
        <w:t>within one or other of the new Dominions within the British Commonwealth</w:t>
      </w:r>
      <w:r w:rsidR="000F13BA">
        <w:rPr>
          <w:sz w:val="22"/>
          <w:szCs w:val="22"/>
        </w:rPr>
        <w:t>, but until the constitutions of the Dominions have been framed in such a way as to include the States as willing partners</w:t>
      </w:r>
      <w:r w:rsidR="002C2B2A">
        <w:rPr>
          <w:sz w:val="22"/>
          <w:szCs w:val="22"/>
        </w:rPr>
        <w:t>, there must necessarily be a less organic form of relationship between them, and there must be a period before a comprehensive system can be worked out.</w:t>
      </w:r>
      <w:r w:rsidR="00F624D5">
        <w:rPr>
          <w:sz w:val="22"/>
          <w:szCs w:val="22"/>
        </w:rPr>
        <w:t>”</w:t>
      </w:r>
    </w:p>
    <w:p w14:paraId="0BC3C120" w14:textId="77777777" w:rsidR="00F624D5" w:rsidRDefault="00F624D5" w:rsidP="00AC550E">
      <w:pPr>
        <w:numPr>
          <w:ilvl w:val="0"/>
          <w:numId w:val="2"/>
        </w:numPr>
        <w:autoSpaceDE w:val="0"/>
        <w:spacing w:before="240" w:after="240"/>
        <w:jc w:val="both"/>
      </w:pPr>
      <w:r>
        <w:t xml:space="preserve">The position of His Majesty’s Government was thus clear: the Indian States </w:t>
      </w:r>
      <w:r w:rsidR="00F64D89">
        <w:t>would – with the passage of the Indian Independence Act – “regain their independence”</w:t>
      </w:r>
      <w:r w:rsidR="00EA27BE">
        <w:t xml:space="preserve"> (to quote the Prime Minister)</w:t>
      </w:r>
      <w:r w:rsidR="00786089">
        <w:t xml:space="preserve">, but it would be unfortunate </w:t>
      </w:r>
      <w:r w:rsidR="004073FB">
        <w:t xml:space="preserve">if such States were, as a result, </w:t>
      </w:r>
      <w:r w:rsidR="00C553A7">
        <w:t>“</w:t>
      </w:r>
      <w:r w:rsidR="004073FB">
        <w:t>to become islands cut off from the rest of India”</w:t>
      </w:r>
      <w:r w:rsidR="00C553A7">
        <w:t xml:space="preserve">. The Prime Minister was using “India” to refer to British India, but it is quite clear </w:t>
      </w:r>
      <w:r w:rsidR="004027FA">
        <w:t>that</w:t>
      </w:r>
      <w:r w:rsidR="00420E65">
        <w:t>,</w:t>
      </w:r>
      <w:r w:rsidR="004027FA">
        <w:t xml:space="preserve"> after partition</w:t>
      </w:r>
      <w:r w:rsidR="00420E65">
        <w:t>,</w:t>
      </w:r>
      <w:r w:rsidR="004027FA">
        <w:t xml:space="preserve"> Hyderabad would be an island floating in an </w:t>
      </w:r>
      <w:r w:rsidR="004027FA">
        <w:rPr>
          <w:u w:val="single"/>
        </w:rPr>
        <w:t>India</w:t>
      </w:r>
      <w:r w:rsidR="004027FA">
        <w:t xml:space="preserve"> and not a </w:t>
      </w:r>
      <w:r w:rsidR="004027FA">
        <w:rPr>
          <w:u w:val="single"/>
        </w:rPr>
        <w:t>Pakistan</w:t>
      </w:r>
      <w:r w:rsidR="004027FA">
        <w:t xml:space="preserve"> sea. </w:t>
      </w:r>
    </w:p>
    <w:p w14:paraId="6FD48F23" w14:textId="77777777" w:rsidR="00655BCF" w:rsidRPr="00655BCF" w:rsidRDefault="00655BCF" w:rsidP="002A4307">
      <w:pPr>
        <w:keepNext/>
        <w:tabs>
          <w:tab w:val="left" w:pos="567"/>
        </w:tabs>
        <w:autoSpaceDE w:val="0"/>
        <w:spacing w:before="240" w:after="240"/>
        <w:jc w:val="both"/>
        <w:rPr>
          <w:b/>
          <w:bCs/>
          <w:i/>
          <w:iCs/>
        </w:rPr>
      </w:pPr>
      <w:r>
        <w:rPr>
          <w:b/>
          <w:bCs/>
          <w:i/>
          <w:iCs/>
        </w:rPr>
        <w:t>(c)</w:t>
      </w:r>
      <w:r>
        <w:rPr>
          <w:b/>
          <w:bCs/>
          <w:i/>
          <w:iCs/>
        </w:rPr>
        <w:tab/>
      </w:r>
      <w:r w:rsidR="0069262E">
        <w:rPr>
          <w:b/>
          <w:bCs/>
          <w:i/>
          <w:iCs/>
        </w:rPr>
        <w:t>Approach of Nizam VII</w:t>
      </w:r>
    </w:p>
    <w:p w14:paraId="4884197E" w14:textId="77777777" w:rsidR="007237DB" w:rsidRDefault="006B4E34" w:rsidP="00AC550E">
      <w:pPr>
        <w:numPr>
          <w:ilvl w:val="0"/>
          <w:numId w:val="2"/>
        </w:numPr>
        <w:autoSpaceDE w:val="0"/>
        <w:spacing w:before="240" w:after="240"/>
        <w:jc w:val="both"/>
      </w:pPr>
      <w:r>
        <w:t>The then ruler of Hyderabad –</w:t>
      </w:r>
      <w:r w:rsidR="002A4307">
        <w:t xml:space="preserve"> </w:t>
      </w:r>
      <w:r>
        <w:t>Nizam</w:t>
      </w:r>
      <w:r w:rsidR="0009084E">
        <w:t xml:space="preserve"> VII</w:t>
      </w:r>
      <w:r>
        <w:t xml:space="preserve"> </w:t>
      </w:r>
      <w:r w:rsidR="00BB0168">
        <w:t>–</w:t>
      </w:r>
      <w:r>
        <w:t xml:space="preserve"> </w:t>
      </w:r>
      <w:r w:rsidR="00BB0168">
        <w:t>declared his intention to remain independent of India</w:t>
      </w:r>
      <w:r w:rsidR="00041716">
        <w:t xml:space="preserve"> and Pakistan</w:t>
      </w:r>
      <w:r w:rsidR="00BB0168">
        <w:t xml:space="preserve">, rather than becoming a part of </w:t>
      </w:r>
      <w:r w:rsidR="00041716">
        <w:t>either</w:t>
      </w:r>
      <w:r w:rsidR="00BB0168">
        <w:t>.</w:t>
      </w:r>
      <w:r w:rsidR="00F454FE">
        <w:t xml:space="preserve"> </w:t>
      </w:r>
      <w:r w:rsidR="0069262E">
        <w:t>I</w:t>
      </w:r>
      <w:r w:rsidR="00002119">
        <w:t>n a confidential note dated 28 July 1947 to Mr Jinnah</w:t>
      </w:r>
      <w:r w:rsidR="004A5FE2">
        <w:t xml:space="preserve"> – the </w:t>
      </w:r>
      <w:r w:rsidR="006D7CB1">
        <w:t>future President of the Constituent Assembly of Pakistan an</w:t>
      </w:r>
      <w:r w:rsidR="00F64AEF">
        <w:t xml:space="preserve">d Pakistan’s first Governor-General </w:t>
      </w:r>
      <w:r w:rsidR="00A56865">
        <w:t>–</w:t>
      </w:r>
      <w:r w:rsidR="00F64AEF">
        <w:t xml:space="preserve"> </w:t>
      </w:r>
      <w:r w:rsidR="00A56865">
        <w:t xml:space="preserve">it was stated that Nizam VII </w:t>
      </w:r>
      <w:r w:rsidR="00CF4D33">
        <w:t>“would of course much prefer to have close treaty relations with Pakistan</w:t>
      </w:r>
      <w:r w:rsidR="00121410">
        <w:t xml:space="preserve"> rather than with the Dominion of India.</w:t>
      </w:r>
      <w:r w:rsidR="008B6299">
        <w:t xml:space="preserve"> It is the land-locked position of Hyderabad in the belly of the most Hindu part of Hindustan which makes it inevitable </w:t>
      </w:r>
      <w:r w:rsidR="00CB64DB">
        <w:t>for His Exalted Highness with his vast Hindu population to make, if possible</w:t>
      </w:r>
      <w:r w:rsidR="006F1053">
        <w:t>, some friendly arrangement with Hindustan”.</w:t>
      </w:r>
      <w:r w:rsidR="006F1053">
        <w:rPr>
          <w:rStyle w:val="FootnoteReference"/>
        </w:rPr>
        <w:footnoteReference w:id="58"/>
      </w:r>
      <w:r w:rsidR="006F1053">
        <w:t xml:space="preserve"> </w:t>
      </w:r>
      <w:r w:rsidR="007B296A">
        <w:t xml:space="preserve">The note continued to say that Nizam VII “has definitely made up his mind </w:t>
      </w:r>
      <w:r w:rsidR="00926B30">
        <w:t xml:space="preserve">not to accede </w:t>
      </w:r>
      <w:r w:rsidR="00B47E37">
        <w:t>but he may be driven to closer unity by treaty in regard to External Affairs than he would have wished. But a treaty</w:t>
      </w:r>
      <w:r w:rsidR="00227FBE">
        <w:t>, as the British have shown, can be denounced”.</w:t>
      </w:r>
      <w:r w:rsidR="00227FBE">
        <w:rPr>
          <w:rStyle w:val="FootnoteReference"/>
        </w:rPr>
        <w:footnoteReference w:id="59"/>
      </w:r>
      <w:r w:rsidR="009B48B6">
        <w:t xml:space="preserve"> The note went on to ask </w:t>
      </w:r>
      <w:r w:rsidR="00AB3580">
        <w:t>what sort of assistance Mr Jinnah could provide to Hyderabad in terms of supplies of food</w:t>
      </w:r>
      <w:r w:rsidR="0047582F">
        <w:t>, salt, kerosene oil, arms, equipment and troops</w:t>
      </w:r>
      <w:r w:rsidR="004410A7">
        <w:t>.</w:t>
      </w:r>
      <w:r w:rsidR="004410A7">
        <w:rPr>
          <w:rStyle w:val="FootnoteReference"/>
        </w:rPr>
        <w:footnoteReference w:id="60"/>
      </w:r>
    </w:p>
    <w:p w14:paraId="0ED2C048" w14:textId="77777777" w:rsidR="007237DB" w:rsidRDefault="005F377E" w:rsidP="00AC550E">
      <w:pPr>
        <w:numPr>
          <w:ilvl w:val="0"/>
          <w:numId w:val="2"/>
        </w:numPr>
        <w:autoSpaceDE w:val="0"/>
        <w:spacing w:before="240" w:after="240"/>
        <w:jc w:val="both"/>
      </w:pPr>
      <w:r>
        <w:t>On 29 November 1947, Nizam VII</w:t>
      </w:r>
      <w:r w:rsidR="009E0E39">
        <w:t xml:space="preserve"> entered into </w:t>
      </w:r>
      <w:r w:rsidR="0018314B">
        <w:t>the</w:t>
      </w:r>
      <w:r w:rsidR="009E0E39">
        <w:t xml:space="preserve"> </w:t>
      </w:r>
      <w:r w:rsidR="009E0E39" w:rsidRPr="0018314B">
        <w:t xml:space="preserve">Standstill Agreement </w:t>
      </w:r>
      <w:r w:rsidR="009E0E39">
        <w:t xml:space="preserve">with India, </w:t>
      </w:r>
      <w:r w:rsidR="008B2FA6">
        <w:t xml:space="preserve">which aimed – pending final agreement </w:t>
      </w:r>
      <w:r w:rsidR="00AC2E46">
        <w:t>–</w:t>
      </w:r>
      <w:r w:rsidR="008B2FA6">
        <w:t xml:space="preserve"> </w:t>
      </w:r>
      <w:r w:rsidR="00AC2E46">
        <w:t xml:space="preserve">to continue as between Hyderabad and India those arrangements which had existed </w:t>
      </w:r>
      <w:r w:rsidR="00E97016">
        <w:t xml:space="preserve">as between the Crown and Hyderbad before </w:t>
      </w:r>
      <w:r w:rsidR="00C12C3E">
        <w:t>the appointed day.</w:t>
      </w:r>
    </w:p>
    <w:p w14:paraId="462744E6" w14:textId="77777777" w:rsidR="007237DB" w:rsidRPr="007F6F46" w:rsidRDefault="007F6F46" w:rsidP="00C6067D">
      <w:pPr>
        <w:keepNext/>
        <w:tabs>
          <w:tab w:val="left" w:pos="567"/>
        </w:tabs>
        <w:autoSpaceDE w:val="0"/>
        <w:spacing w:before="240" w:after="240"/>
        <w:jc w:val="both"/>
        <w:rPr>
          <w:b/>
          <w:bCs/>
          <w:i/>
          <w:iCs/>
        </w:rPr>
      </w:pPr>
      <w:r>
        <w:rPr>
          <w:b/>
          <w:bCs/>
          <w:i/>
          <w:iCs/>
        </w:rPr>
        <w:t>(d)</w:t>
      </w:r>
      <w:r>
        <w:rPr>
          <w:b/>
          <w:bCs/>
          <w:i/>
          <w:iCs/>
        </w:rPr>
        <w:tab/>
      </w:r>
      <w:r w:rsidR="00890BFE">
        <w:rPr>
          <w:b/>
          <w:bCs/>
          <w:i/>
          <w:iCs/>
        </w:rPr>
        <w:t>The approach of India</w:t>
      </w:r>
      <w:r w:rsidR="00BA6479">
        <w:rPr>
          <w:b/>
          <w:bCs/>
          <w:i/>
          <w:iCs/>
        </w:rPr>
        <w:t>, as viewed by Nizam VII</w:t>
      </w:r>
    </w:p>
    <w:p w14:paraId="6B8B14FA" w14:textId="77777777" w:rsidR="0094697B" w:rsidRDefault="00761805" w:rsidP="00AC550E">
      <w:pPr>
        <w:numPr>
          <w:ilvl w:val="0"/>
          <w:numId w:val="2"/>
        </w:numPr>
        <w:autoSpaceDE w:val="0"/>
        <w:spacing w:before="240" w:after="240"/>
        <w:jc w:val="both"/>
      </w:pPr>
      <w:r>
        <w:t xml:space="preserve">As the subsequent debates at the United Nations </w:t>
      </w:r>
      <w:r w:rsidR="005620F4">
        <w:t>show,</w:t>
      </w:r>
      <w:r w:rsidR="00FE1233">
        <w:rPr>
          <w:rStyle w:val="FootnoteReference"/>
        </w:rPr>
        <w:footnoteReference w:id="61"/>
      </w:r>
      <w:r w:rsidR="005620F4">
        <w:t xml:space="preserve"> there are two views as to the </w:t>
      </w:r>
      <w:r w:rsidR="00DF432C">
        <w:t xml:space="preserve">approach of India. So far as Nizam VII was concerned, </w:t>
      </w:r>
      <w:r w:rsidR="00B83559">
        <w:t xml:space="preserve">I am satisfied that (whatever the objective truth) </w:t>
      </w:r>
      <w:r w:rsidR="00167DE0">
        <w:t xml:space="preserve">the Nizam considered that </w:t>
      </w:r>
      <w:r w:rsidR="00FD17BF">
        <w:t>India was seeking to force Hyderabad</w:t>
      </w:r>
      <w:r w:rsidR="00167DE0">
        <w:t xml:space="preserve">, against </w:t>
      </w:r>
      <w:r w:rsidR="00821E9A">
        <w:lastRenderedPageBreak/>
        <w:t>her</w:t>
      </w:r>
      <w:r w:rsidR="00167DE0">
        <w:t xml:space="preserve"> (or, at least, his) will</w:t>
      </w:r>
      <w:r w:rsidR="00FD17BF">
        <w:t xml:space="preserve"> to accede to India and become a part of India. </w:t>
      </w:r>
      <w:r w:rsidR="0094697B">
        <w:t>Th</w:t>
      </w:r>
      <w:r w:rsidR="001674F6">
        <w:t>e following documents show very clearly the Nizam’s thinking</w:t>
      </w:r>
      <w:r w:rsidR="0094697B">
        <w:t>:</w:t>
      </w:r>
    </w:p>
    <w:p w14:paraId="51B0AA76" w14:textId="77777777" w:rsidR="0094697B" w:rsidRPr="00E41D87" w:rsidRDefault="0094697B" w:rsidP="0094697B">
      <w:pPr>
        <w:numPr>
          <w:ilvl w:val="1"/>
          <w:numId w:val="2"/>
        </w:numPr>
        <w:autoSpaceDE w:val="0"/>
        <w:spacing w:before="240" w:after="240"/>
        <w:jc w:val="both"/>
      </w:pPr>
      <w:r>
        <w:t>In a letter dated 6 April 1948 from Nizam VII to the Governor-General of India</w:t>
      </w:r>
      <w:r w:rsidR="00C81938">
        <w:t xml:space="preserve"> the Nizam referred to </w:t>
      </w:r>
      <w:r w:rsidR="00EC5E1C">
        <w:t>the possibility of “an open breach of friendly relations” with India</w:t>
      </w:r>
      <w:r w:rsidR="008F5AA1">
        <w:t xml:space="preserve">, and a concern about economic pressure (in the form </w:t>
      </w:r>
      <w:r w:rsidR="00F87D16">
        <w:t>of a blockade) emanating from India.</w:t>
      </w:r>
    </w:p>
    <w:p w14:paraId="01886396" w14:textId="77777777" w:rsidR="00E41D87" w:rsidRDefault="00E41D87" w:rsidP="0094697B">
      <w:pPr>
        <w:numPr>
          <w:ilvl w:val="1"/>
          <w:numId w:val="2"/>
        </w:numPr>
        <w:autoSpaceDE w:val="0"/>
        <w:spacing w:before="240" w:after="240"/>
        <w:jc w:val="both"/>
      </w:pPr>
      <w:r w:rsidRPr="00E41D87">
        <w:t xml:space="preserve">In a letter </w:t>
      </w:r>
      <w:r w:rsidR="004F135D">
        <w:t xml:space="preserve">dated 19 April 1948 </w:t>
      </w:r>
      <w:r w:rsidRPr="00E41D87">
        <w:t>from Hyderabad’s Prime Minister,</w:t>
      </w:r>
      <w:r w:rsidR="008A5F55">
        <w:t xml:space="preserve"> </w:t>
      </w:r>
      <w:r w:rsidR="00B13DBD">
        <w:t xml:space="preserve">Mir </w:t>
      </w:r>
      <w:r w:rsidR="008A5F55">
        <w:t>Laik Ali (</w:t>
      </w:r>
      <w:r w:rsidR="008A5F55">
        <w:rPr>
          <w:b/>
          <w:bCs/>
        </w:rPr>
        <w:t>Laik Ali</w:t>
      </w:r>
      <w:r w:rsidR="008A5F55">
        <w:t>)</w:t>
      </w:r>
      <w:r w:rsidR="004F135D">
        <w:t>,</w:t>
      </w:r>
      <w:r w:rsidR="008A5F55">
        <w:t xml:space="preserve"> to Mr Bev</w:t>
      </w:r>
      <w:r w:rsidR="00032172">
        <w:t>i</w:t>
      </w:r>
      <w:r w:rsidR="008A5F55">
        <w:t xml:space="preserve">n, the </w:t>
      </w:r>
      <w:r w:rsidR="00326A84">
        <w:t xml:space="preserve">Foreign Secretary in Mr Attlee’s government, </w:t>
      </w:r>
      <w:r w:rsidR="004F135D">
        <w:t>Laik Ali stated:</w:t>
      </w:r>
    </w:p>
    <w:p w14:paraId="6861287D" w14:textId="77777777" w:rsidR="004D442D" w:rsidRPr="004D442D" w:rsidRDefault="004D442D" w:rsidP="004D442D">
      <w:pPr>
        <w:autoSpaceDE w:val="0"/>
        <w:spacing w:before="240" w:after="240"/>
        <w:ind w:left="1134"/>
        <w:jc w:val="both"/>
        <w:rPr>
          <w:sz w:val="22"/>
          <w:szCs w:val="22"/>
        </w:rPr>
      </w:pPr>
      <w:r>
        <w:rPr>
          <w:sz w:val="22"/>
          <w:szCs w:val="22"/>
        </w:rPr>
        <w:t xml:space="preserve">“I am now informed </w:t>
      </w:r>
      <w:r w:rsidR="0052169E">
        <w:rPr>
          <w:sz w:val="22"/>
          <w:szCs w:val="22"/>
        </w:rPr>
        <w:t>by the Indian Union that there is the possibility of their totally sealing off the entire borders of Hyderabad</w:t>
      </w:r>
      <w:r w:rsidR="00480664">
        <w:rPr>
          <w:sz w:val="22"/>
          <w:szCs w:val="22"/>
        </w:rPr>
        <w:t xml:space="preserve"> and thereby making our lives impossible. It has also been indicated that the blockade </w:t>
      </w:r>
      <w:r w:rsidR="00565251">
        <w:rPr>
          <w:sz w:val="22"/>
          <w:szCs w:val="22"/>
        </w:rPr>
        <w:t xml:space="preserve">may soon be followed by Military invasion. It is difficult to state in this letter all that we are facing but I can assure you </w:t>
      </w:r>
      <w:r w:rsidR="00AB0DDF">
        <w:rPr>
          <w:sz w:val="22"/>
          <w:szCs w:val="22"/>
        </w:rPr>
        <w:t xml:space="preserve">that it is beyond all comprehension. Our difficulties have been multiplied </w:t>
      </w:r>
      <w:r w:rsidR="007817F8">
        <w:rPr>
          <w:sz w:val="22"/>
          <w:szCs w:val="22"/>
        </w:rPr>
        <w:t xml:space="preserve">by the fact that telephone and telegraph system in our State </w:t>
      </w:r>
      <w:r w:rsidR="00F80B4B">
        <w:rPr>
          <w:sz w:val="22"/>
          <w:szCs w:val="22"/>
        </w:rPr>
        <w:t>passes through and is controlled by the Indian Union. We are not able to place before the world</w:t>
      </w:r>
      <w:r w:rsidR="009D15D7">
        <w:rPr>
          <w:sz w:val="22"/>
          <w:szCs w:val="22"/>
        </w:rPr>
        <w:t xml:space="preserve"> the true facts as serious censorship is applied on all the news and statements originating or in transmission </w:t>
      </w:r>
      <w:r w:rsidR="007B48EA">
        <w:rPr>
          <w:sz w:val="22"/>
          <w:szCs w:val="22"/>
        </w:rPr>
        <w:t>from Hyderabad to the countries abroad.”</w:t>
      </w:r>
    </w:p>
    <w:p w14:paraId="725B29B0" w14:textId="77777777" w:rsidR="00E37FE9" w:rsidRDefault="00FD5D1F" w:rsidP="006B4A9F">
      <w:pPr>
        <w:numPr>
          <w:ilvl w:val="1"/>
          <w:numId w:val="2"/>
        </w:numPr>
        <w:autoSpaceDE w:val="0"/>
        <w:spacing w:before="240" w:after="240"/>
        <w:jc w:val="both"/>
      </w:pPr>
      <w:r>
        <w:t xml:space="preserve">In a letter dated </w:t>
      </w:r>
      <w:r w:rsidR="00F337BF">
        <w:t xml:space="preserve">4 July 1948 to Mr Attlee, </w:t>
      </w:r>
      <w:r w:rsidR="0046011A">
        <w:t>Nizam VII said:</w:t>
      </w:r>
    </w:p>
    <w:p w14:paraId="2E5B27EB" w14:textId="77777777" w:rsidR="0046011A" w:rsidRDefault="009F7934" w:rsidP="0046011A">
      <w:pPr>
        <w:autoSpaceDE w:val="0"/>
        <w:spacing w:before="240" w:after="240"/>
        <w:ind w:left="1134"/>
        <w:jc w:val="both"/>
        <w:rPr>
          <w:sz w:val="22"/>
          <w:szCs w:val="22"/>
        </w:rPr>
      </w:pPr>
      <w:r>
        <w:rPr>
          <w:sz w:val="22"/>
          <w:szCs w:val="22"/>
        </w:rPr>
        <w:t>“…It is now clear beyond doubt that the intention of the Government of India</w:t>
      </w:r>
      <w:r w:rsidR="00A7520E">
        <w:rPr>
          <w:sz w:val="22"/>
          <w:szCs w:val="22"/>
        </w:rPr>
        <w:t xml:space="preserve"> is to bring Hyderabad into complete subjugation either through an instrument of </w:t>
      </w:r>
      <w:r w:rsidR="00B77AFC">
        <w:rPr>
          <w:sz w:val="22"/>
          <w:szCs w:val="22"/>
        </w:rPr>
        <w:t xml:space="preserve">accession or through some alternative arrangement. The manner in which </w:t>
      </w:r>
      <w:r w:rsidR="00B466C6">
        <w:rPr>
          <w:sz w:val="22"/>
          <w:szCs w:val="22"/>
        </w:rPr>
        <w:t>the Government of India</w:t>
      </w:r>
      <w:r w:rsidR="00DA2EA3">
        <w:rPr>
          <w:sz w:val="22"/>
          <w:szCs w:val="22"/>
        </w:rPr>
        <w:t xml:space="preserve"> </w:t>
      </w:r>
      <w:r w:rsidR="00B466C6">
        <w:rPr>
          <w:sz w:val="22"/>
          <w:szCs w:val="22"/>
        </w:rPr>
        <w:t>have dealt with some of the large Indian States must have come to your</w:t>
      </w:r>
      <w:r w:rsidR="00E91F5E">
        <w:rPr>
          <w:sz w:val="22"/>
          <w:szCs w:val="22"/>
        </w:rPr>
        <w:t xml:space="preserve"> knowledge. In clear terms</w:t>
      </w:r>
      <w:r w:rsidR="00385CF1">
        <w:rPr>
          <w:sz w:val="22"/>
          <w:szCs w:val="22"/>
        </w:rPr>
        <w:t xml:space="preserve">, responsible members of the Government of India have repeatedly conveyed to us that they want Hyderabad </w:t>
      </w:r>
      <w:r w:rsidR="005A06CD">
        <w:rPr>
          <w:sz w:val="22"/>
          <w:szCs w:val="22"/>
        </w:rPr>
        <w:t>to be brought into the Indian fold in precisely the same manner and that any tendency on the part of Hyderabad to maintain its</w:t>
      </w:r>
      <w:r w:rsidR="00273F26">
        <w:rPr>
          <w:sz w:val="22"/>
          <w:szCs w:val="22"/>
        </w:rPr>
        <w:t xml:space="preserve"> identity will be crushed by every possible means at the disposal of the Government of India</w:t>
      </w:r>
      <w:r w:rsidR="00B371D6">
        <w:rPr>
          <w:sz w:val="22"/>
          <w:szCs w:val="22"/>
        </w:rPr>
        <w:t>…</w:t>
      </w:r>
    </w:p>
    <w:p w14:paraId="7A173A42" w14:textId="77777777" w:rsidR="00B371D6" w:rsidRDefault="00B371D6" w:rsidP="0046011A">
      <w:pPr>
        <w:autoSpaceDE w:val="0"/>
        <w:spacing w:before="240" w:after="240"/>
        <w:ind w:left="1134"/>
        <w:jc w:val="both"/>
        <w:rPr>
          <w:sz w:val="22"/>
          <w:szCs w:val="22"/>
        </w:rPr>
      </w:pPr>
      <w:r>
        <w:rPr>
          <w:sz w:val="22"/>
          <w:szCs w:val="22"/>
        </w:rPr>
        <w:t>…The Indian Government</w:t>
      </w:r>
      <w:r w:rsidR="00DF45DF">
        <w:rPr>
          <w:sz w:val="22"/>
          <w:szCs w:val="22"/>
        </w:rPr>
        <w:t xml:space="preserve">, by their actions, are attempting to nullify the promises given to Indian States before the British Government transferred power </w:t>
      </w:r>
      <w:r w:rsidR="004E583B">
        <w:rPr>
          <w:sz w:val="22"/>
          <w:szCs w:val="22"/>
        </w:rPr>
        <w:t xml:space="preserve">to the Dominion of India that Indian States would be free to accede </w:t>
      </w:r>
      <w:r w:rsidR="002E04B2">
        <w:rPr>
          <w:sz w:val="22"/>
          <w:szCs w:val="22"/>
        </w:rPr>
        <w:t>to either of the Dominions of India or Pakistan...</w:t>
      </w:r>
    </w:p>
    <w:p w14:paraId="6822F8A6" w14:textId="77777777" w:rsidR="002E04B2" w:rsidRDefault="002E04B2" w:rsidP="0046011A">
      <w:pPr>
        <w:autoSpaceDE w:val="0"/>
        <w:spacing w:before="240" w:after="240"/>
        <w:ind w:left="1134"/>
        <w:jc w:val="both"/>
        <w:rPr>
          <w:sz w:val="22"/>
          <w:szCs w:val="22"/>
        </w:rPr>
      </w:pPr>
      <w:r>
        <w:rPr>
          <w:sz w:val="22"/>
          <w:szCs w:val="22"/>
        </w:rPr>
        <w:t xml:space="preserve">…India’s demands have been backed by a policy </w:t>
      </w:r>
      <w:r w:rsidR="00F700CB">
        <w:rPr>
          <w:sz w:val="22"/>
          <w:szCs w:val="22"/>
        </w:rPr>
        <w:t>of intimidation and coercion perilously reminiscent of that applied by the Nazis against Sudetenland</w:t>
      </w:r>
      <w:r w:rsidR="00597B81">
        <w:rPr>
          <w:sz w:val="22"/>
          <w:szCs w:val="22"/>
        </w:rPr>
        <w:t>. Today, Hyderabad faces a total blockade: my people are denied supplies of all descriptions</w:t>
      </w:r>
      <w:r w:rsidR="005C7F4A">
        <w:rPr>
          <w:sz w:val="22"/>
          <w:szCs w:val="22"/>
        </w:rPr>
        <w:t>, including medical stores, chlorine for the purification of water supplies and common salt.</w:t>
      </w:r>
      <w:r w:rsidR="009841A4">
        <w:rPr>
          <w:sz w:val="22"/>
          <w:szCs w:val="22"/>
        </w:rPr>
        <w:t xml:space="preserve"> Indian Army units remain posted round my borders and raiders from India are making almost daily </w:t>
      </w:r>
      <w:r w:rsidR="00750AF8">
        <w:rPr>
          <w:sz w:val="22"/>
          <w:szCs w:val="22"/>
        </w:rPr>
        <w:t xml:space="preserve">attacks on my territory. I have incontestable proof that these raiders frequently include </w:t>
      </w:r>
      <w:r w:rsidR="0085462E">
        <w:rPr>
          <w:sz w:val="22"/>
          <w:szCs w:val="22"/>
        </w:rPr>
        <w:t>personnel of the Indian Army and police forces</w:t>
      </w:r>
      <w:r w:rsidR="00D21AB3">
        <w:rPr>
          <w:sz w:val="22"/>
          <w:szCs w:val="22"/>
        </w:rPr>
        <w:t>…</w:t>
      </w:r>
    </w:p>
    <w:p w14:paraId="20A9F01E" w14:textId="77777777" w:rsidR="00D21AB3" w:rsidRPr="0046011A" w:rsidRDefault="00D21AB3" w:rsidP="0046011A">
      <w:pPr>
        <w:autoSpaceDE w:val="0"/>
        <w:spacing w:before="240" w:after="240"/>
        <w:ind w:left="1134"/>
        <w:jc w:val="both"/>
        <w:rPr>
          <w:sz w:val="22"/>
          <w:szCs w:val="22"/>
        </w:rPr>
      </w:pPr>
      <w:r>
        <w:rPr>
          <w:sz w:val="22"/>
          <w:szCs w:val="22"/>
        </w:rPr>
        <w:t>…</w:t>
      </w:r>
      <w:r w:rsidR="00CA6087">
        <w:rPr>
          <w:sz w:val="22"/>
          <w:szCs w:val="22"/>
        </w:rPr>
        <w:t xml:space="preserve">Because of India’s hostile acts, I have thought it necessary to write to you and to submit a copy of this letter to His Majesty the King. </w:t>
      </w:r>
      <w:r w:rsidR="009351B9">
        <w:rPr>
          <w:sz w:val="22"/>
          <w:szCs w:val="22"/>
        </w:rPr>
        <w:t xml:space="preserve">If the situation continues to deteriorate, not only the peace and security of Hyderabad but of the whole of </w:t>
      </w:r>
      <w:r w:rsidR="00AF2D81">
        <w:rPr>
          <w:sz w:val="22"/>
          <w:szCs w:val="22"/>
        </w:rPr>
        <w:t xml:space="preserve">Southern India will be imperilled and the 17 million people </w:t>
      </w:r>
      <w:r w:rsidR="005613D9">
        <w:rPr>
          <w:sz w:val="22"/>
          <w:szCs w:val="22"/>
        </w:rPr>
        <w:t>of my State and many millions more in India will be brought under the shadow of disaster. If India should invade Hyderabad – and there are dangerous signs</w:t>
      </w:r>
      <w:r w:rsidR="006D08D8">
        <w:rPr>
          <w:sz w:val="22"/>
          <w:szCs w:val="22"/>
        </w:rPr>
        <w:t xml:space="preserve"> that this is India’s intention – my people will resist with all the force at their command…”</w:t>
      </w:r>
    </w:p>
    <w:p w14:paraId="326D7362" w14:textId="77777777" w:rsidR="0046011A" w:rsidRPr="006C42F4" w:rsidRDefault="006C42F4" w:rsidP="007605D1">
      <w:pPr>
        <w:keepNext/>
        <w:tabs>
          <w:tab w:val="left" w:pos="567"/>
        </w:tabs>
        <w:autoSpaceDE w:val="0"/>
        <w:spacing w:before="240" w:after="240"/>
        <w:jc w:val="both"/>
        <w:rPr>
          <w:b/>
          <w:bCs/>
        </w:rPr>
      </w:pPr>
      <w:r>
        <w:rPr>
          <w:b/>
          <w:bCs/>
        </w:rPr>
        <w:lastRenderedPageBreak/>
        <w:t>(3)</w:t>
      </w:r>
      <w:r>
        <w:rPr>
          <w:b/>
          <w:bCs/>
        </w:rPr>
        <w:tab/>
        <w:t>Operation Polo</w:t>
      </w:r>
    </w:p>
    <w:p w14:paraId="2BF05131" w14:textId="77777777" w:rsidR="00BF7968" w:rsidRDefault="00BF7968" w:rsidP="00290DA2">
      <w:pPr>
        <w:numPr>
          <w:ilvl w:val="0"/>
          <w:numId w:val="2"/>
        </w:numPr>
        <w:autoSpaceDE w:val="0"/>
        <w:spacing w:before="240" w:after="240"/>
        <w:jc w:val="both"/>
      </w:pPr>
      <w:r>
        <w:t xml:space="preserve">I shall refer to the interaction between </w:t>
      </w:r>
      <w:r w:rsidR="001B162A">
        <w:t xml:space="preserve">the forces of India and the forces of Hyderabad that took place in September 1948 by its code name, </w:t>
      </w:r>
      <w:r w:rsidR="001B162A">
        <w:rPr>
          <w:b/>
          <w:bCs/>
        </w:rPr>
        <w:t>Operation Polo</w:t>
      </w:r>
      <w:r w:rsidR="001B162A">
        <w:t>.</w:t>
      </w:r>
    </w:p>
    <w:p w14:paraId="3D678F6E" w14:textId="77777777" w:rsidR="00290DA2" w:rsidRDefault="00290DA2" w:rsidP="00290DA2">
      <w:pPr>
        <w:numPr>
          <w:ilvl w:val="0"/>
          <w:numId w:val="2"/>
        </w:numPr>
        <w:autoSpaceDE w:val="0"/>
        <w:spacing w:before="240" w:after="240"/>
        <w:jc w:val="both"/>
      </w:pPr>
      <w:r>
        <w:t>On 24 August 1948, the Secretary-General of the United Nations passed on to the Security Council of the U</w:t>
      </w:r>
      <w:r w:rsidR="001E1CDA">
        <w:t xml:space="preserve">nited </w:t>
      </w:r>
      <w:r>
        <w:t>N</w:t>
      </w:r>
      <w:r w:rsidR="001E1CDA">
        <w:t>ations</w:t>
      </w:r>
      <w:r>
        <w:t xml:space="preserve"> a communication he (the Secretary-General) had received from Zahir </w:t>
      </w:r>
      <w:r w:rsidR="002E566C">
        <w:t>Ahmed</w:t>
      </w:r>
      <w:r w:rsidR="00A624F9">
        <w:t xml:space="preserve"> (</w:t>
      </w:r>
      <w:r w:rsidR="00A624F9">
        <w:rPr>
          <w:b/>
          <w:bCs/>
        </w:rPr>
        <w:t>Zahir</w:t>
      </w:r>
      <w:r w:rsidR="00A624F9">
        <w:t>)</w:t>
      </w:r>
      <w:r w:rsidR="002E566C">
        <w:t xml:space="preserve">, </w:t>
      </w:r>
      <w:r w:rsidR="00A624F9">
        <w:t xml:space="preserve">the Foreign Secretary to the Government of Hyderabad, </w:t>
      </w:r>
      <w:r>
        <w:t>on 21 August 1948:</w:t>
      </w:r>
    </w:p>
    <w:p w14:paraId="48F64581" w14:textId="77777777" w:rsidR="00290DA2" w:rsidRDefault="00290DA2" w:rsidP="00290DA2">
      <w:pPr>
        <w:autoSpaceDE w:val="0"/>
        <w:spacing w:before="240" w:after="240"/>
        <w:ind w:left="567"/>
        <w:jc w:val="both"/>
        <w:rPr>
          <w:sz w:val="22"/>
          <w:szCs w:val="22"/>
        </w:rPr>
      </w:pPr>
      <w:r>
        <w:rPr>
          <w:sz w:val="22"/>
          <w:szCs w:val="22"/>
        </w:rPr>
        <w:t>“The Government of Hyderabad, in reliance on Article 35(2) of the Charter of the United Nations, requests you to bring to the attention of the Security Council the grave dispute which has arisen between Hyderabad and India, and which, unless settled in accordance with international law and justice, is likely to endanger the maintenance of international peace and security.  Hyderabad has been exposed in recent months to violent intimidation, to threats of invasion, and to crippling economic blockade which has inflicted cruel hardship upon the people of Hyderabad and which is intended to coerce it into a renunciation of its independence. The frontiers have been forcibly violated and Hyderabad villages have been occupied by Indian troops. The action of India threatens the existence of Hyderabad, the peace of the Indian and entire Asiatic continent, and the principles of the United Nations. The Government of Hyderabad is collecting and will shortly present to the Security Council abundant documentary evidence substantiating the present complaint. Hyderabad, a State not a member of the United Nations, accepts for the purpose of the dispute the obligations of pacific settlement provided in the Charter of the United Nations.</w:t>
      </w:r>
    </w:p>
    <w:p w14:paraId="2AD537D6" w14:textId="77777777" w:rsidR="00290DA2" w:rsidRPr="001562C2" w:rsidRDefault="00290DA2" w:rsidP="00290DA2">
      <w:pPr>
        <w:autoSpaceDE w:val="0"/>
        <w:spacing w:before="240" w:after="240"/>
        <w:ind w:left="567"/>
        <w:jc w:val="both"/>
        <w:rPr>
          <w:sz w:val="22"/>
          <w:szCs w:val="22"/>
        </w:rPr>
      </w:pPr>
      <w:r>
        <w:rPr>
          <w:sz w:val="22"/>
          <w:szCs w:val="22"/>
        </w:rPr>
        <w:t>It is understood that the submission of the present complaint to the Security Council does not prejudice the submission of the dispute to the General Assembly.”</w:t>
      </w:r>
    </w:p>
    <w:p w14:paraId="50CBDBA4" w14:textId="77777777" w:rsidR="00290DA2" w:rsidRDefault="00290DA2" w:rsidP="00290DA2">
      <w:pPr>
        <w:numPr>
          <w:ilvl w:val="0"/>
          <w:numId w:val="2"/>
        </w:numPr>
        <w:autoSpaceDE w:val="0"/>
        <w:spacing w:before="240" w:after="240"/>
        <w:jc w:val="both"/>
      </w:pPr>
      <w:r>
        <w:t>The Secretary-General brought this further communication, also from Zahir, to the attention of the Security Council on 13 September 1948:</w:t>
      </w:r>
    </w:p>
    <w:p w14:paraId="37B606AF" w14:textId="77777777" w:rsidR="00290DA2" w:rsidRDefault="00290DA2" w:rsidP="00866CC0">
      <w:pPr>
        <w:autoSpaceDE w:val="0"/>
        <w:spacing w:before="240" w:after="240"/>
        <w:ind w:left="567"/>
        <w:jc w:val="both"/>
        <w:rPr>
          <w:sz w:val="22"/>
          <w:szCs w:val="22"/>
        </w:rPr>
      </w:pPr>
      <w:r>
        <w:rPr>
          <w:sz w:val="22"/>
          <w:szCs w:val="22"/>
        </w:rPr>
        <w:t>“In view of the officially proclaimed intention of India as announced by its Prime Minister to invade Hyderabad and in view of the actual preparations for imminent invasion the Government of Hyderabad earnestly request that the complaint of Hyderabad against India be put on the agenda of the Security Council at the earliest possible date such as Wednesday 15 September. Invasion is bound to cause unrestrained communal war throughout the Indian continent. International peace, fundamental principles of the Charter and the duty to prevent widespread bloodshed demand immediate consideration of the matter by the Sec</w:t>
      </w:r>
      <w:r w:rsidR="00032172">
        <w:rPr>
          <w:sz w:val="22"/>
          <w:szCs w:val="22"/>
        </w:rPr>
        <w:t>u</w:t>
      </w:r>
      <w:r>
        <w:rPr>
          <w:sz w:val="22"/>
          <w:szCs w:val="22"/>
        </w:rPr>
        <w:t>rity Council.</w:t>
      </w:r>
      <w:r w:rsidR="00032172">
        <w:rPr>
          <w:sz w:val="22"/>
          <w:szCs w:val="22"/>
        </w:rPr>
        <w:t>”</w:t>
      </w:r>
    </w:p>
    <w:p w14:paraId="5D2B34D3" w14:textId="77777777" w:rsidR="00650FF4" w:rsidRDefault="00007D0E" w:rsidP="00650FF4">
      <w:pPr>
        <w:numPr>
          <w:ilvl w:val="0"/>
          <w:numId w:val="2"/>
        </w:numPr>
        <w:autoSpaceDE w:val="0"/>
        <w:spacing w:before="240" w:after="240"/>
        <w:jc w:val="both"/>
      </w:pPr>
      <w:r w:rsidRPr="00650FF4">
        <w:t xml:space="preserve">Operation Polo </w:t>
      </w:r>
      <w:r w:rsidR="008D334B" w:rsidRPr="00650FF4">
        <w:t>took place between 13 and 18 September 1948</w:t>
      </w:r>
      <w:r w:rsidR="00650FF4" w:rsidRPr="00650FF4">
        <w:t>.</w:t>
      </w:r>
      <w:r w:rsidR="00650FF4" w:rsidRPr="00650FF4">
        <w:rPr>
          <w:i/>
          <w:iCs/>
        </w:rPr>
        <w:t xml:space="preserve"> </w:t>
      </w:r>
      <w:r w:rsidR="00650FF4">
        <w:rPr>
          <w:i/>
          <w:iCs/>
        </w:rPr>
        <w:t>The Times</w:t>
      </w:r>
      <w:r w:rsidR="00650FF4">
        <w:t xml:space="preserve"> for 18 September 1948 records:</w:t>
      </w:r>
    </w:p>
    <w:p w14:paraId="5D9666E8" w14:textId="77777777" w:rsidR="00650FF4" w:rsidRDefault="00650FF4" w:rsidP="00650FF4">
      <w:pPr>
        <w:autoSpaceDE w:val="0"/>
        <w:spacing w:before="240" w:after="240"/>
        <w:ind w:left="567"/>
        <w:jc w:val="both"/>
        <w:rPr>
          <w:sz w:val="22"/>
          <w:szCs w:val="22"/>
        </w:rPr>
      </w:pPr>
      <w:r>
        <w:rPr>
          <w:sz w:val="22"/>
          <w:szCs w:val="22"/>
        </w:rPr>
        <w:t>“Delhi, Sept 17</w:t>
      </w:r>
    </w:p>
    <w:p w14:paraId="6DF6AD77" w14:textId="77777777" w:rsidR="00650FF4" w:rsidRPr="00563BC5" w:rsidRDefault="00650FF4" w:rsidP="00650FF4">
      <w:pPr>
        <w:autoSpaceDE w:val="0"/>
        <w:spacing w:before="240" w:after="240"/>
        <w:ind w:left="567"/>
        <w:jc w:val="both"/>
        <w:rPr>
          <w:sz w:val="22"/>
          <w:szCs w:val="22"/>
        </w:rPr>
      </w:pPr>
      <w:r>
        <w:rPr>
          <w:sz w:val="22"/>
          <w:szCs w:val="22"/>
        </w:rPr>
        <w:t>Four and a half days after the Indian Army had crossed the Hyderabad border from all points of the compass fighting in Hyderabad ended officially this evening at 5 o’clock, when a “cease fire” order by his Exalted Highness the Nizam to his troops came into effect. This followed a broadcast by Mir Laik Ali, the Hyderabad Prime Minister, announcing his own and his Ministry’s resignation, and the sending of a message by the Nizam to Mr Rajagopalachari, the Indian Governor-General, in which the former said that he had ordered that Indian troops should be allowed free entry into Secunderabad</w:t>
      </w:r>
      <w:r w:rsidR="00AA7CDC">
        <w:rPr>
          <w:rStyle w:val="FootnoteReference"/>
          <w:sz w:val="22"/>
          <w:szCs w:val="22"/>
        </w:rPr>
        <w:footnoteReference w:id="62"/>
      </w:r>
      <w:r>
        <w:rPr>
          <w:sz w:val="22"/>
          <w:szCs w:val="22"/>
        </w:rPr>
        <w:t xml:space="preserve"> and undertook to disband the Razakars (Muslim volunteers).”</w:t>
      </w:r>
    </w:p>
    <w:p w14:paraId="2B69B09B" w14:textId="77777777" w:rsidR="00650FF4" w:rsidRDefault="00650FF4" w:rsidP="00650FF4">
      <w:pPr>
        <w:numPr>
          <w:ilvl w:val="0"/>
          <w:numId w:val="2"/>
        </w:numPr>
        <w:autoSpaceDE w:val="0"/>
        <w:spacing w:before="240" w:after="240"/>
        <w:jc w:val="both"/>
      </w:pPr>
      <w:r w:rsidRPr="00597A46">
        <w:lastRenderedPageBreak/>
        <w:t>The press also reported that Hyderabad’s appeal to the U</w:t>
      </w:r>
      <w:r w:rsidR="00435D48">
        <w:t xml:space="preserve">nited </w:t>
      </w:r>
      <w:r w:rsidRPr="00597A46">
        <w:t>N</w:t>
      </w:r>
      <w:r w:rsidR="00435D48">
        <w:t>ations</w:t>
      </w:r>
      <w:r w:rsidRPr="00597A46">
        <w:t xml:space="preserve"> had been withdrawn.</w:t>
      </w:r>
    </w:p>
    <w:p w14:paraId="10A90640" w14:textId="77777777" w:rsidR="00ED53D6" w:rsidRDefault="00981ED6" w:rsidP="009C781B">
      <w:pPr>
        <w:numPr>
          <w:ilvl w:val="0"/>
          <w:numId w:val="2"/>
        </w:numPr>
        <w:autoSpaceDE w:val="0"/>
        <w:spacing w:before="240" w:after="240"/>
        <w:jc w:val="both"/>
      </w:pPr>
      <w:r>
        <w:t>Previously, o</w:t>
      </w:r>
      <w:r w:rsidR="007F1B7F">
        <w:t>n 17 September 1948, Nizam VII</w:t>
      </w:r>
      <w:r w:rsidR="005C64D1">
        <w:t xml:space="preserve"> made the following radio broadcast</w:t>
      </w:r>
      <w:r w:rsidR="00340E60">
        <w:t>:</w:t>
      </w:r>
    </w:p>
    <w:p w14:paraId="3F6173DB" w14:textId="77777777" w:rsidR="001632F1" w:rsidRDefault="00ED53D6" w:rsidP="00ED53D6">
      <w:pPr>
        <w:autoSpaceDE w:val="0"/>
        <w:spacing w:before="240" w:after="240"/>
        <w:ind w:left="567"/>
        <w:jc w:val="both"/>
        <w:rPr>
          <w:sz w:val="22"/>
          <w:szCs w:val="22"/>
        </w:rPr>
      </w:pPr>
      <w:r>
        <w:rPr>
          <w:sz w:val="22"/>
          <w:szCs w:val="22"/>
        </w:rPr>
        <w:t xml:space="preserve">“My beloved people, I have great pleasure to inform you </w:t>
      </w:r>
      <w:r w:rsidR="00704F68">
        <w:rPr>
          <w:sz w:val="22"/>
          <w:szCs w:val="22"/>
        </w:rPr>
        <w:t>that I have sent the following message today to His Excellency</w:t>
      </w:r>
      <w:r w:rsidR="00882AC2">
        <w:rPr>
          <w:sz w:val="22"/>
          <w:szCs w:val="22"/>
        </w:rPr>
        <w:t xml:space="preserve">, Rajagopalachari, Governor-General of India. </w:t>
      </w:r>
      <w:r w:rsidR="00F875CE">
        <w:rPr>
          <w:sz w:val="22"/>
          <w:szCs w:val="22"/>
        </w:rPr>
        <w:t>My Government has tendered their resignation and have asked me to take the political situation</w:t>
      </w:r>
      <w:r w:rsidR="00CE76EB">
        <w:rPr>
          <w:sz w:val="22"/>
          <w:szCs w:val="22"/>
        </w:rPr>
        <w:t xml:space="preserve"> into my purview. In answer to this, I told them that I was sorry </w:t>
      </w:r>
      <w:r w:rsidR="00F87834">
        <w:rPr>
          <w:sz w:val="22"/>
          <w:szCs w:val="22"/>
        </w:rPr>
        <w:t>that this was not done earlier and it was impossible for me to do anything at this critical juncture.</w:t>
      </w:r>
      <w:r w:rsidR="003B5396">
        <w:rPr>
          <w:sz w:val="22"/>
          <w:szCs w:val="22"/>
        </w:rPr>
        <w:t xml:space="preserve"> However, I have ordered a cease fire to my troops and also have ordered to ban </w:t>
      </w:r>
      <w:r w:rsidR="00611B1A">
        <w:rPr>
          <w:sz w:val="22"/>
          <w:szCs w:val="22"/>
        </w:rPr>
        <w:t xml:space="preserve">the Razakars and allow the Indian Union to occupy </w:t>
      </w:r>
      <w:r w:rsidR="00A303BF">
        <w:rPr>
          <w:sz w:val="22"/>
          <w:szCs w:val="22"/>
        </w:rPr>
        <w:t>Bolarum</w:t>
      </w:r>
      <w:r w:rsidR="009D5565">
        <w:rPr>
          <w:rStyle w:val="FootnoteReference"/>
          <w:sz w:val="22"/>
          <w:szCs w:val="22"/>
        </w:rPr>
        <w:footnoteReference w:id="63"/>
      </w:r>
      <w:r w:rsidR="00A303BF">
        <w:rPr>
          <w:sz w:val="22"/>
          <w:szCs w:val="22"/>
        </w:rPr>
        <w:t xml:space="preserve"> and Secunderabad </w:t>
      </w:r>
      <w:r w:rsidR="0056291C">
        <w:rPr>
          <w:sz w:val="22"/>
          <w:szCs w:val="22"/>
        </w:rPr>
        <w:t xml:space="preserve">tomorrow. Further, </w:t>
      </w:r>
      <w:r w:rsidR="00203264">
        <w:rPr>
          <w:sz w:val="22"/>
          <w:szCs w:val="22"/>
        </w:rPr>
        <w:t>till I have had an opportunity of appointing a Prime Minister and appointing a regular Ministry</w:t>
      </w:r>
      <w:r w:rsidR="00BE5F64">
        <w:rPr>
          <w:sz w:val="22"/>
          <w:szCs w:val="22"/>
        </w:rPr>
        <w:t>, I he</w:t>
      </w:r>
      <w:r w:rsidR="00032172">
        <w:rPr>
          <w:sz w:val="22"/>
          <w:szCs w:val="22"/>
        </w:rPr>
        <w:t>re</w:t>
      </w:r>
      <w:r w:rsidR="00BE5F64">
        <w:rPr>
          <w:sz w:val="22"/>
          <w:szCs w:val="22"/>
        </w:rPr>
        <w:t>by constitute the following into committee…</w:t>
      </w:r>
    </w:p>
    <w:p w14:paraId="18A671A7" w14:textId="77777777" w:rsidR="001632F1" w:rsidRDefault="001632F1" w:rsidP="00ED53D6">
      <w:pPr>
        <w:autoSpaceDE w:val="0"/>
        <w:spacing w:before="240" w:after="240"/>
        <w:ind w:left="567"/>
        <w:jc w:val="both"/>
        <w:rPr>
          <w:sz w:val="22"/>
          <w:szCs w:val="22"/>
        </w:rPr>
      </w:pPr>
      <w:r>
        <w:rPr>
          <w:sz w:val="22"/>
          <w:szCs w:val="22"/>
        </w:rPr>
        <w:t>…</w:t>
      </w:r>
    </w:p>
    <w:p w14:paraId="4462C605" w14:textId="77777777" w:rsidR="003762F3" w:rsidRDefault="006C23ED" w:rsidP="00ED53D6">
      <w:pPr>
        <w:autoSpaceDE w:val="0"/>
        <w:spacing w:before="240" w:after="240"/>
        <w:ind w:left="567"/>
        <w:jc w:val="both"/>
        <w:rPr>
          <w:sz w:val="22"/>
          <w:szCs w:val="22"/>
        </w:rPr>
      </w:pPr>
      <w:r>
        <w:rPr>
          <w:sz w:val="22"/>
          <w:szCs w:val="22"/>
        </w:rPr>
        <w:t xml:space="preserve">I have also had consultations with my friend, Mr KM Munshi, India’s Agent General. </w:t>
      </w:r>
      <w:r w:rsidR="003762F3">
        <w:rPr>
          <w:sz w:val="22"/>
          <w:szCs w:val="22"/>
        </w:rPr>
        <w:t>I take this opportunity to acknowledge the help he rendered to me at this occasion.</w:t>
      </w:r>
    </w:p>
    <w:p w14:paraId="1C538A0E" w14:textId="77777777" w:rsidR="003762F3" w:rsidRDefault="003762F3" w:rsidP="00ED53D6">
      <w:pPr>
        <w:autoSpaceDE w:val="0"/>
        <w:spacing w:before="240" w:after="240"/>
        <w:ind w:left="567"/>
        <w:jc w:val="both"/>
        <w:rPr>
          <w:sz w:val="22"/>
          <w:szCs w:val="22"/>
        </w:rPr>
      </w:pPr>
      <w:r>
        <w:rPr>
          <w:sz w:val="22"/>
          <w:szCs w:val="22"/>
        </w:rPr>
        <w:t>…</w:t>
      </w:r>
    </w:p>
    <w:p w14:paraId="4BE40590" w14:textId="77777777" w:rsidR="00214FBF" w:rsidRPr="00650FF4" w:rsidRDefault="00255034" w:rsidP="00ED53D6">
      <w:pPr>
        <w:autoSpaceDE w:val="0"/>
        <w:spacing w:before="240" w:after="240"/>
        <w:ind w:left="567"/>
        <w:jc w:val="both"/>
      </w:pPr>
      <w:r>
        <w:rPr>
          <w:sz w:val="22"/>
          <w:szCs w:val="22"/>
        </w:rPr>
        <w:t>I have also ordered my representatives of my old ministry who are now prosecuting the appeal</w:t>
      </w:r>
      <w:r w:rsidR="00CD751C">
        <w:rPr>
          <w:sz w:val="22"/>
          <w:szCs w:val="22"/>
        </w:rPr>
        <w:t xml:space="preserve"> on behalf of Hyderabad before the Security Council of the </w:t>
      </w:r>
      <w:r w:rsidR="005016C4">
        <w:rPr>
          <w:sz w:val="22"/>
          <w:szCs w:val="22"/>
        </w:rPr>
        <w:t>[United Nations Organisation]</w:t>
      </w:r>
      <w:r w:rsidR="00CD751C">
        <w:rPr>
          <w:sz w:val="22"/>
          <w:szCs w:val="22"/>
        </w:rPr>
        <w:t>, not to press it, as I am opening a new chapter of friendliness with India.”</w:t>
      </w:r>
      <w:r w:rsidR="00704F68">
        <w:rPr>
          <w:sz w:val="22"/>
          <w:szCs w:val="22"/>
        </w:rPr>
        <w:t xml:space="preserve"> </w:t>
      </w:r>
      <w:r w:rsidR="00340E60">
        <w:t xml:space="preserve"> </w:t>
      </w:r>
    </w:p>
    <w:p w14:paraId="05B65449" w14:textId="77777777" w:rsidR="006901F6" w:rsidRDefault="006901F6" w:rsidP="006901F6">
      <w:pPr>
        <w:numPr>
          <w:ilvl w:val="0"/>
          <w:numId w:val="2"/>
        </w:numPr>
        <w:autoSpaceDE w:val="0"/>
        <w:spacing w:before="240" w:after="240"/>
        <w:jc w:val="both"/>
      </w:pPr>
      <w:r>
        <w:t>On 28 September 1948, there was a meeting of the U</w:t>
      </w:r>
      <w:r w:rsidR="009D5565">
        <w:t xml:space="preserve">nited </w:t>
      </w:r>
      <w:r>
        <w:t>N</w:t>
      </w:r>
      <w:r w:rsidR="009D5565">
        <w:t>ations</w:t>
      </w:r>
      <w:r>
        <w:t xml:space="preserve"> Security Council. The official records note that communications had been received by the Secretary-General calling into question the validity of the credentials of the representatives of Hyderabad. Those representatives included Moin. Notwithstanding the query regarding credentials, Moin was present at this meeting and permitted to speak. </w:t>
      </w:r>
    </w:p>
    <w:p w14:paraId="3ECC285F" w14:textId="77777777" w:rsidR="006901F6" w:rsidRDefault="000C576B" w:rsidP="006901F6">
      <w:pPr>
        <w:numPr>
          <w:ilvl w:val="0"/>
          <w:numId w:val="2"/>
        </w:numPr>
        <w:autoSpaceDE w:val="0"/>
        <w:spacing w:before="240" w:after="240"/>
        <w:jc w:val="both"/>
      </w:pPr>
      <w:r>
        <w:t>O</w:t>
      </w:r>
      <w:r w:rsidR="006901F6">
        <w:t>n 1</w:t>
      </w:r>
      <w:r w:rsidR="00283137">
        <w:t>2</w:t>
      </w:r>
      <w:r w:rsidR="006901F6">
        <w:t xml:space="preserve"> December 1948, Moin wrote to the President of the Security Council in the following terms:</w:t>
      </w:r>
    </w:p>
    <w:p w14:paraId="393592AA" w14:textId="77777777" w:rsidR="006901F6" w:rsidRDefault="006901F6" w:rsidP="006901F6">
      <w:pPr>
        <w:autoSpaceDE w:val="0"/>
        <w:spacing w:before="240" w:after="240"/>
        <w:ind w:left="567"/>
        <w:jc w:val="both"/>
        <w:rPr>
          <w:sz w:val="22"/>
          <w:szCs w:val="22"/>
        </w:rPr>
      </w:pPr>
      <w:r>
        <w:rPr>
          <w:sz w:val="22"/>
          <w:szCs w:val="22"/>
        </w:rPr>
        <w:t xml:space="preserve">“On 9 October 1948, I informed the President of the Security Council that it was not my intention at the next meeting of the Security Council devoted to the question of the complaint of Hyderabad against India, to appear before the Security Council and to participate in the discussion concerning the validity of the credentials of the Hyderabad delegation. </w:t>
      </w:r>
    </w:p>
    <w:p w14:paraId="5748488A" w14:textId="77777777" w:rsidR="006901F6" w:rsidRDefault="006901F6" w:rsidP="006901F6">
      <w:pPr>
        <w:autoSpaceDE w:val="0"/>
        <w:spacing w:before="240" w:after="240"/>
        <w:ind w:left="567"/>
        <w:jc w:val="both"/>
        <w:rPr>
          <w:sz w:val="22"/>
          <w:szCs w:val="22"/>
        </w:rPr>
      </w:pPr>
      <w:r>
        <w:rPr>
          <w:sz w:val="22"/>
          <w:szCs w:val="22"/>
        </w:rPr>
        <w:t>That decision was prompted by the desire not to delay either the discussion of the substance of the complaint of Hyderabad or any action of the Council resulting from that discussion.</w:t>
      </w:r>
    </w:p>
    <w:p w14:paraId="0B13CC99" w14:textId="77777777" w:rsidR="006901F6" w:rsidRDefault="006901F6" w:rsidP="006901F6">
      <w:pPr>
        <w:autoSpaceDE w:val="0"/>
        <w:spacing w:before="240" w:after="240"/>
        <w:ind w:left="567"/>
        <w:jc w:val="both"/>
        <w:rPr>
          <w:sz w:val="22"/>
          <w:szCs w:val="22"/>
        </w:rPr>
      </w:pPr>
      <w:r>
        <w:rPr>
          <w:sz w:val="22"/>
          <w:szCs w:val="22"/>
        </w:rPr>
        <w:t>Since then, reliable information has come to our knowledge which no longer permits us to leave the Security Council in doubt as to the fact that neither at the time when the alleged instructions to withdraw the complaint from the United Nations were issued nor at any subsequent period till the present day has the Nizam been a free agent able to express without constraint the will of the State.</w:t>
      </w:r>
    </w:p>
    <w:p w14:paraId="119CC3BB" w14:textId="77777777" w:rsidR="006901F6" w:rsidRDefault="006901F6" w:rsidP="006901F6">
      <w:pPr>
        <w:autoSpaceDE w:val="0"/>
        <w:spacing w:before="240" w:after="240"/>
        <w:ind w:left="567"/>
        <w:jc w:val="both"/>
        <w:rPr>
          <w:sz w:val="22"/>
          <w:szCs w:val="22"/>
        </w:rPr>
      </w:pPr>
      <w:r>
        <w:rPr>
          <w:sz w:val="22"/>
          <w:szCs w:val="22"/>
        </w:rPr>
        <w:t>It now appears clearly that instructions in the matter were given under duress, and that the Nizam is now held virtually in the position of a prisoner of the Indian military authorities who have occupied the country by force of arms.</w:t>
      </w:r>
    </w:p>
    <w:p w14:paraId="460D8E9C" w14:textId="77777777" w:rsidR="006901F6" w:rsidRDefault="006901F6" w:rsidP="006901F6">
      <w:pPr>
        <w:autoSpaceDE w:val="0"/>
        <w:spacing w:before="240" w:after="240"/>
        <w:ind w:left="567"/>
        <w:jc w:val="both"/>
        <w:rPr>
          <w:sz w:val="22"/>
          <w:szCs w:val="22"/>
        </w:rPr>
      </w:pPr>
      <w:r>
        <w:rPr>
          <w:sz w:val="22"/>
          <w:szCs w:val="22"/>
        </w:rPr>
        <w:lastRenderedPageBreak/>
        <w:t>It is evident that the Nizam has been prevented from communicating freely with his friends and advisers in and outside the country. Indian sponsored newspapers and bodies – such as the Hyderabad State Congress – have been openly advocating the deposition of the Nizam. The evidence in our possession shows that he approves of the continued effort of the Hyderabad delegation to enlist the support and authority of the United Nations for the repression of the aggression which has taken place against Hyderabad.</w:t>
      </w:r>
    </w:p>
    <w:p w14:paraId="1124E0EC" w14:textId="77777777" w:rsidR="006901F6" w:rsidRPr="0047057C" w:rsidRDefault="006901F6" w:rsidP="006901F6">
      <w:pPr>
        <w:autoSpaceDE w:val="0"/>
        <w:spacing w:before="240" w:after="240"/>
        <w:ind w:left="567"/>
        <w:jc w:val="both"/>
        <w:rPr>
          <w:sz w:val="22"/>
          <w:szCs w:val="22"/>
        </w:rPr>
      </w:pPr>
      <w:r>
        <w:rPr>
          <w:sz w:val="22"/>
          <w:szCs w:val="22"/>
        </w:rPr>
        <w:t>In view of this, we consider it our duty to re-assert, in most emphatic terms, the authority of our delegation as originally appointed and its continued right and obligation to defend the interests of Hyderabad before the United Nations…”</w:t>
      </w:r>
    </w:p>
    <w:p w14:paraId="4ED586F0" w14:textId="77777777" w:rsidR="006901F6" w:rsidRDefault="006901F6" w:rsidP="006901F6">
      <w:pPr>
        <w:numPr>
          <w:ilvl w:val="0"/>
          <w:numId w:val="2"/>
        </w:numPr>
        <w:autoSpaceDE w:val="0"/>
        <w:spacing w:before="240" w:after="240"/>
        <w:jc w:val="both"/>
      </w:pPr>
      <w:r>
        <w:t>On 19 May 1949, there was a further meeting of the U</w:t>
      </w:r>
      <w:r w:rsidR="008C22D3">
        <w:t xml:space="preserve">nited </w:t>
      </w:r>
      <w:r>
        <w:t>N</w:t>
      </w:r>
      <w:r w:rsidR="008C22D3">
        <w:t>ations</w:t>
      </w:r>
      <w:r>
        <w:t xml:space="preserve"> Security Council. At this meeting, the differing views of India and Pakistan on the question of Hyderabad were again evident. A flavour of this can be seen from the following</w:t>
      </w:r>
      <w:r w:rsidR="007A7388">
        <w:t xml:space="preserve"> extracts </w:t>
      </w:r>
      <w:r w:rsidR="00EF3F4D">
        <w:t>from the record of the meeting</w:t>
      </w:r>
      <w:r>
        <w:t>. India’s representative stated (amongst many other things):</w:t>
      </w:r>
    </w:p>
    <w:p w14:paraId="70A690C8" w14:textId="77777777" w:rsidR="006901F6" w:rsidRDefault="006901F6" w:rsidP="006901F6">
      <w:pPr>
        <w:autoSpaceDE w:val="0"/>
        <w:spacing w:before="240" w:after="240"/>
        <w:ind w:left="567"/>
        <w:jc w:val="both"/>
        <w:rPr>
          <w:sz w:val="22"/>
          <w:szCs w:val="22"/>
        </w:rPr>
      </w:pPr>
      <w:r>
        <w:rPr>
          <w:sz w:val="22"/>
          <w:szCs w:val="22"/>
        </w:rPr>
        <w:t>“Let me repeat: the action which India was forced to take was not directed against the people of Hyderabad, or even against the ruler, but against a fascist clique which had usurped power and was misusing it in a manner that threatened the tranquillity of India as well as Hyderabad itself. As soon as these men resigned and the Nizam was free to resume charge, he withdrew the complaint which they had made to the United Nations.</w:t>
      </w:r>
    </w:p>
    <w:p w14:paraId="410D4291" w14:textId="77777777" w:rsidR="006901F6" w:rsidRPr="00A30320" w:rsidRDefault="006901F6" w:rsidP="006901F6">
      <w:pPr>
        <w:autoSpaceDE w:val="0"/>
        <w:spacing w:before="240" w:after="240"/>
        <w:ind w:left="567"/>
        <w:jc w:val="both"/>
        <w:rPr>
          <w:sz w:val="22"/>
          <w:szCs w:val="22"/>
        </w:rPr>
      </w:pPr>
      <w:r>
        <w:rPr>
          <w:sz w:val="22"/>
          <w:szCs w:val="22"/>
        </w:rPr>
        <w:t>I ask, is there anything of international significance in all this? Do not let us be led away by words. This complaint is not really made by Hyderabad, but by certain individuals who had once usurped a little brief authority in Hyderabad and have now lost it. They have ceased to represent the ruler; they never represented the people. Whatever dispute or situation they created in Hyderabad has now come to an end, and conditions are gradually settling down to normal. The Nizam and his officers have been co-operating with the Indian authorities in Hyderabad for the restoration of law and order. No Hindu-Muslim clashes have been reported during the last two or three months. Relations between the two communities are cordial. Various good-will missions led by prominent Muslims from various parts of India have toured Hyderabad. There is no ban or restriction on the entry of any visitor into Hyderabad. Press representatives from India and abroad have visited the State without let or hindrance.”</w:t>
      </w:r>
    </w:p>
    <w:p w14:paraId="34BF7C88" w14:textId="77777777" w:rsidR="006901F6" w:rsidRDefault="006901F6" w:rsidP="006901F6">
      <w:pPr>
        <w:autoSpaceDE w:val="0"/>
        <w:spacing w:before="240" w:after="240"/>
        <w:ind w:left="567"/>
        <w:jc w:val="both"/>
      </w:pPr>
      <w:r>
        <w:t>By contrast, Pakistan’s representative stated (again, amongst many other things):</w:t>
      </w:r>
    </w:p>
    <w:p w14:paraId="31194EAA" w14:textId="77777777" w:rsidR="006901F6" w:rsidRDefault="006901F6" w:rsidP="006901F6">
      <w:pPr>
        <w:autoSpaceDE w:val="0"/>
        <w:spacing w:before="240" w:after="240"/>
        <w:ind w:left="567"/>
        <w:jc w:val="both"/>
        <w:rPr>
          <w:sz w:val="22"/>
          <w:szCs w:val="22"/>
        </w:rPr>
      </w:pPr>
      <w:r>
        <w:rPr>
          <w:sz w:val="22"/>
          <w:szCs w:val="22"/>
        </w:rPr>
        <w:t xml:space="preserve">“The representative of India went on to say that the position of the Nizam was that he had been rescued, as it were, from the hands of his provisional Government, he was now perfectly happy under the Military Governor and was perfectly free, and had voluntarily and quite freely directed that the case which had been brought before the Security Council should be withdrawn. The very first step of the Nizam after the march of Indian troops into Hyderabad was to hand over all authority and jurisdiction to the Military Governor. Thereafter, whether he is free or not is immaterial, he has no authority. He has been completely set aside. All authority has been vested in the Military Governor and the administration is in the hands of the Military Governor. </w:t>
      </w:r>
    </w:p>
    <w:p w14:paraId="32EBA0C2" w14:textId="77777777" w:rsidR="006901F6" w:rsidRPr="006901F6" w:rsidRDefault="006901F6" w:rsidP="006901F6">
      <w:pPr>
        <w:autoSpaceDE w:val="0"/>
        <w:spacing w:before="240" w:after="240"/>
        <w:ind w:left="567"/>
        <w:jc w:val="both"/>
        <w:rPr>
          <w:sz w:val="22"/>
          <w:szCs w:val="22"/>
        </w:rPr>
      </w:pPr>
      <w:r>
        <w:rPr>
          <w:sz w:val="22"/>
          <w:szCs w:val="22"/>
        </w:rPr>
        <w:t>There are, however, one or two very significant photographs which show what the position of the Nizam and of his heir apparent is. I shall hand these photographs to representatives on the Council for their examination. Here is a man who is described as the richest man on earth – whether that is a qualification or a disqualification is a different matter – who, up to the march of the military forces of India into Hyderabad, was the ruler, and according to correspondents, the more or less absolute ruler, subject to such grants of authority as he had already made or contemplated making, of 17,500,000 people in a territory extending over 82,000 square miles.</w:t>
      </w:r>
      <w:r>
        <w:rPr>
          <w:rStyle w:val="FootnoteReference"/>
          <w:sz w:val="22"/>
          <w:szCs w:val="22"/>
        </w:rPr>
        <w:footnoteReference w:id="64"/>
      </w:r>
      <w:r>
        <w:rPr>
          <w:sz w:val="22"/>
          <w:szCs w:val="22"/>
        </w:rPr>
        <w:t xml:space="preserve"> In the first photograph </w:t>
      </w:r>
      <w:r>
        <w:rPr>
          <w:sz w:val="22"/>
          <w:szCs w:val="22"/>
        </w:rPr>
        <w:lastRenderedPageBreak/>
        <w:t>he is standing next to the Military Governor, and the very positions of the two form an eloquent commentary on what the position of the Nizam is today. In the second photograph the Nizam is standing between the Military Governor and Pandit Nehru. The third photograph, on the same page, is again extremely eloquent. The Deputy Prime Minister of India, Mr Patel, is receiving His Highness the Prince of Berar, the heir apparent to the Nizam. I will make no comment. Representatives on the Council will themselves see with what distinctive courtesy the Deputy Prime Minister of India is receiving His Highness the Prince of Berar…”</w:t>
      </w:r>
      <w:r w:rsidR="00BF18FF">
        <w:rPr>
          <w:sz w:val="22"/>
          <w:szCs w:val="22"/>
        </w:rPr>
        <w:t>.</w:t>
      </w:r>
    </w:p>
    <w:p w14:paraId="1482F384" w14:textId="77777777" w:rsidR="00885A85" w:rsidRPr="00885A85" w:rsidRDefault="00885A85" w:rsidP="006E3DB9">
      <w:pPr>
        <w:keepNext/>
        <w:tabs>
          <w:tab w:val="left" w:pos="567"/>
        </w:tabs>
        <w:autoSpaceDE w:val="0"/>
        <w:spacing w:before="240" w:after="240"/>
        <w:jc w:val="both"/>
        <w:rPr>
          <w:b/>
          <w:bCs/>
        </w:rPr>
      </w:pPr>
      <w:r>
        <w:rPr>
          <w:b/>
          <w:bCs/>
        </w:rPr>
        <w:t>(4)</w:t>
      </w:r>
      <w:r>
        <w:rPr>
          <w:b/>
          <w:bCs/>
        </w:rPr>
        <w:tab/>
        <w:t xml:space="preserve">Accession of Hyderabad to </w:t>
      </w:r>
      <w:r w:rsidR="00863684">
        <w:rPr>
          <w:b/>
          <w:bCs/>
        </w:rPr>
        <w:t>India</w:t>
      </w:r>
    </w:p>
    <w:p w14:paraId="7EC4DBE7" w14:textId="77777777" w:rsidR="00C80ECB" w:rsidRDefault="00C65056" w:rsidP="00C80ECB">
      <w:pPr>
        <w:numPr>
          <w:ilvl w:val="0"/>
          <w:numId w:val="2"/>
        </w:numPr>
        <w:autoSpaceDE w:val="0"/>
        <w:spacing w:before="240" w:after="240"/>
        <w:jc w:val="both"/>
      </w:pPr>
      <w:r>
        <w:t>Whilst a public international lawyer might expect a single answer to th</w:t>
      </w:r>
      <w:r w:rsidR="00E14EB1">
        <w:t>e</w:t>
      </w:r>
      <w:r>
        <w:t xml:space="preserve"> question</w:t>
      </w:r>
      <w:r w:rsidR="00E14EB1">
        <w:t xml:space="preserve"> of whether</w:t>
      </w:r>
      <w:r w:rsidR="001C2CDF">
        <w:t>,</w:t>
      </w:r>
      <w:r w:rsidR="00E14EB1">
        <w:t xml:space="preserve"> and if so when</w:t>
      </w:r>
      <w:r w:rsidR="001C2CDF">
        <w:t>,</w:t>
      </w:r>
      <w:r w:rsidR="00E14EB1">
        <w:t xml:space="preserve"> Hyderabad acceded </w:t>
      </w:r>
      <w:r w:rsidR="00EE39CE">
        <w:t>to India</w:t>
      </w:r>
      <w:r>
        <w:t xml:space="preserve">, it is quite clear that </w:t>
      </w:r>
      <w:r w:rsidR="00C80ECB">
        <w:t xml:space="preserve">there is no </w:t>
      </w:r>
      <w:r w:rsidR="00DF6AA3">
        <w:t xml:space="preserve">single </w:t>
      </w:r>
      <w:r w:rsidR="006C5118">
        <w:t xml:space="preserve">answer to </w:t>
      </w:r>
      <w:r w:rsidR="00DF6AA3">
        <w:t>this question</w:t>
      </w:r>
      <w:r w:rsidR="00C80ECB">
        <w:t xml:space="preserve">. </w:t>
      </w:r>
      <w:r w:rsidR="00806B97">
        <w:t>It is a part of Pakistan’s case that the conduct of India in invading Hyderabad was unlawful on many levels – on the level of public international law and at municipal law. I have absolutely no doubt that, viewed from the perspective of the law of Pakistan – including her foreign relations law – the invasion of Hyderabad always was and continues to be unlawful</w:t>
      </w:r>
      <w:r w:rsidR="003123C8">
        <w:t xml:space="preserve"> as the invasion by one sovereign state of another</w:t>
      </w:r>
      <w:r w:rsidR="00806B97">
        <w:t xml:space="preserve">. </w:t>
      </w:r>
    </w:p>
    <w:p w14:paraId="61351BA9" w14:textId="77777777" w:rsidR="00B478E3" w:rsidRDefault="00806B97" w:rsidP="00C80ECB">
      <w:pPr>
        <w:numPr>
          <w:ilvl w:val="0"/>
          <w:numId w:val="2"/>
        </w:numPr>
        <w:autoSpaceDE w:val="0"/>
        <w:spacing w:before="240" w:after="240"/>
        <w:jc w:val="both"/>
      </w:pPr>
      <w:r>
        <w:t>I also have absolutely no doubt that, viewed from the perspective of the law of India – including in particular her constitutional law</w:t>
      </w:r>
      <w:r>
        <w:rPr>
          <w:rStyle w:val="FootnoteReference"/>
        </w:rPr>
        <w:footnoteReference w:id="65"/>
      </w:r>
      <w:r>
        <w:t xml:space="preserve"> – Hyderabad </w:t>
      </w:r>
      <w:r w:rsidR="00171260">
        <w:t>h</w:t>
      </w:r>
      <w:r>
        <w:t>as</w:t>
      </w:r>
      <w:r w:rsidR="00171260">
        <w:t xml:space="preserve"> been</w:t>
      </w:r>
      <w:r>
        <w:t xml:space="preserve">, </w:t>
      </w:r>
      <w:r w:rsidR="00C80ECB">
        <w:t>since 1950</w:t>
      </w:r>
      <w:r>
        <w:t xml:space="preserve">, a State within the Union of India, the territory of which </w:t>
      </w:r>
      <w:r w:rsidR="00B478E3">
        <w:rPr>
          <w:u w:val="single"/>
        </w:rPr>
        <w:t>Indian</w:t>
      </w:r>
      <w:r w:rsidR="00B478E3" w:rsidRPr="00B478E3">
        <w:t xml:space="preserve"> State </w:t>
      </w:r>
      <w:r>
        <w:t xml:space="preserve">was subsumed into three other States of the Indian Union in 1956. </w:t>
      </w:r>
      <w:r w:rsidR="00AD667C">
        <w:t xml:space="preserve">It was India’s case that </w:t>
      </w:r>
      <w:r w:rsidR="00DB7D89">
        <w:t>Hyderabad was, at no time, a sovereign state</w:t>
      </w:r>
      <w:r w:rsidR="0082549D">
        <w:t>.</w:t>
      </w:r>
      <w:r w:rsidR="0082549D">
        <w:rPr>
          <w:rStyle w:val="FootnoteReference"/>
        </w:rPr>
        <w:footnoteReference w:id="66"/>
      </w:r>
    </w:p>
    <w:p w14:paraId="4D730E37" w14:textId="77777777" w:rsidR="00806B97" w:rsidRDefault="00806B97" w:rsidP="00C80ECB">
      <w:pPr>
        <w:numPr>
          <w:ilvl w:val="0"/>
          <w:numId w:val="2"/>
        </w:numPr>
        <w:autoSpaceDE w:val="0"/>
        <w:spacing w:before="240" w:after="240"/>
        <w:jc w:val="both"/>
      </w:pPr>
      <w:r>
        <w:t xml:space="preserve">However, it does not seem to me that these perspectives are of any assistance to me. I am sitting as a Justice of the High Court of England and Wales, and it is my duty to apply English municipal law, including English foreign relations law, to the extent </w:t>
      </w:r>
      <w:r w:rsidR="003D4AF6">
        <w:t xml:space="preserve">that </w:t>
      </w:r>
      <w:r w:rsidR="00561548">
        <w:t xml:space="preserve">the status of Hyderabad is </w:t>
      </w:r>
      <w:r>
        <w:t>relevant</w:t>
      </w:r>
      <w:r w:rsidR="00561548">
        <w:t xml:space="preserve"> to these proceedings</w:t>
      </w:r>
      <w:r>
        <w:t xml:space="preserve">. </w:t>
      </w:r>
      <w:r w:rsidR="00F62C39">
        <w:t xml:space="preserve">Questions of foreign affairs </w:t>
      </w:r>
      <w:r w:rsidR="00CB711F">
        <w:t xml:space="preserve">arising </w:t>
      </w:r>
      <w:r w:rsidR="00F62C39">
        <w:t xml:space="preserve">in English courts have, as will be described, </w:t>
      </w:r>
      <w:r w:rsidR="00CB711F">
        <w:t>English law answers</w:t>
      </w:r>
      <w:r>
        <w:t>.</w:t>
      </w:r>
    </w:p>
    <w:p w14:paraId="51F53C6E" w14:textId="77777777" w:rsidR="00665B57" w:rsidRPr="004A6BB7" w:rsidRDefault="00D365DE" w:rsidP="00AF5D33">
      <w:pPr>
        <w:keepNext/>
        <w:tabs>
          <w:tab w:val="left" w:pos="567"/>
        </w:tabs>
        <w:autoSpaceDE w:val="0"/>
        <w:spacing w:before="240" w:after="240"/>
        <w:jc w:val="both"/>
        <w:rPr>
          <w:b/>
          <w:bCs/>
        </w:rPr>
      </w:pPr>
      <w:r>
        <w:rPr>
          <w:b/>
          <w:bCs/>
        </w:rPr>
        <w:t>D</w:t>
      </w:r>
      <w:r w:rsidR="00CB66EF">
        <w:rPr>
          <w:b/>
          <w:bCs/>
        </w:rPr>
        <w:t>.</w:t>
      </w:r>
      <w:r w:rsidR="00CB66EF">
        <w:rPr>
          <w:b/>
          <w:bCs/>
        </w:rPr>
        <w:tab/>
        <w:t>THE PAYMENT INTO THE RAHIMTOOLA ACCOUNT</w:t>
      </w:r>
    </w:p>
    <w:p w14:paraId="481C29BE" w14:textId="77777777" w:rsidR="00FF2D12" w:rsidRPr="00DC4DE1" w:rsidRDefault="00DC4DE1" w:rsidP="00AF5D33">
      <w:pPr>
        <w:keepNext/>
        <w:tabs>
          <w:tab w:val="left" w:pos="567"/>
        </w:tabs>
        <w:autoSpaceDE w:val="0"/>
        <w:spacing w:before="240" w:after="240"/>
        <w:jc w:val="both"/>
        <w:rPr>
          <w:b/>
          <w:bCs/>
        </w:rPr>
      </w:pPr>
      <w:r>
        <w:rPr>
          <w:b/>
          <w:bCs/>
        </w:rPr>
        <w:t>(</w:t>
      </w:r>
      <w:r w:rsidR="002C36E5">
        <w:rPr>
          <w:b/>
          <w:bCs/>
        </w:rPr>
        <w:t>1</w:t>
      </w:r>
      <w:r>
        <w:rPr>
          <w:b/>
          <w:bCs/>
        </w:rPr>
        <w:t>)</w:t>
      </w:r>
      <w:r>
        <w:rPr>
          <w:b/>
          <w:bCs/>
        </w:rPr>
        <w:tab/>
      </w:r>
      <w:r w:rsidR="00BF5373">
        <w:rPr>
          <w:b/>
          <w:bCs/>
        </w:rPr>
        <w:t xml:space="preserve">Establishment of the Hyderabad </w:t>
      </w:r>
      <w:r w:rsidR="00305036">
        <w:rPr>
          <w:b/>
          <w:bCs/>
        </w:rPr>
        <w:t>State Bank</w:t>
      </w:r>
      <w:r w:rsidR="00BF5373">
        <w:rPr>
          <w:b/>
          <w:bCs/>
        </w:rPr>
        <w:t xml:space="preserve"> Account</w:t>
      </w:r>
    </w:p>
    <w:p w14:paraId="7B7A396F" w14:textId="77777777" w:rsidR="008F551D" w:rsidRDefault="008F551D" w:rsidP="007E67DC">
      <w:pPr>
        <w:numPr>
          <w:ilvl w:val="0"/>
          <w:numId w:val="2"/>
        </w:numPr>
        <w:autoSpaceDE w:val="0"/>
        <w:spacing w:before="240" w:after="240"/>
        <w:jc w:val="both"/>
      </w:pPr>
      <w:r>
        <w:t>On 16 September 1947</w:t>
      </w:r>
      <w:r w:rsidR="00E25936">
        <w:t xml:space="preserve">, </w:t>
      </w:r>
      <w:r w:rsidR="00243EED" w:rsidRPr="00243EED">
        <w:t>Nawab Mir Nawaz Jung</w:t>
      </w:r>
      <w:r w:rsidR="00243EED">
        <w:t xml:space="preserve"> (</w:t>
      </w:r>
      <w:r w:rsidR="00243EED">
        <w:rPr>
          <w:b/>
          <w:bCs/>
        </w:rPr>
        <w:t>Mir</w:t>
      </w:r>
      <w:r w:rsidR="00243EED">
        <w:t>)</w:t>
      </w:r>
      <w:r w:rsidR="00243EED" w:rsidRPr="00243EED">
        <w:t xml:space="preserve">, Agent General for Hyderabad in London </w:t>
      </w:r>
      <w:r w:rsidR="00E25936" w:rsidRPr="00243EED">
        <w:t xml:space="preserve">cabled </w:t>
      </w:r>
      <w:r w:rsidR="00920400">
        <w:t xml:space="preserve">the Finance Minister </w:t>
      </w:r>
      <w:r w:rsidR="00E25936" w:rsidRPr="00243EED">
        <w:t>in the followi</w:t>
      </w:r>
      <w:r w:rsidR="00E25936">
        <w:t>ng terms:</w:t>
      </w:r>
    </w:p>
    <w:p w14:paraId="1AFA483E" w14:textId="77777777" w:rsidR="00E25936" w:rsidRPr="00E25936" w:rsidRDefault="00E25936" w:rsidP="00E25936">
      <w:pPr>
        <w:autoSpaceDE w:val="0"/>
        <w:spacing w:before="240" w:after="240"/>
        <w:ind w:left="567"/>
        <w:jc w:val="both"/>
        <w:rPr>
          <w:sz w:val="22"/>
          <w:szCs w:val="22"/>
        </w:rPr>
      </w:pPr>
      <w:r>
        <w:rPr>
          <w:sz w:val="22"/>
          <w:szCs w:val="22"/>
        </w:rPr>
        <w:t>“Imperial Bank</w:t>
      </w:r>
      <w:r w:rsidR="00C611CD">
        <w:rPr>
          <w:sz w:val="22"/>
          <w:szCs w:val="22"/>
        </w:rPr>
        <w:t>, whose branch here has our large funds, is subject to jurisdiction of Government of India</w:t>
      </w:r>
      <w:r w:rsidR="00815EFE">
        <w:rPr>
          <w:sz w:val="22"/>
          <w:szCs w:val="22"/>
        </w:rPr>
        <w:t xml:space="preserve"> under the Imperial Bank Act. It would be safer to transfer them to an English bank. I </w:t>
      </w:r>
      <w:r w:rsidR="00F758A5">
        <w:rPr>
          <w:sz w:val="22"/>
          <w:szCs w:val="22"/>
        </w:rPr>
        <w:t xml:space="preserve">suggest Westminster Bank and Mr Laik Ali agrees with my view and suggestion. If you approve, kindly </w:t>
      </w:r>
      <w:r w:rsidR="006303D7">
        <w:rPr>
          <w:sz w:val="22"/>
          <w:szCs w:val="22"/>
        </w:rPr>
        <w:t>make arrangements by code cable from Imperial Bank Hyderabad to Imperial Bank London.”</w:t>
      </w:r>
    </w:p>
    <w:p w14:paraId="0EB2422D" w14:textId="77777777" w:rsidR="00FF2D12" w:rsidRDefault="00732046" w:rsidP="007E67DC">
      <w:pPr>
        <w:numPr>
          <w:ilvl w:val="0"/>
          <w:numId w:val="2"/>
        </w:numPr>
        <w:autoSpaceDE w:val="0"/>
        <w:spacing w:before="240" w:after="240"/>
        <w:jc w:val="both"/>
      </w:pPr>
      <w:r>
        <w:lastRenderedPageBreak/>
        <w:t>Gupta</w:t>
      </w:r>
      <w:r w:rsidR="00394411">
        <w:t xml:space="preserve"> wrote to the General Managers of</w:t>
      </w:r>
      <w:r w:rsidR="0005083B">
        <w:t xml:space="preserve"> </w:t>
      </w:r>
      <w:r w:rsidR="00B12A80">
        <w:t>the</w:t>
      </w:r>
      <w:r w:rsidR="00394411">
        <w:t xml:space="preserve"> Bank</w:t>
      </w:r>
      <w:r w:rsidR="009E3756">
        <w:t xml:space="preserve"> a letter dated both 21 and 22 October 1947</w:t>
      </w:r>
      <w:r w:rsidR="00394411">
        <w:t xml:space="preserve"> </w:t>
      </w:r>
      <w:r w:rsidR="00141F5D">
        <w:t>in the following terms:</w:t>
      </w:r>
    </w:p>
    <w:p w14:paraId="67A16F0B" w14:textId="77777777" w:rsidR="00141F5D" w:rsidRDefault="00141F5D" w:rsidP="00141F5D">
      <w:pPr>
        <w:autoSpaceDE w:val="0"/>
        <w:spacing w:before="240" w:after="240"/>
        <w:ind w:left="567"/>
        <w:jc w:val="both"/>
        <w:rPr>
          <w:sz w:val="22"/>
          <w:szCs w:val="22"/>
        </w:rPr>
      </w:pPr>
      <w:r>
        <w:rPr>
          <w:sz w:val="22"/>
          <w:szCs w:val="22"/>
        </w:rPr>
        <w:t xml:space="preserve">“I wish to draw your attention </w:t>
      </w:r>
      <w:r w:rsidR="002B1A91">
        <w:rPr>
          <w:sz w:val="22"/>
          <w:szCs w:val="22"/>
        </w:rPr>
        <w:t xml:space="preserve">to the discussions that </w:t>
      </w:r>
      <w:r w:rsidR="00877517">
        <w:rPr>
          <w:sz w:val="22"/>
          <w:szCs w:val="22"/>
        </w:rPr>
        <w:t>[Mir]</w:t>
      </w:r>
      <w:r w:rsidR="004F6ADE">
        <w:rPr>
          <w:sz w:val="22"/>
          <w:szCs w:val="22"/>
        </w:rPr>
        <w:t xml:space="preserve"> had some time back with the Chairman and Directors </w:t>
      </w:r>
      <w:r w:rsidR="00187080">
        <w:rPr>
          <w:sz w:val="22"/>
          <w:szCs w:val="22"/>
        </w:rPr>
        <w:t xml:space="preserve">of </w:t>
      </w:r>
      <w:r w:rsidR="00A164E7">
        <w:rPr>
          <w:sz w:val="22"/>
          <w:szCs w:val="22"/>
        </w:rPr>
        <w:t>[</w:t>
      </w:r>
      <w:r w:rsidR="00B12A80">
        <w:rPr>
          <w:sz w:val="22"/>
          <w:szCs w:val="22"/>
        </w:rPr>
        <w:t xml:space="preserve">the </w:t>
      </w:r>
      <w:r w:rsidR="00187080">
        <w:rPr>
          <w:sz w:val="22"/>
          <w:szCs w:val="22"/>
        </w:rPr>
        <w:t>Bank</w:t>
      </w:r>
      <w:r w:rsidR="00A164E7">
        <w:rPr>
          <w:sz w:val="22"/>
          <w:szCs w:val="22"/>
        </w:rPr>
        <w:t>]</w:t>
      </w:r>
      <w:r w:rsidR="00187080">
        <w:rPr>
          <w:sz w:val="22"/>
          <w:szCs w:val="22"/>
        </w:rPr>
        <w:t xml:space="preserve"> </w:t>
      </w:r>
      <w:r w:rsidR="0026449A">
        <w:rPr>
          <w:sz w:val="22"/>
          <w:szCs w:val="22"/>
        </w:rPr>
        <w:t xml:space="preserve">in connection with the establishment of agency arrangements between the Hyderabad State Bank and </w:t>
      </w:r>
      <w:r w:rsidR="0005083B">
        <w:rPr>
          <w:sz w:val="22"/>
          <w:szCs w:val="22"/>
        </w:rPr>
        <w:t>[</w:t>
      </w:r>
      <w:r w:rsidR="00B12A80">
        <w:rPr>
          <w:sz w:val="22"/>
          <w:szCs w:val="22"/>
        </w:rPr>
        <w:t xml:space="preserve">the </w:t>
      </w:r>
      <w:r w:rsidR="0026449A">
        <w:rPr>
          <w:sz w:val="22"/>
          <w:szCs w:val="22"/>
        </w:rPr>
        <w:t>Bank</w:t>
      </w:r>
      <w:r w:rsidR="0005083B">
        <w:rPr>
          <w:sz w:val="22"/>
          <w:szCs w:val="22"/>
        </w:rPr>
        <w:t>]</w:t>
      </w:r>
      <w:r w:rsidR="00A164E7">
        <w:rPr>
          <w:sz w:val="22"/>
          <w:szCs w:val="22"/>
        </w:rPr>
        <w:t xml:space="preserve">. The question of agency arrangements is engaging the attention of His Exalted Highness’ Government and a communication </w:t>
      </w:r>
      <w:r w:rsidR="001E130E">
        <w:rPr>
          <w:sz w:val="22"/>
          <w:szCs w:val="22"/>
        </w:rPr>
        <w:t xml:space="preserve">will be sent to you in due course. </w:t>
      </w:r>
      <w:r w:rsidR="004172BA">
        <w:rPr>
          <w:sz w:val="22"/>
          <w:szCs w:val="22"/>
        </w:rPr>
        <w:t>It will, however, take some time before the term</w:t>
      </w:r>
      <w:r w:rsidR="00920400">
        <w:rPr>
          <w:sz w:val="22"/>
          <w:szCs w:val="22"/>
        </w:rPr>
        <w:t>s</w:t>
      </w:r>
      <w:r w:rsidR="004172BA">
        <w:rPr>
          <w:sz w:val="22"/>
          <w:szCs w:val="22"/>
        </w:rPr>
        <w:t xml:space="preserve"> of these agency agreements are finally settled</w:t>
      </w:r>
      <w:r w:rsidR="009C68CF">
        <w:rPr>
          <w:sz w:val="22"/>
          <w:szCs w:val="22"/>
        </w:rPr>
        <w:t xml:space="preserve"> between the parties and, therefore, as a first step towards the proposed arrangements, His Exalted Highness’ Government have decided </w:t>
      </w:r>
      <w:r w:rsidR="00B90C69">
        <w:rPr>
          <w:sz w:val="22"/>
          <w:szCs w:val="22"/>
        </w:rPr>
        <w:t>that the Hyderabad State Bank should maintain a current account at one of your branches at London with Government funds</w:t>
      </w:r>
      <w:r w:rsidR="00437C2E">
        <w:rPr>
          <w:sz w:val="22"/>
          <w:szCs w:val="22"/>
        </w:rPr>
        <w:t>. An official letter about this propos</w:t>
      </w:r>
      <w:r w:rsidR="00920400">
        <w:rPr>
          <w:sz w:val="22"/>
          <w:szCs w:val="22"/>
        </w:rPr>
        <w:t>al</w:t>
      </w:r>
      <w:r w:rsidR="00437C2E">
        <w:rPr>
          <w:sz w:val="22"/>
          <w:szCs w:val="22"/>
        </w:rPr>
        <w:t xml:space="preserve"> is enclosed herewith for your consideration and I hope that you will kindly take early action in the matter.”</w:t>
      </w:r>
    </w:p>
    <w:p w14:paraId="372DE9C4" w14:textId="77777777" w:rsidR="00BD7AAE" w:rsidRPr="00BD7AAE" w:rsidRDefault="009E3756" w:rsidP="00BD7AAE">
      <w:pPr>
        <w:numPr>
          <w:ilvl w:val="0"/>
          <w:numId w:val="2"/>
        </w:numPr>
        <w:autoSpaceDE w:val="0"/>
        <w:spacing w:before="240" w:after="240"/>
        <w:jc w:val="both"/>
        <w:rPr>
          <w:sz w:val="22"/>
          <w:szCs w:val="22"/>
        </w:rPr>
      </w:pPr>
      <w:r w:rsidRPr="009E3756">
        <w:t>A letter to Mr RAB Allan, Managing Director, Hyderabad State Bank</w:t>
      </w:r>
      <w:r w:rsidR="00956E76">
        <w:t xml:space="preserve">, also dated 21 October 1947, and also signed by Gupta, </w:t>
      </w:r>
      <w:r w:rsidR="00BD7AAE">
        <w:t>stated:</w:t>
      </w:r>
    </w:p>
    <w:p w14:paraId="776DC5D6" w14:textId="77777777" w:rsidR="00A42911" w:rsidRDefault="00BD7AAE" w:rsidP="00BD7AAE">
      <w:pPr>
        <w:autoSpaceDE w:val="0"/>
        <w:spacing w:before="240" w:after="240"/>
        <w:ind w:left="567"/>
        <w:jc w:val="both"/>
        <w:rPr>
          <w:sz w:val="22"/>
          <w:szCs w:val="22"/>
        </w:rPr>
      </w:pPr>
      <w:r>
        <w:rPr>
          <w:sz w:val="22"/>
          <w:szCs w:val="22"/>
        </w:rPr>
        <w:t>“</w:t>
      </w:r>
      <w:r w:rsidR="00F46D20">
        <w:rPr>
          <w:sz w:val="22"/>
          <w:szCs w:val="22"/>
        </w:rPr>
        <w:t xml:space="preserve">I am to state that His Exalted Highness the Nizam’s Government desire that arrangements should be made </w:t>
      </w:r>
      <w:r w:rsidR="007F161C">
        <w:rPr>
          <w:sz w:val="22"/>
          <w:szCs w:val="22"/>
        </w:rPr>
        <w:t>to open with an appropriate office of [</w:t>
      </w:r>
      <w:r w:rsidR="00581342">
        <w:rPr>
          <w:sz w:val="22"/>
          <w:szCs w:val="22"/>
        </w:rPr>
        <w:t xml:space="preserve">the </w:t>
      </w:r>
      <w:r w:rsidR="007F161C">
        <w:rPr>
          <w:sz w:val="22"/>
          <w:szCs w:val="22"/>
        </w:rPr>
        <w:t>Bank], in London, a current account with Government funds</w:t>
      </w:r>
      <w:r w:rsidR="00166896">
        <w:rPr>
          <w:sz w:val="22"/>
          <w:szCs w:val="22"/>
        </w:rPr>
        <w:t xml:space="preserve"> in the name of the Hyderabad State Bank. This account will be operated </w:t>
      </w:r>
      <w:r w:rsidR="000402BC">
        <w:rPr>
          <w:sz w:val="22"/>
          <w:szCs w:val="22"/>
        </w:rPr>
        <w:t>by the Managing Director, Hyderabad State Bank and one other responsible</w:t>
      </w:r>
      <w:r w:rsidR="00A42911">
        <w:rPr>
          <w:sz w:val="22"/>
          <w:szCs w:val="22"/>
        </w:rPr>
        <w:t xml:space="preserve"> Officer of the Bank to be named by the Managing Director.</w:t>
      </w:r>
    </w:p>
    <w:p w14:paraId="494BA771" w14:textId="77777777" w:rsidR="00BD7AAE" w:rsidRDefault="00A42911" w:rsidP="00BD7AAE">
      <w:pPr>
        <w:autoSpaceDE w:val="0"/>
        <w:spacing w:before="240" w:after="240"/>
        <w:ind w:left="567"/>
        <w:jc w:val="both"/>
        <w:rPr>
          <w:sz w:val="22"/>
          <w:szCs w:val="22"/>
        </w:rPr>
      </w:pPr>
      <w:r>
        <w:rPr>
          <w:sz w:val="22"/>
          <w:szCs w:val="22"/>
        </w:rPr>
        <w:t>In pursuance of this decision</w:t>
      </w:r>
      <w:r w:rsidR="000C3010">
        <w:rPr>
          <w:sz w:val="22"/>
          <w:szCs w:val="22"/>
        </w:rPr>
        <w:t xml:space="preserve"> of the Government, I am arranging to place a sum of £2,000,000/-</w:t>
      </w:r>
      <w:r w:rsidR="00205875">
        <w:rPr>
          <w:sz w:val="22"/>
          <w:szCs w:val="22"/>
        </w:rPr>
        <w:t xml:space="preserve"> (Two million pounds only)</w:t>
      </w:r>
      <w:r w:rsidR="00DF0A14">
        <w:rPr>
          <w:sz w:val="22"/>
          <w:szCs w:val="22"/>
        </w:rPr>
        <w:t xml:space="preserve"> at the disposal of the Head Office of [</w:t>
      </w:r>
      <w:r w:rsidR="00E00589">
        <w:rPr>
          <w:sz w:val="22"/>
          <w:szCs w:val="22"/>
        </w:rPr>
        <w:t xml:space="preserve">the </w:t>
      </w:r>
      <w:r w:rsidR="00DF0A14">
        <w:rPr>
          <w:sz w:val="22"/>
          <w:szCs w:val="22"/>
        </w:rPr>
        <w:t>Bank]</w:t>
      </w:r>
      <w:r w:rsidR="006171E6">
        <w:rPr>
          <w:sz w:val="22"/>
          <w:szCs w:val="22"/>
        </w:rPr>
        <w:t xml:space="preserve">. You are requested kindly to send this office </w:t>
      </w:r>
      <w:r w:rsidR="00735A11">
        <w:rPr>
          <w:sz w:val="22"/>
          <w:szCs w:val="22"/>
        </w:rPr>
        <w:t xml:space="preserve">your specimen signature [form] so that these specimen signatures may be attested </w:t>
      </w:r>
      <w:r w:rsidR="00A41867">
        <w:rPr>
          <w:sz w:val="22"/>
          <w:szCs w:val="22"/>
        </w:rPr>
        <w:t>and forwarded to [</w:t>
      </w:r>
      <w:r w:rsidR="00E00589">
        <w:rPr>
          <w:sz w:val="22"/>
          <w:szCs w:val="22"/>
        </w:rPr>
        <w:t>the</w:t>
      </w:r>
      <w:r w:rsidR="00A41867">
        <w:rPr>
          <w:sz w:val="22"/>
          <w:szCs w:val="22"/>
        </w:rPr>
        <w:t xml:space="preserve"> Bank]. </w:t>
      </w:r>
    </w:p>
    <w:p w14:paraId="766367E6" w14:textId="77777777" w:rsidR="00A41867" w:rsidRPr="00BD7AAE" w:rsidRDefault="00A41867" w:rsidP="00BD7AAE">
      <w:pPr>
        <w:autoSpaceDE w:val="0"/>
        <w:spacing w:before="240" w:after="240"/>
        <w:ind w:left="567"/>
        <w:jc w:val="both"/>
        <w:rPr>
          <w:sz w:val="22"/>
          <w:szCs w:val="22"/>
        </w:rPr>
      </w:pPr>
      <w:r>
        <w:rPr>
          <w:sz w:val="22"/>
          <w:szCs w:val="22"/>
        </w:rPr>
        <w:t>In case [</w:t>
      </w:r>
      <w:r w:rsidR="00E00589">
        <w:rPr>
          <w:sz w:val="22"/>
          <w:szCs w:val="22"/>
        </w:rPr>
        <w:t>the</w:t>
      </w:r>
      <w:r>
        <w:rPr>
          <w:sz w:val="22"/>
          <w:szCs w:val="22"/>
        </w:rPr>
        <w:t xml:space="preserve"> Bank] desires that any Account Opening Forms should be signed</w:t>
      </w:r>
      <w:r w:rsidR="00FA068E">
        <w:rPr>
          <w:sz w:val="22"/>
          <w:szCs w:val="22"/>
        </w:rPr>
        <w:t xml:space="preserve">, such forms will be received by you through the Agent General </w:t>
      </w:r>
      <w:r w:rsidR="00632777">
        <w:rPr>
          <w:sz w:val="22"/>
          <w:szCs w:val="22"/>
        </w:rPr>
        <w:t>for Hyderabad in London [i.e. Mir] and you are requested kindly to take immediate action to complete and return the forms to the Agent General.”</w:t>
      </w:r>
    </w:p>
    <w:p w14:paraId="5E95D831" w14:textId="77777777" w:rsidR="00D12485" w:rsidRPr="00EA38E4" w:rsidRDefault="00544913" w:rsidP="00BD7AAE">
      <w:pPr>
        <w:numPr>
          <w:ilvl w:val="0"/>
          <w:numId w:val="2"/>
        </w:numPr>
        <w:autoSpaceDE w:val="0"/>
        <w:spacing w:before="240" w:after="240"/>
        <w:jc w:val="both"/>
        <w:rPr>
          <w:sz w:val="22"/>
          <w:szCs w:val="22"/>
        </w:rPr>
      </w:pPr>
      <w:r>
        <w:t xml:space="preserve">On 22 October </w:t>
      </w:r>
      <w:r w:rsidR="00BD7CA3">
        <w:t>19</w:t>
      </w:r>
      <w:r w:rsidR="00F776FA">
        <w:t>4</w:t>
      </w:r>
      <w:r w:rsidR="00BD7CA3">
        <w:t xml:space="preserve">7, Gupta </w:t>
      </w:r>
      <w:r w:rsidR="00EA38E4">
        <w:t xml:space="preserve">again wrote to </w:t>
      </w:r>
      <w:r w:rsidR="00E00589">
        <w:t>the</w:t>
      </w:r>
      <w:r w:rsidR="00EA38E4">
        <w:t xml:space="preserve"> Bank:</w:t>
      </w:r>
    </w:p>
    <w:p w14:paraId="3593B089" w14:textId="77777777" w:rsidR="00EA38E4" w:rsidRPr="00EA38E4" w:rsidRDefault="00EA38E4" w:rsidP="00EA38E4">
      <w:pPr>
        <w:autoSpaceDE w:val="0"/>
        <w:spacing w:before="240" w:after="240"/>
        <w:ind w:left="567"/>
        <w:jc w:val="both"/>
        <w:rPr>
          <w:sz w:val="22"/>
          <w:szCs w:val="22"/>
        </w:rPr>
      </w:pPr>
      <w:r>
        <w:rPr>
          <w:sz w:val="22"/>
          <w:szCs w:val="22"/>
        </w:rPr>
        <w:t>“</w:t>
      </w:r>
      <w:r w:rsidR="00141628">
        <w:rPr>
          <w:sz w:val="22"/>
          <w:szCs w:val="22"/>
        </w:rPr>
        <w:t xml:space="preserve">His Exalted Highness the Nizam’s Government desire that the Hyderabad State Bank </w:t>
      </w:r>
      <w:r w:rsidR="00B032F1">
        <w:rPr>
          <w:sz w:val="22"/>
          <w:szCs w:val="22"/>
        </w:rPr>
        <w:t>should maintain a current account with [</w:t>
      </w:r>
      <w:r w:rsidR="00E7768D">
        <w:rPr>
          <w:sz w:val="22"/>
          <w:szCs w:val="22"/>
        </w:rPr>
        <w:t>the</w:t>
      </w:r>
      <w:r w:rsidR="00B032F1">
        <w:rPr>
          <w:sz w:val="22"/>
          <w:szCs w:val="22"/>
        </w:rPr>
        <w:t xml:space="preserve"> Bank].</w:t>
      </w:r>
      <w:r w:rsidR="00C53507">
        <w:rPr>
          <w:sz w:val="22"/>
          <w:szCs w:val="22"/>
        </w:rPr>
        <w:t xml:space="preserve"> I have, therefore, separately instructed the Imperial Bank of India, London, to place a sum of £2,000,000/- (Two Million Pounds only) at the disposal of </w:t>
      </w:r>
      <w:r w:rsidR="0041791F">
        <w:rPr>
          <w:sz w:val="22"/>
          <w:szCs w:val="22"/>
        </w:rPr>
        <w:t xml:space="preserve">your Head Office and you are requested kindly to open at an appropriate branch a current account </w:t>
      </w:r>
      <w:r w:rsidR="001F7906">
        <w:rPr>
          <w:sz w:val="22"/>
          <w:szCs w:val="22"/>
        </w:rPr>
        <w:t xml:space="preserve">in the name of the Hyderabad State Bank and credit thereto the above mentioned amount. This account will be operated </w:t>
      </w:r>
      <w:r w:rsidR="00D34D06">
        <w:rPr>
          <w:sz w:val="22"/>
          <w:szCs w:val="22"/>
        </w:rPr>
        <w:t>upon by the Managing Director of the Hyderabad State Bank himself</w:t>
      </w:r>
      <w:r w:rsidR="002F1A49">
        <w:rPr>
          <w:sz w:val="22"/>
          <w:szCs w:val="22"/>
        </w:rPr>
        <w:t xml:space="preserve"> and one other senior officer of that Bank to be named by the Managing Director</w:t>
      </w:r>
      <w:r w:rsidR="00862618">
        <w:rPr>
          <w:sz w:val="22"/>
          <w:szCs w:val="22"/>
        </w:rPr>
        <w:t xml:space="preserve">. For the present the specimen signatures of </w:t>
      </w:r>
      <w:r w:rsidR="008E7D12">
        <w:rPr>
          <w:sz w:val="22"/>
          <w:szCs w:val="22"/>
        </w:rPr>
        <w:t xml:space="preserve">Mr RAB </w:t>
      </w:r>
      <w:r w:rsidR="00862618">
        <w:rPr>
          <w:sz w:val="22"/>
          <w:szCs w:val="22"/>
        </w:rPr>
        <w:t>Allan</w:t>
      </w:r>
      <w:r w:rsidR="00421497">
        <w:rPr>
          <w:sz w:val="22"/>
          <w:szCs w:val="22"/>
        </w:rPr>
        <w:t>, Managing Director, Hyderabad State Bank</w:t>
      </w:r>
      <w:r w:rsidR="00862618">
        <w:rPr>
          <w:sz w:val="22"/>
          <w:szCs w:val="22"/>
        </w:rPr>
        <w:t xml:space="preserve">, duly attested by me, are enclosed herewith. </w:t>
      </w:r>
      <w:r w:rsidR="00341612">
        <w:rPr>
          <w:sz w:val="22"/>
          <w:szCs w:val="22"/>
        </w:rPr>
        <w:t>I shall be glad to learn about the action taken by you in the matter.”</w:t>
      </w:r>
    </w:p>
    <w:p w14:paraId="7DE83E59" w14:textId="77777777" w:rsidR="00EA38E4" w:rsidRPr="00314A48" w:rsidRDefault="00AC4EBC" w:rsidP="00D618CF">
      <w:pPr>
        <w:autoSpaceDE w:val="0"/>
        <w:spacing w:before="240" w:after="240"/>
        <w:ind w:left="567"/>
        <w:jc w:val="both"/>
      </w:pPr>
      <w:r w:rsidRPr="00314A48">
        <w:t>The specimen signatures were enclosed.</w:t>
      </w:r>
    </w:p>
    <w:p w14:paraId="51ACE094" w14:textId="77777777" w:rsidR="00C64443" w:rsidRDefault="00C64443" w:rsidP="00A40DFD">
      <w:pPr>
        <w:numPr>
          <w:ilvl w:val="0"/>
          <w:numId w:val="2"/>
        </w:numPr>
        <w:autoSpaceDE w:val="0"/>
        <w:spacing w:before="240" w:after="240"/>
        <w:jc w:val="both"/>
      </w:pPr>
      <w:r w:rsidRPr="00314A48">
        <w:t xml:space="preserve">I shall refer to this account, which was in due course set up, as the </w:t>
      </w:r>
      <w:r w:rsidRPr="008F6BAD">
        <w:rPr>
          <w:b/>
          <w:bCs/>
        </w:rPr>
        <w:t xml:space="preserve">Hyderabad </w:t>
      </w:r>
      <w:r w:rsidR="00D87A73">
        <w:rPr>
          <w:b/>
          <w:bCs/>
        </w:rPr>
        <w:t>State Bank</w:t>
      </w:r>
      <w:r w:rsidR="009B4F8B" w:rsidRPr="008F6BAD">
        <w:rPr>
          <w:b/>
          <w:bCs/>
        </w:rPr>
        <w:t xml:space="preserve"> </w:t>
      </w:r>
      <w:r w:rsidRPr="008F6BAD">
        <w:rPr>
          <w:b/>
          <w:bCs/>
        </w:rPr>
        <w:t>Acc</w:t>
      </w:r>
      <w:r w:rsidR="009B4F8B" w:rsidRPr="008F6BAD">
        <w:rPr>
          <w:b/>
          <w:bCs/>
        </w:rPr>
        <w:t>ount</w:t>
      </w:r>
      <w:r w:rsidR="009B4F8B" w:rsidRPr="00314A48">
        <w:t>.</w:t>
      </w:r>
      <w:r w:rsidR="00321226">
        <w:t xml:space="preserve"> It is quite clear – but bears emphasising – that this was an official account</w:t>
      </w:r>
      <w:r w:rsidR="006F72F8">
        <w:t xml:space="preserve">, to be operated by the Managing Director </w:t>
      </w:r>
      <w:r w:rsidR="006C0F19">
        <w:t xml:space="preserve">of the central bank of Hyderabad (the </w:t>
      </w:r>
      <w:r w:rsidR="006C0F19">
        <w:rPr>
          <w:b/>
          <w:bCs/>
        </w:rPr>
        <w:t>Hyderabad State Bank</w:t>
      </w:r>
      <w:r w:rsidR="006C0F19">
        <w:t xml:space="preserve">) </w:t>
      </w:r>
      <w:r w:rsidR="008A1C61">
        <w:t>– then RAB Allan (</w:t>
      </w:r>
      <w:r w:rsidR="008A1C61">
        <w:rPr>
          <w:b/>
          <w:bCs/>
        </w:rPr>
        <w:t>Allan</w:t>
      </w:r>
      <w:r w:rsidR="008A1C61">
        <w:t xml:space="preserve">) – and a senior officer </w:t>
      </w:r>
      <w:r w:rsidR="002F084B">
        <w:t>of Hyderabad State Bank to be nominated by him.</w:t>
      </w:r>
    </w:p>
    <w:p w14:paraId="70307E88" w14:textId="77777777" w:rsidR="002F084B" w:rsidRPr="00314A48" w:rsidRDefault="00C6518A" w:rsidP="00A40DFD">
      <w:pPr>
        <w:numPr>
          <w:ilvl w:val="0"/>
          <w:numId w:val="2"/>
        </w:numPr>
        <w:autoSpaceDE w:val="0"/>
        <w:spacing w:before="240" w:after="240"/>
        <w:jc w:val="both"/>
      </w:pPr>
      <w:r>
        <w:lastRenderedPageBreak/>
        <w:t xml:space="preserve">Annex 3 </w:t>
      </w:r>
      <w:r w:rsidR="00D154E6">
        <w:t xml:space="preserve">to this Judgment </w:t>
      </w:r>
      <w:r w:rsidR="005E78D3" w:rsidRPr="00731246">
        <w:t>set</w:t>
      </w:r>
      <w:r>
        <w:t>s</w:t>
      </w:r>
      <w:r w:rsidR="005E78D3" w:rsidRPr="00731246">
        <w:t xml:space="preserve"> out the various dealings on the three accounts here in issue, namely the Hyderabad </w:t>
      </w:r>
      <w:r w:rsidR="00D87A73">
        <w:t>State Bank</w:t>
      </w:r>
      <w:r w:rsidR="005E78D3" w:rsidRPr="00731246">
        <w:t xml:space="preserve"> Account, the Second Account and the Rahimtoola Account. From time to time, this Judgment will make reference to these dealings. The transactions listed in Annex 3 are numbered, and I shall refer to them as </w:t>
      </w:r>
      <w:r w:rsidR="005E78D3" w:rsidRPr="00731246">
        <w:rPr>
          <w:b/>
          <w:bCs/>
        </w:rPr>
        <w:t xml:space="preserve">Transaction </w:t>
      </w:r>
      <w:r w:rsidR="005E78D3" w:rsidRPr="00731246">
        <w:rPr>
          <w:b/>
          <w:bCs/>
          <w:i/>
          <w:iCs/>
        </w:rPr>
        <w:t>x</w:t>
      </w:r>
      <w:r w:rsidR="005E78D3" w:rsidRPr="00731246">
        <w:t xml:space="preserve">, where </w:t>
      </w:r>
      <w:r w:rsidR="005E78D3" w:rsidRPr="00731246">
        <w:rPr>
          <w:i/>
          <w:iCs/>
        </w:rPr>
        <w:t xml:space="preserve">x </w:t>
      </w:r>
      <w:r w:rsidR="005E78D3" w:rsidRPr="00731246">
        <w:t>is the numbered transaction listed in Annex 3.</w:t>
      </w:r>
    </w:p>
    <w:p w14:paraId="0F730F69" w14:textId="77777777" w:rsidR="00D10047" w:rsidRPr="00314A48" w:rsidRDefault="00D618CF" w:rsidP="001336B7">
      <w:pPr>
        <w:numPr>
          <w:ilvl w:val="0"/>
          <w:numId w:val="2"/>
        </w:numPr>
        <w:autoSpaceDE w:val="0"/>
        <w:spacing w:before="240" w:after="240"/>
        <w:jc w:val="both"/>
      </w:pPr>
      <w:r w:rsidRPr="00314A48">
        <w:t>On the same day</w:t>
      </w:r>
      <w:r w:rsidR="00F776FA" w:rsidRPr="00314A48">
        <w:t xml:space="preserve"> (22 October 1947)</w:t>
      </w:r>
      <w:r w:rsidRPr="00314A48">
        <w:t xml:space="preserve">, </w:t>
      </w:r>
      <w:r w:rsidR="00AF6B65" w:rsidRPr="00314A48">
        <w:t xml:space="preserve">Imperial Bank of India was instructed to transfer the sum of £2,000,000 to </w:t>
      </w:r>
      <w:r w:rsidR="005E3152">
        <w:t>the</w:t>
      </w:r>
      <w:r w:rsidR="00AF6B65" w:rsidRPr="00314A48">
        <w:t xml:space="preserve"> Bank.</w:t>
      </w:r>
      <w:r w:rsidR="00A40DFD" w:rsidRPr="00314A48">
        <w:t xml:space="preserve"> </w:t>
      </w:r>
      <w:r w:rsidR="00DF6C00" w:rsidRPr="00314A48">
        <w:t xml:space="preserve">On 23 October </w:t>
      </w:r>
      <w:r w:rsidR="00D8479F" w:rsidRPr="00314A48">
        <w:t xml:space="preserve">1947, Allan wrote to Westminster Bank regarding </w:t>
      </w:r>
      <w:r w:rsidR="00A40DFD" w:rsidRPr="00314A48">
        <w:t xml:space="preserve">details of the operation of the </w:t>
      </w:r>
      <w:r w:rsidR="009B4F8B" w:rsidRPr="00314A48">
        <w:t xml:space="preserve">Hyderabad </w:t>
      </w:r>
      <w:r w:rsidR="00BE7D0F" w:rsidRPr="00314A48">
        <w:t xml:space="preserve">Government </w:t>
      </w:r>
      <w:r w:rsidR="009B4F8B" w:rsidRPr="00314A48">
        <w:t>A</w:t>
      </w:r>
      <w:r w:rsidR="00A40DFD" w:rsidRPr="00314A48">
        <w:t>ccount.</w:t>
      </w:r>
    </w:p>
    <w:p w14:paraId="4C22E71E" w14:textId="77777777" w:rsidR="00752C2E" w:rsidRPr="00314A48" w:rsidRDefault="00752C2E" w:rsidP="00A40DFD">
      <w:pPr>
        <w:numPr>
          <w:ilvl w:val="0"/>
          <w:numId w:val="2"/>
        </w:numPr>
        <w:autoSpaceDE w:val="0"/>
        <w:spacing w:before="240" w:after="240"/>
        <w:jc w:val="both"/>
      </w:pPr>
      <w:r w:rsidRPr="00314A48">
        <w:t xml:space="preserve">The Bank – by a letter </w:t>
      </w:r>
      <w:r w:rsidR="00D03CFA">
        <w:t xml:space="preserve">addressed to Allan and </w:t>
      </w:r>
      <w:r w:rsidRPr="00314A48">
        <w:t xml:space="preserve">dated 28 October 1947 – responded positively to the proposal that </w:t>
      </w:r>
      <w:r w:rsidR="009A28BB" w:rsidRPr="00314A48">
        <w:t xml:space="preserve">an account be opened. </w:t>
      </w:r>
      <w:r w:rsidR="009C1EFD" w:rsidRPr="00314A48">
        <w:t xml:space="preserve">The Bank did make the point that </w:t>
      </w:r>
      <w:r w:rsidR="00314A48" w:rsidRPr="00314A48">
        <w:t>a current account would not be interest bearing, whereas a deposit account would be:</w:t>
      </w:r>
    </w:p>
    <w:p w14:paraId="720937AC" w14:textId="77777777" w:rsidR="00314A48" w:rsidRDefault="00314A48" w:rsidP="00314A48">
      <w:pPr>
        <w:autoSpaceDE w:val="0"/>
        <w:spacing w:before="240" w:after="240"/>
        <w:ind w:left="567"/>
        <w:jc w:val="both"/>
        <w:rPr>
          <w:sz w:val="22"/>
          <w:szCs w:val="22"/>
        </w:rPr>
      </w:pPr>
      <w:r>
        <w:rPr>
          <w:sz w:val="22"/>
          <w:szCs w:val="22"/>
        </w:rPr>
        <w:t>“By an instruction</w:t>
      </w:r>
      <w:r w:rsidR="00D06A55">
        <w:rPr>
          <w:sz w:val="22"/>
          <w:szCs w:val="22"/>
        </w:rPr>
        <w:t xml:space="preserve"> issued by the Committee of London Clearing Banks in 1945, interest on current account was no longer permitted, but on the other hand</w:t>
      </w:r>
      <w:r w:rsidR="00EA20A8">
        <w:rPr>
          <w:sz w:val="22"/>
          <w:szCs w:val="22"/>
        </w:rPr>
        <w:t xml:space="preserve"> we can accept deposits for any fixed period, minimum 14 days, or if preferred a continuing deposit subject to 14 days’ notice of withdrawal, at the rate of one-h</w:t>
      </w:r>
      <w:r w:rsidR="004B1FB2">
        <w:rPr>
          <w:sz w:val="22"/>
          <w:szCs w:val="22"/>
        </w:rPr>
        <w:t>a</w:t>
      </w:r>
      <w:r w:rsidR="00EA20A8">
        <w:rPr>
          <w:sz w:val="22"/>
          <w:szCs w:val="22"/>
        </w:rPr>
        <w:t xml:space="preserve">lf </w:t>
      </w:r>
      <w:r w:rsidR="00EE7D81">
        <w:rPr>
          <w:sz w:val="22"/>
          <w:szCs w:val="22"/>
        </w:rPr>
        <w:t>per cent per annum.”</w:t>
      </w:r>
    </w:p>
    <w:p w14:paraId="66A9B027" w14:textId="77777777" w:rsidR="00B602F9" w:rsidRDefault="005E3152" w:rsidP="00EC7E7D">
      <w:pPr>
        <w:autoSpaceDE w:val="0"/>
        <w:spacing w:before="240" w:after="240"/>
        <w:ind w:left="567"/>
        <w:jc w:val="both"/>
      </w:pPr>
      <w:r>
        <w:t>The</w:t>
      </w:r>
      <w:r w:rsidR="00EE7D81" w:rsidRPr="00EE7D81">
        <w:t xml:space="preserve"> Bank also responded</w:t>
      </w:r>
      <w:r w:rsidR="00EC7E7D">
        <w:t>, in this letter,</w:t>
      </w:r>
      <w:r w:rsidR="00EE7D81" w:rsidRPr="00EE7D81">
        <w:t xml:space="preserve"> to </w:t>
      </w:r>
      <w:r w:rsidR="00EE7D81">
        <w:t xml:space="preserve">the points Allan had made regarding </w:t>
      </w:r>
      <w:r w:rsidR="00375E5B">
        <w:t>the operation of the Hyderabad Government Account.</w:t>
      </w:r>
    </w:p>
    <w:p w14:paraId="16D7ACF3" w14:textId="77777777" w:rsidR="00314A48" w:rsidRDefault="00D03CFA" w:rsidP="00A40DFD">
      <w:pPr>
        <w:numPr>
          <w:ilvl w:val="0"/>
          <w:numId w:val="2"/>
        </w:numPr>
        <w:autoSpaceDE w:val="0"/>
        <w:spacing w:before="240" w:after="240"/>
        <w:jc w:val="both"/>
      </w:pPr>
      <w:r>
        <w:t>On 29 October</w:t>
      </w:r>
      <w:r w:rsidR="00375E5B">
        <w:t xml:space="preserve"> </w:t>
      </w:r>
      <w:r>
        <w:t xml:space="preserve">1947, </w:t>
      </w:r>
      <w:r w:rsidR="00F038A1">
        <w:t>the</w:t>
      </w:r>
      <w:r w:rsidR="0034433B">
        <w:t xml:space="preserve"> Bank wrote a further letter to Allan. This stated, amongst other things, that:</w:t>
      </w:r>
    </w:p>
    <w:p w14:paraId="6B12A584" w14:textId="77777777" w:rsidR="0034433B" w:rsidRPr="0034433B" w:rsidRDefault="0034433B" w:rsidP="0034433B">
      <w:pPr>
        <w:autoSpaceDE w:val="0"/>
        <w:spacing w:before="240" w:after="240"/>
        <w:ind w:left="567"/>
        <w:jc w:val="both"/>
        <w:rPr>
          <w:sz w:val="22"/>
          <w:szCs w:val="22"/>
        </w:rPr>
      </w:pPr>
      <w:r>
        <w:rPr>
          <w:sz w:val="22"/>
          <w:szCs w:val="22"/>
        </w:rPr>
        <w:t xml:space="preserve">“The Agent General for the State of Hyderabad </w:t>
      </w:r>
      <w:r w:rsidR="00A21221">
        <w:rPr>
          <w:sz w:val="22"/>
          <w:szCs w:val="22"/>
        </w:rPr>
        <w:t>[i.e. Mir] called here today</w:t>
      </w:r>
      <w:r w:rsidR="00AF792C">
        <w:rPr>
          <w:sz w:val="22"/>
          <w:szCs w:val="22"/>
        </w:rPr>
        <w:t xml:space="preserve"> to discuss this matter with my Chairman, the Honourable Rupert Beckett, and myself and expressed general approval</w:t>
      </w:r>
      <w:r w:rsidR="009128F5">
        <w:rPr>
          <w:sz w:val="22"/>
          <w:szCs w:val="22"/>
        </w:rPr>
        <w:t xml:space="preserve"> of the arrangements we propose for the opening and conduct of the account. We agree that the account should be domiciled at our Foreign Branch Office</w:t>
      </w:r>
      <w:r w:rsidR="00C408A3">
        <w:rPr>
          <w:sz w:val="22"/>
          <w:szCs w:val="22"/>
        </w:rPr>
        <w:t xml:space="preserve"> (situated in this building)</w:t>
      </w:r>
      <w:r w:rsidR="00C665B2">
        <w:rPr>
          <w:sz w:val="22"/>
          <w:szCs w:val="22"/>
        </w:rPr>
        <w:t xml:space="preserve"> where facilities exist for conducting such specialised transactions as we envisage you may from time to time require</w:t>
      </w:r>
      <w:r w:rsidR="00FC0857">
        <w:rPr>
          <w:sz w:val="22"/>
          <w:szCs w:val="22"/>
        </w:rPr>
        <w:t>…”</w:t>
      </w:r>
    </w:p>
    <w:p w14:paraId="45649E7B" w14:textId="77777777" w:rsidR="0034433B" w:rsidRPr="00EE7D81" w:rsidRDefault="00FC0857" w:rsidP="00A40DFD">
      <w:pPr>
        <w:numPr>
          <w:ilvl w:val="0"/>
          <w:numId w:val="2"/>
        </w:numPr>
        <w:autoSpaceDE w:val="0"/>
        <w:spacing w:before="240" w:after="240"/>
        <w:jc w:val="both"/>
      </w:pPr>
      <w:r>
        <w:t xml:space="preserve">On 30 October 1947, </w:t>
      </w:r>
      <w:r w:rsidR="00F038A1">
        <w:t>the</w:t>
      </w:r>
      <w:r>
        <w:t xml:space="preserve"> Bank confirmed</w:t>
      </w:r>
      <w:r w:rsidR="00366355">
        <w:t xml:space="preserve"> to Mir that</w:t>
      </w:r>
      <w:r>
        <w:t xml:space="preserve"> </w:t>
      </w:r>
      <w:r w:rsidR="00D2559B">
        <w:t>“we have today rec</w:t>
      </w:r>
      <w:r w:rsidR="008914B3">
        <w:t>e</w:t>
      </w:r>
      <w:r w:rsidR="00D2559B">
        <w:t>ived the £2,000,000 (Two million pounds) from the Imperial Bank of India</w:t>
      </w:r>
      <w:r w:rsidR="005E4373">
        <w:t xml:space="preserve"> and have placed the amount on deposit at 14 days’ notice bearing interest at one-half per cent per annum”.</w:t>
      </w:r>
      <w:r w:rsidR="008D069E">
        <w:t xml:space="preserve"> By a letter of the </w:t>
      </w:r>
      <w:r w:rsidR="008F1573">
        <w:t xml:space="preserve">same date, </w:t>
      </w:r>
      <w:r w:rsidR="005E3152">
        <w:t>the</w:t>
      </w:r>
      <w:r w:rsidR="008F1573">
        <w:t xml:space="preserve"> Bank informed Gupta of the opening of the account</w:t>
      </w:r>
      <w:r w:rsidR="006A4A09">
        <w:t xml:space="preserve"> and the specimen signatures of Allan (but not the other signatory) had been received.</w:t>
      </w:r>
      <w:r w:rsidR="00F038A1">
        <w:t xml:space="preserve"> </w:t>
      </w:r>
      <w:r w:rsidR="002E067C">
        <w:t>This is Transaction 1 in Annex 3.</w:t>
      </w:r>
    </w:p>
    <w:p w14:paraId="4020B351" w14:textId="77777777" w:rsidR="00E25485" w:rsidRPr="00E25485" w:rsidRDefault="00E25485" w:rsidP="00BA736F">
      <w:pPr>
        <w:keepNext/>
        <w:tabs>
          <w:tab w:val="left" w:pos="567"/>
        </w:tabs>
        <w:autoSpaceDE w:val="0"/>
        <w:spacing w:before="240" w:after="240"/>
        <w:jc w:val="both"/>
        <w:rPr>
          <w:b/>
          <w:bCs/>
        </w:rPr>
      </w:pPr>
      <w:r>
        <w:rPr>
          <w:b/>
          <w:bCs/>
        </w:rPr>
        <w:t>(</w:t>
      </w:r>
      <w:r w:rsidR="00E25A58">
        <w:rPr>
          <w:b/>
          <w:bCs/>
        </w:rPr>
        <w:t>2</w:t>
      </w:r>
      <w:r>
        <w:rPr>
          <w:b/>
          <w:bCs/>
        </w:rPr>
        <w:t>)</w:t>
      </w:r>
      <w:r>
        <w:rPr>
          <w:b/>
          <w:bCs/>
        </w:rPr>
        <w:tab/>
      </w:r>
      <w:r w:rsidR="00C4085F">
        <w:rPr>
          <w:b/>
          <w:bCs/>
        </w:rPr>
        <w:t>Establishment of the Second Account</w:t>
      </w:r>
    </w:p>
    <w:p w14:paraId="418C1413" w14:textId="77777777" w:rsidR="00E25485" w:rsidRDefault="00897536" w:rsidP="007E67DC">
      <w:pPr>
        <w:numPr>
          <w:ilvl w:val="0"/>
          <w:numId w:val="2"/>
        </w:numPr>
        <w:autoSpaceDE w:val="0"/>
        <w:spacing w:before="240" w:after="240"/>
        <w:jc w:val="both"/>
      </w:pPr>
      <w:r>
        <w:t xml:space="preserve">On 1 April 1948, </w:t>
      </w:r>
      <w:r w:rsidR="008914B3">
        <w:t>Moin</w:t>
      </w:r>
      <w:r>
        <w:t xml:space="preserve"> </w:t>
      </w:r>
      <w:r w:rsidR="0037209B">
        <w:t>wrote to Allan as follows:</w:t>
      </w:r>
    </w:p>
    <w:p w14:paraId="35EAFB17" w14:textId="77777777" w:rsidR="0037209B" w:rsidRDefault="0037209B" w:rsidP="0037209B">
      <w:pPr>
        <w:autoSpaceDE w:val="0"/>
        <w:spacing w:before="240" w:after="240"/>
        <w:ind w:left="567"/>
        <w:jc w:val="both"/>
        <w:rPr>
          <w:sz w:val="22"/>
          <w:szCs w:val="22"/>
        </w:rPr>
      </w:pPr>
      <w:r>
        <w:rPr>
          <w:sz w:val="22"/>
          <w:szCs w:val="22"/>
        </w:rPr>
        <w:t>“</w:t>
      </w:r>
      <w:r w:rsidR="00913C46">
        <w:rPr>
          <w:sz w:val="22"/>
          <w:szCs w:val="22"/>
        </w:rPr>
        <w:t xml:space="preserve">With reference to our conversation the other day I write to confirm that out of the £2 millions sterling </w:t>
      </w:r>
      <w:r w:rsidR="005E3FC3">
        <w:rPr>
          <w:sz w:val="22"/>
          <w:szCs w:val="22"/>
        </w:rPr>
        <w:t xml:space="preserve">deposited by the Nizam’s Government with the Westminster Bank, London, the sum of one million pounds sterling </w:t>
      </w:r>
      <w:r w:rsidR="00103694">
        <w:rPr>
          <w:sz w:val="22"/>
          <w:szCs w:val="22"/>
        </w:rPr>
        <w:t>may kindly be transferred to another account in favour of the Nizam’s Government</w:t>
      </w:r>
      <w:r w:rsidR="002136CD">
        <w:rPr>
          <w:sz w:val="22"/>
          <w:szCs w:val="22"/>
        </w:rPr>
        <w:t xml:space="preserve"> on the same terms and conditions as were applicable to the original deposit of £2 millions with the instruction that the new account </w:t>
      </w:r>
      <w:r w:rsidR="005C2B98">
        <w:rPr>
          <w:sz w:val="22"/>
          <w:szCs w:val="22"/>
        </w:rPr>
        <w:t xml:space="preserve">will be operated upon by the Agent General for Hyderabad in London [i.e. </w:t>
      </w:r>
      <w:r w:rsidR="00102272">
        <w:rPr>
          <w:sz w:val="22"/>
          <w:szCs w:val="22"/>
        </w:rPr>
        <w:t xml:space="preserve">at that time </w:t>
      </w:r>
      <w:r w:rsidR="005C2B98">
        <w:rPr>
          <w:sz w:val="22"/>
          <w:szCs w:val="22"/>
        </w:rPr>
        <w:t>Mir] and/or the Finance Minister of the Nizam’s Government</w:t>
      </w:r>
      <w:r w:rsidR="003E5211">
        <w:rPr>
          <w:sz w:val="22"/>
          <w:szCs w:val="22"/>
        </w:rPr>
        <w:t xml:space="preserve"> [i.e. </w:t>
      </w:r>
      <w:r w:rsidR="00102272">
        <w:rPr>
          <w:sz w:val="22"/>
          <w:szCs w:val="22"/>
        </w:rPr>
        <w:t xml:space="preserve">at that time </w:t>
      </w:r>
      <w:r w:rsidR="003E5211">
        <w:rPr>
          <w:sz w:val="22"/>
          <w:szCs w:val="22"/>
        </w:rPr>
        <w:t>Moin]</w:t>
      </w:r>
      <w:r w:rsidR="005C2B98">
        <w:rPr>
          <w:sz w:val="22"/>
          <w:szCs w:val="22"/>
        </w:rPr>
        <w:t>.</w:t>
      </w:r>
    </w:p>
    <w:p w14:paraId="12AF6133" w14:textId="77777777" w:rsidR="005C2B98" w:rsidRPr="0037209B" w:rsidRDefault="005C2B98" w:rsidP="0037209B">
      <w:pPr>
        <w:autoSpaceDE w:val="0"/>
        <w:spacing w:before="240" w:after="240"/>
        <w:ind w:left="567"/>
        <w:jc w:val="both"/>
        <w:rPr>
          <w:sz w:val="22"/>
          <w:szCs w:val="22"/>
        </w:rPr>
      </w:pPr>
      <w:r>
        <w:rPr>
          <w:sz w:val="22"/>
          <w:szCs w:val="22"/>
        </w:rPr>
        <w:t xml:space="preserve">I shall be grateful </w:t>
      </w:r>
      <w:r w:rsidR="008D5012">
        <w:rPr>
          <w:sz w:val="22"/>
          <w:szCs w:val="22"/>
        </w:rPr>
        <w:t>if you will kindly take necessary action as indicated above and let me know.”</w:t>
      </w:r>
    </w:p>
    <w:p w14:paraId="6D308BB6" w14:textId="77777777" w:rsidR="0037209B" w:rsidRDefault="000A4A06" w:rsidP="007E67DC">
      <w:pPr>
        <w:numPr>
          <w:ilvl w:val="0"/>
          <w:numId w:val="2"/>
        </w:numPr>
        <w:autoSpaceDE w:val="0"/>
        <w:spacing w:before="240" w:after="240"/>
        <w:jc w:val="both"/>
      </w:pPr>
      <w:r>
        <w:lastRenderedPageBreak/>
        <w:t>On 2 April 19</w:t>
      </w:r>
      <w:r w:rsidR="00D4686E">
        <w:t xml:space="preserve">48, Allan wrote to </w:t>
      </w:r>
      <w:r w:rsidR="00D87A73">
        <w:t>the</w:t>
      </w:r>
      <w:r w:rsidR="00D4686E">
        <w:t xml:space="preserve"> Bank requesting that an account b</w:t>
      </w:r>
      <w:r w:rsidR="00664CC7">
        <w:t>e</w:t>
      </w:r>
      <w:r w:rsidR="00D4686E">
        <w:t xml:space="preserve"> opened in these terms.</w:t>
      </w:r>
      <w:r w:rsidR="008F6BAD">
        <w:t xml:space="preserve"> I </w:t>
      </w:r>
      <w:r w:rsidR="00EE464F">
        <w:t xml:space="preserve">have </w:t>
      </w:r>
      <w:r w:rsidR="008F6BAD">
        <w:t>refer</w:t>
      </w:r>
      <w:r w:rsidR="00EE464F">
        <w:t>red</w:t>
      </w:r>
      <w:r w:rsidR="008F6BAD">
        <w:t xml:space="preserve"> to this account </w:t>
      </w:r>
      <w:r w:rsidR="008E44FC">
        <w:t xml:space="preserve">– in paragraph 5 above – </w:t>
      </w:r>
      <w:r w:rsidR="008F6BAD">
        <w:t xml:space="preserve">as the </w:t>
      </w:r>
      <w:r w:rsidR="008F6BAD" w:rsidRPr="00EE464F">
        <w:t>Second Account</w:t>
      </w:r>
      <w:r w:rsidR="008F6BAD">
        <w:t>.</w:t>
      </w:r>
      <w:r w:rsidR="00C611F5">
        <w:t xml:space="preserve"> As with </w:t>
      </w:r>
      <w:r w:rsidR="00C611F5" w:rsidRPr="00314A48">
        <w:t xml:space="preserve">the </w:t>
      </w:r>
      <w:r w:rsidR="00C611F5" w:rsidRPr="00C611F5">
        <w:t>Hyderabad Government Account</w:t>
      </w:r>
      <w:r w:rsidR="00C611F5">
        <w:t>,</w:t>
      </w:r>
      <w:r w:rsidR="00C611F5" w:rsidRPr="00C611F5">
        <w:t xml:space="preserve"> </w:t>
      </w:r>
      <w:r w:rsidR="00C611F5">
        <w:t xml:space="preserve">this was an official account. However, control of its </w:t>
      </w:r>
      <w:r w:rsidR="00967564">
        <w:t>operation moved away from officials of the</w:t>
      </w:r>
      <w:r w:rsidR="00C611F5">
        <w:t xml:space="preserve"> </w:t>
      </w:r>
      <w:r w:rsidR="00C611F5" w:rsidRPr="00967564">
        <w:t>Hyderabad State Bank</w:t>
      </w:r>
      <w:r w:rsidR="00967564">
        <w:t xml:space="preserve"> to Moin and Mir in their official </w:t>
      </w:r>
      <w:r w:rsidR="00102272">
        <w:t xml:space="preserve">capacities. </w:t>
      </w:r>
      <w:r w:rsidR="008C07CE">
        <w:t>It is important to note that</w:t>
      </w:r>
      <w:r w:rsidR="006136D3">
        <w:t xml:space="preserve"> </w:t>
      </w:r>
      <w:r w:rsidR="00397BD1">
        <w:t>Moin</w:t>
      </w:r>
      <w:r w:rsidR="008C07CE">
        <w:t xml:space="preserve">’s 1 April 1948 letter to Allan referred to </w:t>
      </w:r>
      <w:r w:rsidR="00EB55AF">
        <w:t xml:space="preserve">himself and </w:t>
      </w:r>
      <w:r w:rsidR="00397BD1">
        <w:t>Mir</w:t>
      </w:r>
      <w:r w:rsidR="00EB55AF">
        <w:t xml:space="preserve"> not by reference to their names but to the offices they held. There is no doubt in my mind that had </w:t>
      </w:r>
      <w:r w:rsidR="00A235E3">
        <w:t>Nizam VII decided to replace one or other of these gentlemen, it would be their successors in office that would have responsibility for the Second Account.</w:t>
      </w:r>
    </w:p>
    <w:p w14:paraId="7A6CA911" w14:textId="77777777" w:rsidR="00B00E06" w:rsidRDefault="00B00E06" w:rsidP="007E67DC">
      <w:pPr>
        <w:numPr>
          <w:ilvl w:val="0"/>
          <w:numId w:val="2"/>
        </w:numPr>
        <w:autoSpaceDE w:val="0"/>
        <w:spacing w:before="240" w:after="240"/>
        <w:jc w:val="both"/>
      </w:pPr>
      <w:r>
        <w:t xml:space="preserve">On 4 April 1948, Moin wrote to Mir noting </w:t>
      </w:r>
      <w:r w:rsidR="00245253">
        <w:t>the establishment of the Hyderabad Government Account and the subsequent setting up of the Second Account</w:t>
      </w:r>
      <w:r w:rsidR="004A74FD">
        <w:t>. Regarding the Second Account, Moin said:</w:t>
      </w:r>
    </w:p>
    <w:p w14:paraId="359EFD5E" w14:textId="77777777" w:rsidR="004A74FD" w:rsidRDefault="002B4A00" w:rsidP="004A74FD">
      <w:pPr>
        <w:autoSpaceDE w:val="0"/>
        <w:spacing w:before="240" w:after="240"/>
        <w:ind w:left="567"/>
        <w:jc w:val="both"/>
        <w:rPr>
          <w:sz w:val="22"/>
          <w:szCs w:val="22"/>
        </w:rPr>
      </w:pPr>
      <w:r>
        <w:rPr>
          <w:sz w:val="22"/>
          <w:szCs w:val="22"/>
        </w:rPr>
        <w:t>“…</w:t>
      </w:r>
      <w:r w:rsidR="00FC2C73">
        <w:rPr>
          <w:sz w:val="22"/>
          <w:szCs w:val="22"/>
        </w:rPr>
        <w:t>The intention of course was that the account will be operated upon by the Finance Minister himself</w:t>
      </w:r>
      <w:r w:rsidR="004E2C79">
        <w:rPr>
          <w:sz w:val="22"/>
          <w:szCs w:val="22"/>
        </w:rPr>
        <w:t xml:space="preserve"> [i.e. Moin] or by the Agent General [i.e. Mir] under instructions </w:t>
      </w:r>
      <w:r w:rsidR="00D123AC">
        <w:rPr>
          <w:sz w:val="22"/>
          <w:szCs w:val="22"/>
        </w:rPr>
        <w:t>from the Finance Minister.</w:t>
      </w:r>
    </w:p>
    <w:p w14:paraId="2F6AD34B" w14:textId="77777777" w:rsidR="00B1203B" w:rsidRPr="00E1312C" w:rsidRDefault="00D123AC" w:rsidP="00E1312C">
      <w:pPr>
        <w:autoSpaceDE w:val="0"/>
        <w:spacing w:before="240" w:after="240"/>
        <w:ind w:left="567"/>
        <w:jc w:val="both"/>
        <w:rPr>
          <w:sz w:val="22"/>
          <w:szCs w:val="22"/>
        </w:rPr>
      </w:pPr>
      <w:r>
        <w:rPr>
          <w:sz w:val="22"/>
          <w:szCs w:val="22"/>
        </w:rPr>
        <w:t>In view of the present circumstances it is however considered advisable</w:t>
      </w:r>
      <w:r w:rsidR="007E4B07">
        <w:rPr>
          <w:sz w:val="22"/>
          <w:szCs w:val="22"/>
        </w:rPr>
        <w:t>, as a measure of protection, that the High Commissioner of Pakistan in the UK</w:t>
      </w:r>
      <w:r>
        <w:rPr>
          <w:sz w:val="22"/>
          <w:szCs w:val="22"/>
        </w:rPr>
        <w:t xml:space="preserve"> </w:t>
      </w:r>
      <w:r w:rsidR="00404382">
        <w:rPr>
          <w:sz w:val="22"/>
          <w:szCs w:val="22"/>
        </w:rPr>
        <w:t xml:space="preserve">should also be authorised to operate on this account and this fact should be communicated </w:t>
      </w:r>
      <w:r w:rsidR="000D4E47">
        <w:rPr>
          <w:sz w:val="22"/>
          <w:szCs w:val="22"/>
        </w:rPr>
        <w:t>to [</w:t>
      </w:r>
      <w:r w:rsidR="00052B3C">
        <w:rPr>
          <w:sz w:val="22"/>
          <w:szCs w:val="22"/>
        </w:rPr>
        <w:t xml:space="preserve">the </w:t>
      </w:r>
      <w:r w:rsidR="000D4E47">
        <w:rPr>
          <w:sz w:val="22"/>
          <w:szCs w:val="22"/>
        </w:rPr>
        <w:t xml:space="preserve">Bank]. Like the Hyderabad Agent General, the High Commissioner of Pakistan will also operate </w:t>
      </w:r>
      <w:r w:rsidR="00441587">
        <w:rPr>
          <w:sz w:val="22"/>
          <w:szCs w:val="22"/>
        </w:rPr>
        <w:t>on this account under instructions from the Finance Minister of the Nizam’s Government.”</w:t>
      </w:r>
      <w:r>
        <w:rPr>
          <w:sz w:val="22"/>
          <w:szCs w:val="22"/>
        </w:rPr>
        <w:t xml:space="preserve"> </w:t>
      </w:r>
    </w:p>
    <w:p w14:paraId="3038BD69" w14:textId="77777777" w:rsidR="00F41FEE" w:rsidRDefault="00816AF9" w:rsidP="007E67DC">
      <w:pPr>
        <w:numPr>
          <w:ilvl w:val="0"/>
          <w:numId w:val="2"/>
        </w:numPr>
        <w:autoSpaceDE w:val="0"/>
        <w:spacing w:before="240" w:after="240"/>
        <w:jc w:val="both"/>
      </w:pPr>
      <w:r>
        <w:t xml:space="preserve">On 7 April 1948, </w:t>
      </w:r>
      <w:r w:rsidR="00D87A73">
        <w:t>the</w:t>
      </w:r>
      <w:r>
        <w:t xml:space="preserve"> Bank</w:t>
      </w:r>
      <w:r w:rsidR="00561823">
        <w:t xml:space="preserve"> wrote to Allan</w:t>
      </w:r>
      <w:r w:rsidR="00492762">
        <w:t xml:space="preserve"> confirming that the second account had been opened</w:t>
      </w:r>
      <w:r w:rsidR="00607869">
        <w:t xml:space="preserve"> and the sum of £1,000,000 transferred </w:t>
      </w:r>
      <w:r w:rsidR="008164D2">
        <w:t>to it</w:t>
      </w:r>
      <w:r w:rsidR="00F03384">
        <w:t xml:space="preserve">. </w:t>
      </w:r>
      <w:r w:rsidR="00BA7066">
        <w:t xml:space="preserve">This is Transaction 2 in Annex 3. </w:t>
      </w:r>
      <w:r w:rsidR="00F03384">
        <w:t xml:space="preserve">However, because Allan’s letter to the </w:t>
      </w:r>
      <w:r w:rsidR="00693D3D">
        <w:t>B</w:t>
      </w:r>
      <w:r w:rsidR="00F03384">
        <w:t xml:space="preserve">ank (see paragraph </w:t>
      </w:r>
      <w:r w:rsidR="00693D3D">
        <w:t>97</w:t>
      </w:r>
      <w:r w:rsidR="00F03384">
        <w:t xml:space="preserve"> above) had only mentioned two signatories, no reference was made to </w:t>
      </w:r>
      <w:r w:rsidR="000720E7">
        <w:t xml:space="preserve">the High Commissioner </w:t>
      </w:r>
      <w:r w:rsidR="008164D2">
        <w:t xml:space="preserve">of Pakistan </w:t>
      </w:r>
      <w:r w:rsidR="000720E7">
        <w:t>being a signatory.</w:t>
      </w:r>
      <w:r w:rsidR="007D6107">
        <w:t xml:space="preserve"> </w:t>
      </w:r>
      <w:r w:rsidR="005A3B2B">
        <w:t>Although t</w:t>
      </w:r>
      <w:r w:rsidR="00020EC2">
        <w:t xml:space="preserve">he possibility of </w:t>
      </w:r>
      <w:r w:rsidR="00397BD1">
        <w:t xml:space="preserve">Rahimtoola as </w:t>
      </w:r>
      <w:r w:rsidR="00020EC2">
        <w:t xml:space="preserve">a third signatory was raised with </w:t>
      </w:r>
      <w:r w:rsidR="00C611F5">
        <w:t>the</w:t>
      </w:r>
      <w:r w:rsidR="00020EC2">
        <w:t xml:space="preserve"> Bank,</w:t>
      </w:r>
      <w:r w:rsidR="00020EC2">
        <w:rPr>
          <w:rStyle w:val="FootnoteReference"/>
        </w:rPr>
        <w:footnoteReference w:id="67"/>
      </w:r>
      <w:r w:rsidR="00F41FEE">
        <w:t xml:space="preserve"> no third signatory was ever recognised</w:t>
      </w:r>
      <w:r w:rsidR="00980EA1">
        <w:t xml:space="preserve"> on the Second Account</w:t>
      </w:r>
      <w:r w:rsidR="00F41FEE">
        <w:t>.</w:t>
      </w:r>
    </w:p>
    <w:p w14:paraId="0BC744D5" w14:textId="77777777" w:rsidR="00FB0F3B" w:rsidRPr="00FB0F3B" w:rsidRDefault="00FB0F3B" w:rsidP="00C82F5C">
      <w:pPr>
        <w:keepNext/>
        <w:tabs>
          <w:tab w:val="left" w:pos="567"/>
        </w:tabs>
        <w:autoSpaceDE w:val="0"/>
        <w:spacing w:before="240" w:after="240"/>
        <w:ind w:left="567" w:hanging="567"/>
        <w:jc w:val="both"/>
        <w:rPr>
          <w:b/>
          <w:bCs/>
        </w:rPr>
      </w:pPr>
      <w:r>
        <w:rPr>
          <w:b/>
          <w:bCs/>
        </w:rPr>
        <w:t>(3)</w:t>
      </w:r>
      <w:r>
        <w:rPr>
          <w:b/>
          <w:bCs/>
        </w:rPr>
        <w:tab/>
        <w:t xml:space="preserve">Transfer of the balance of the Hyderabad </w:t>
      </w:r>
      <w:r w:rsidR="00D87A73">
        <w:rPr>
          <w:b/>
          <w:bCs/>
        </w:rPr>
        <w:t>State Bank</w:t>
      </w:r>
      <w:r>
        <w:rPr>
          <w:b/>
          <w:bCs/>
        </w:rPr>
        <w:t xml:space="preserve"> Account to the Second Account</w:t>
      </w:r>
    </w:p>
    <w:p w14:paraId="76A85121" w14:textId="77777777" w:rsidR="00FB0F3B" w:rsidRDefault="0038798E" w:rsidP="007E67DC">
      <w:pPr>
        <w:numPr>
          <w:ilvl w:val="0"/>
          <w:numId w:val="2"/>
        </w:numPr>
        <w:autoSpaceDE w:val="0"/>
        <w:spacing w:before="240" w:after="240"/>
        <w:jc w:val="both"/>
      </w:pPr>
      <w:r>
        <w:t>On 24 May 1948, Moin wrote to Allan as follows:</w:t>
      </w:r>
    </w:p>
    <w:p w14:paraId="323D5035" w14:textId="77777777" w:rsidR="0034602F" w:rsidRDefault="0038798E" w:rsidP="0038798E">
      <w:pPr>
        <w:autoSpaceDE w:val="0"/>
        <w:spacing w:before="240" w:after="240"/>
        <w:ind w:left="567"/>
        <w:jc w:val="both"/>
        <w:rPr>
          <w:sz w:val="22"/>
          <w:szCs w:val="22"/>
        </w:rPr>
      </w:pPr>
      <w:r>
        <w:rPr>
          <w:sz w:val="22"/>
          <w:szCs w:val="22"/>
        </w:rPr>
        <w:t>“</w:t>
      </w:r>
      <w:r w:rsidR="007B26A1">
        <w:rPr>
          <w:sz w:val="22"/>
          <w:szCs w:val="22"/>
        </w:rPr>
        <w:t xml:space="preserve">Please refer to your letter No 91/7/5 dated 14 April 1948, </w:t>
      </w:r>
      <w:r w:rsidR="003A2817">
        <w:rPr>
          <w:sz w:val="22"/>
          <w:szCs w:val="22"/>
        </w:rPr>
        <w:t xml:space="preserve">enclosing a copy of the </w:t>
      </w:r>
      <w:r w:rsidR="003268C0">
        <w:rPr>
          <w:sz w:val="22"/>
          <w:szCs w:val="22"/>
        </w:rPr>
        <w:t xml:space="preserve">transfer advice from the Westminster Bank Limited </w:t>
      </w:r>
      <w:r w:rsidR="006717FD">
        <w:rPr>
          <w:sz w:val="22"/>
          <w:szCs w:val="22"/>
        </w:rPr>
        <w:t xml:space="preserve">with regard to the transfer of £1,000,000/- (one million pounds) from the account of </w:t>
      </w:r>
      <w:r w:rsidR="003D163F">
        <w:rPr>
          <w:sz w:val="22"/>
          <w:szCs w:val="22"/>
        </w:rPr>
        <w:t xml:space="preserve">the Hyderabad State Bank to that of HEH the Nizam’s Government. I now write to request </w:t>
      </w:r>
      <w:r w:rsidR="00BA3B4D">
        <w:rPr>
          <w:sz w:val="22"/>
          <w:szCs w:val="22"/>
        </w:rPr>
        <w:t>that the balance of £1,000,000/- (one million pounds)</w:t>
      </w:r>
      <w:r w:rsidR="002B23C8">
        <w:rPr>
          <w:sz w:val="22"/>
          <w:szCs w:val="22"/>
        </w:rPr>
        <w:t xml:space="preserve"> which still stands to the credit of the Hyderbad State Bank Account at the Westminster Bank Limited</w:t>
      </w:r>
      <w:r w:rsidR="00887F83">
        <w:rPr>
          <w:sz w:val="22"/>
          <w:szCs w:val="22"/>
        </w:rPr>
        <w:t xml:space="preserve">, London, may kindly be transferred to the Nizam’s Government Account, on the same terms and conditions </w:t>
      </w:r>
      <w:r w:rsidR="0034602F">
        <w:rPr>
          <w:sz w:val="22"/>
          <w:szCs w:val="22"/>
        </w:rPr>
        <w:t>as are applicable to the Hyderabad State Bank Account at present.</w:t>
      </w:r>
    </w:p>
    <w:p w14:paraId="753AC669" w14:textId="77777777" w:rsidR="0061478A" w:rsidRDefault="0034602F" w:rsidP="0038798E">
      <w:pPr>
        <w:autoSpaceDE w:val="0"/>
        <w:spacing w:before="240" w:after="240"/>
        <w:ind w:left="567"/>
        <w:jc w:val="both"/>
        <w:rPr>
          <w:sz w:val="22"/>
          <w:szCs w:val="22"/>
        </w:rPr>
      </w:pPr>
      <w:r>
        <w:rPr>
          <w:sz w:val="22"/>
          <w:szCs w:val="22"/>
        </w:rPr>
        <w:t xml:space="preserve">The Nizam’s Government Account </w:t>
      </w:r>
      <w:r w:rsidR="00E14D99">
        <w:rPr>
          <w:sz w:val="22"/>
          <w:szCs w:val="22"/>
        </w:rPr>
        <w:t xml:space="preserve">as previously advised will be operated upon by the Agent General for Hyderabad in London [i.e., </w:t>
      </w:r>
      <w:r w:rsidR="0080266D">
        <w:rPr>
          <w:sz w:val="22"/>
          <w:szCs w:val="22"/>
        </w:rPr>
        <w:t>Mir</w:t>
      </w:r>
      <w:r w:rsidR="0061478A">
        <w:rPr>
          <w:sz w:val="22"/>
          <w:szCs w:val="22"/>
        </w:rPr>
        <w:t xml:space="preserve">] and/or the Finance Minister of the Nizam’s Government [i.e., </w:t>
      </w:r>
      <w:r w:rsidR="0080266D">
        <w:rPr>
          <w:sz w:val="22"/>
          <w:szCs w:val="22"/>
        </w:rPr>
        <w:t>Moin</w:t>
      </w:r>
      <w:r w:rsidR="0061478A">
        <w:rPr>
          <w:sz w:val="22"/>
          <w:szCs w:val="22"/>
        </w:rPr>
        <w:t>].</w:t>
      </w:r>
    </w:p>
    <w:p w14:paraId="6ADA9D15" w14:textId="77777777" w:rsidR="0038798E" w:rsidRPr="0038798E" w:rsidRDefault="0061478A" w:rsidP="0038798E">
      <w:pPr>
        <w:autoSpaceDE w:val="0"/>
        <w:spacing w:before="240" w:after="240"/>
        <w:ind w:left="567"/>
        <w:jc w:val="both"/>
        <w:rPr>
          <w:sz w:val="22"/>
          <w:szCs w:val="22"/>
        </w:rPr>
      </w:pPr>
      <w:r>
        <w:rPr>
          <w:sz w:val="22"/>
          <w:szCs w:val="22"/>
        </w:rPr>
        <w:lastRenderedPageBreak/>
        <w:t xml:space="preserve">I shall be obliged if you will please take </w:t>
      </w:r>
      <w:r w:rsidR="00E65507">
        <w:rPr>
          <w:sz w:val="22"/>
          <w:szCs w:val="22"/>
        </w:rPr>
        <w:t>necessary action and let me know the result in due course.”</w:t>
      </w:r>
      <w:r w:rsidR="002B23C8">
        <w:rPr>
          <w:sz w:val="22"/>
          <w:szCs w:val="22"/>
        </w:rPr>
        <w:t xml:space="preserve"> </w:t>
      </w:r>
    </w:p>
    <w:p w14:paraId="5FC9210B" w14:textId="77777777" w:rsidR="00256491" w:rsidRDefault="008518FA" w:rsidP="007E67DC">
      <w:pPr>
        <w:numPr>
          <w:ilvl w:val="0"/>
          <w:numId w:val="2"/>
        </w:numPr>
        <w:autoSpaceDE w:val="0"/>
        <w:spacing w:before="240" w:after="240"/>
        <w:jc w:val="both"/>
      </w:pPr>
      <w:r>
        <w:t xml:space="preserve">On </w:t>
      </w:r>
      <w:r w:rsidR="005B7770">
        <w:t>the same day (24 May 1948), Allan wrote to the Bank</w:t>
      </w:r>
      <w:r w:rsidR="00953FE4">
        <w:t>:</w:t>
      </w:r>
    </w:p>
    <w:p w14:paraId="42058AEC" w14:textId="77777777" w:rsidR="005B7770" w:rsidRDefault="005B7770" w:rsidP="005B7770">
      <w:pPr>
        <w:autoSpaceDE w:val="0"/>
        <w:spacing w:before="240" w:after="240"/>
        <w:ind w:left="567"/>
        <w:jc w:val="both"/>
        <w:rPr>
          <w:sz w:val="22"/>
          <w:szCs w:val="22"/>
        </w:rPr>
      </w:pPr>
      <w:r>
        <w:rPr>
          <w:sz w:val="22"/>
          <w:szCs w:val="22"/>
        </w:rPr>
        <w:t>“</w:t>
      </w:r>
      <w:r w:rsidR="00D36D3D">
        <w:rPr>
          <w:sz w:val="22"/>
          <w:szCs w:val="22"/>
        </w:rPr>
        <w:t xml:space="preserve">I shall be glad if, on receipt of this letter, you will transfer from our Deposit Account the sum of £1,000,000 (one million pounds) to the account standing </w:t>
      </w:r>
      <w:r w:rsidR="00013273">
        <w:rPr>
          <w:sz w:val="22"/>
          <w:szCs w:val="22"/>
        </w:rPr>
        <w:t>in the name of HEH the Nizam’s Government.</w:t>
      </w:r>
    </w:p>
    <w:p w14:paraId="69AF5719" w14:textId="77777777" w:rsidR="00013273" w:rsidRPr="005B7770" w:rsidRDefault="00013273" w:rsidP="005B7770">
      <w:pPr>
        <w:autoSpaceDE w:val="0"/>
        <w:spacing w:before="240" w:after="240"/>
        <w:ind w:left="567"/>
        <w:jc w:val="both"/>
        <w:rPr>
          <w:sz w:val="22"/>
          <w:szCs w:val="22"/>
        </w:rPr>
      </w:pPr>
      <w:r>
        <w:rPr>
          <w:sz w:val="22"/>
          <w:szCs w:val="22"/>
        </w:rPr>
        <w:t>2.</w:t>
      </w:r>
      <w:r>
        <w:rPr>
          <w:sz w:val="22"/>
          <w:szCs w:val="22"/>
        </w:rPr>
        <w:tab/>
        <w:t>The acc</w:t>
      </w:r>
      <w:r w:rsidR="0099131C">
        <w:rPr>
          <w:sz w:val="22"/>
          <w:szCs w:val="22"/>
        </w:rPr>
        <w:t>r</w:t>
      </w:r>
      <w:r>
        <w:rPr>
          <w:sz w:val="22"/>
          <w:szCs w:val="22"/>
        </w:rPr>
        <w:t xml:space="preserve">ued interest on our Account may also be applied </w:t>
      </w:r>
      <w:r w:rsidR="00813DD2">
        <w:rPr>
          <w:sz w:val="22"/>
          <w:szCs w:val="22"/>
        </w:rPr>
        <w:t>to the account of HEH the Nizam’s Government.”</w:t>
      </w:r>
    </w:p>
    <w:p w14:paraId="06AD5259" w14:textId="77777777" w:rsidR="004A74FD" w:rsidRDefault="00875C24" w:rsidP="00BF0BFE">
      <w:pPr>
        <w:numPr>
          <w:ilvl w:val="0"/>
          <w:numId w:val="2"/>
        </w:numPr>
        <w:autoSpaceDE w:val="0"/>
        <w:spacing w:before="240" w:after="240"/>
        <w:jc w:val="both"/>
      </w:pPr>
      <w:r>
        <w:t>On 29 May 1</w:t>
      </w:r>
      <w:r w:rsidR="00435297">
        <w:t xml:space="preserve">948, the Bank confirmed to both </w:t>
      </w:r>
      <w:r w:rsidR="00D140B6">
        <w:t>Allan and Moin</w:t>
      </w:r>
      <w:r w:rsidR="005E62CB">
        <w:rPr>
          <w:b/>
          <w:bCs/>
        </w:rPr>
        <w:t xml:space="preserve"> </w:t>
      </w:r>
      <w:r w:rsidR="00D80134">
        <w:t xml:space="preserve">that the transfer </w:t>
      </w:r>
      <w:r w:rsidR="005E62CB">
        <w:t>of £1 million plus interest had taken place.</w:t>
      </w:r>
      <w:r w:rsidR="0080266D">
        <w:t xml:space="preserve"> </w:t>
      </w:r>
      <w:r w:rsidR="006C792D">
        <w:t xml:space="preserve">This is </w:t>
      </w:r>
      <w:r w:rsidR="00580D6A">
        <w:t>Transaction 5 in Annex 3.</w:t>
      </w:r>
    </w:p>
    <w:p w14:paraId="423CC1E6" w14:textId="77777777" w:rsidR="007F0740" w:rsidRPr="007F0740" w:rsidRDefault="007F0740" w:rsidP="00F607CE">
      <w:pPr>
        <w:keepNext/>
        <w:tabs>
          <w:tab w:val="left" w:pos="567"/>
        </w:tabs>
        <w:autoSpaceDE w:val="0"/>
        <w:spacing w:before="240" w:after="240"/>
        <w:jc w:val="both"/>
        <w:rPr>
          <w:b/>
          <w:bCs/>
        </w:rPr>
      </w:pPr>
      <w:r>
        <w:rPr>
          <w:b/>
          <w:bCs/>
        </w:rPr>
        <w:t>(4)</w:t>
      </w:r>
      <w:r>
        <w:rPr>
          <w:b/>
          <w:bCs/>
        </w:rPr>
        <w:tab/>
      </w:r>
      <w:r w:rsidR="001E7235">
        <w:rPr>
          <w:b/>
          <w:bCs/>
        </w:rPr>
        <w:t xml:space="preserve">Special treatment of the </w:t>
      </w:r>
      <w:r w:rsidR="002328AE">
        <w:rPr>
          <w:b/>
          <w:bCs/>
        </w:rPr>
        <w:t>Second Account</w:t>
      </w:r>
    </w:p>
    <w:p w14:paraId="2FE77CC8" w14:textId="77777777" w:rsidR="003C0ED1" w:rsidRDefault="00071F6B" w:rsidP="007E67DC">
      <w:pPr>
        <w:numPr>
          <w:ilvl w:val="0"/>
          <w:numId w:val="2"/>
        </w:numPr>
        <w:autoSpaceDE w:val="0"/>
        <w:spacing w:before="240" w:after="240"/>
        <w:jc w:val="both"/>
      </w:pPr>
      <w:r>
        <w:t xml:space="preserve">There are a number of documents internal to the Bank suggesting that the correspondence regarding the Second Account </w:t>
      </w:r>
      <w:r w:rsidR="003C0ED1">
        <w:t xml:space="preserve">should </w:t>
      </w:r>
      <w:r w:rsidR="003C0ED1" w:rsidRPr="003C0ED1">
        <w:rPr>
          <w:u w:val="single"/>
        </w:rPr>
        <w:t>not</w:t>
      </w:r>
      <w:r w:rsidR="003C0ED1">
        <w:t xml:space="preserve"> be sent to the Government in Hyderabad. Thus, a memo dated 3 May 1948, referencing the Second Account, stated:</w:t>
      </w:r>
    </w:p>
    <w:p w14:paraId="5EAAD188" w14:textId="77777777" w:rsidR="003C0ED1" w:rsidRPr="003C0ED1" w:rsidRDefault="003C0ED1" w:rsidP="003C0ED1">
      <w:pPr>
        <w:autoSpaceDE w:val="0"/>
        <w:spacing w:before="240" w:after="240"/>
        <w:ind w:left="567"/>
        <w:jc w:val="both"/>
        <w:rPr>
          <w:sz w:val="22"/>
          <w:szCs w:val="22"/>
        </w:rPr>
      </w:pPr>
      <w:r>
        <w:rPr>
          <w:sz w:val="22"/>
          <w:szCs w:val="22"/>
        </w:rPr>
        <w:t>“</w:t>
      </w:r>
      <w:r w:rsidR="00871824">
        <w:rPr>
          <w:sz w:val="22"/>
          <w:szCs w:val="22"/>
        </w:rPr>
        <w:t xml:space="preserve">Please note that until further notice all further correspondence for this account should be handed to MO. NOTHING </w:t>
      </w:r>
      <w:r w:rsidR="00E602CA">
        <w:rPr>
          <w:sz w:val="22"/>
          <w:szCs w:val="22"/>
        </w:rPr>
        <w:t>is to be sent direct.”</w:t>
      </w:r>
    </w:p>
    <w:p w14:paraId="5A35362E" w14:textId="77777777" w:rsidR="00E602CA" w:rsidRDefault="00E602CA" w:rsidP="00E602CA">
      <w:pPr>
        <w:autoSpaceDE w:val="0"/>
        <w:spacing w:before="240" w:after="240"/>
        <w:ind w:left="567"/>
        <w:jc w:val="both"/>
      </w:pPr>
      <w:r>
        <w:t>It is not known who “MO” was</w:t>
      </w:r>
      <w:r w:rsidR="00EA32C9">
        <w:t>.</w:t>
      </w:r>
    </w:p>
    <w:p w14:paraId="466C7281" w14:textId="77777777" w:rsidR="00613677" w:rsidRDefault="00CD7466" w:rsidP="007E67DC">
      <w:pPr>
        <w:numPr>
          <w:ilvl w:val="0"/>
          <w:numId w:val="2"/>
        </w:numPr>
        <w:autoSpaceDE w:val="0"/>
        <w:spacing w:before="240" w:after="240"/>
        <w:jc w:val="both"/>
      </w:pPr>
      <w:r w:rsidRPr="003C0ED1">
        <w:t>In</w:t>
      </w:r>
      <w:r>
        <w:t xml:space="preserve"> an internal memo dated 1 July 1948, a manager at </w:t>
      </w:r>
      <w:r w:rsidR="004C0A51">
        <w:t xml:space="preserve">the </w:t>
      </w:r>
      <w:r>
        <w:t xml:space="preserve">Bank </w:t>
      </w:r>
      <w:r w:rsidR="00422D13">
        <w:t>issued the following instructions regarding the operation of the Second Account:</w:t>
      </w:r>
    </w:p>
    <w:p w14:paraId="49719900" w14:textId="77777777" w:rsidR="001130D2" w:rsidRDefault="001130D2" w:rsidP="001130D2">
      <w:pPr>
        <w:autoSpaceDE w:val="0"/>
        <w:spacing w:before="240" w:after="240"/>
        <w:ind w:left="567"/>
        <w:jc w:val="both"/>
        <w:rPr>
          <w:sz w:val="22"/>
          <w:szCs w:val="22"/>
        </w:rPr>
      </w:pPr>
      <w:r>
        <w:rPr>
          <w:sz w:val="22"/>
          <w:szCs w:val="22"/>
        </w:rPr>
        <w:t xml:space="preserve">“It is most important </w:t>
      </w:r>
      <w:r w:rsidR="003031A1">
        <w:rPr>
          <w:sz w:val="22"/>
          <w:szCs w:val="22"/>
        </w:rPr>
        <w:t xml:space="preserve">that the following instructions regarding correspondence </w:t>
      </w:r>
      <w:r w:rsidR="00F82B14">
        <w:rPr>
          <w:sz w:val="22"/>
          <w:szCs w:val="22"/>
        </w:rPr>
        <w:t>should be carefully observed.</w:t>
      </w:r>
    </w:p>
    <w:p w14:paraId="2607828C" w14:textId="77777777" w:rsidR="00F82B14" w:rsidRDefault="00F82B14" w:rsidP="001130D2">
      <w:pPr>
        <w:autoSpaceDE w:val="0"/>
        <w:spacing w:before="240" w:after="240"/>
        <w:ind w:left="567"/>
        <w:jc w:val="both"/>
        <w:rPr>
          <w:sz w:val="22"/>
          <w:szCs w:val="22"/>
        </w:rPr>
      </w:pPr>
      <w:r>
        <w:rPr>
          <w:sz w:val="22"/>
          <w:szCs w:val="22"/>
        </w:rPr>
        <w:t>All letters and advices are to be handed to Mr Thorne, Manager’s Assistan</w:t>
      </w:r>
      <w:r w:rsidR="006A5BF0">
        <w:rPr>
          <w:sz w:val="22"/>
          <w:szCs w:val="22"/>
        </w:rPr>
        <w:t>t</w:t>
      </w:r>
      <w:r>
        <w:rPr>
          <w:sz w:val="22"/>
          <w:szCs w:val="22"/>
        </w:rPr>
        <w:t>, or in his absence to one of the Managers.</w:t>
      </w:r>
    </w:p>
    <w:p w14:paraId="0927FDC5" w14:textId="77777777" w:rsidR="00F82B14" w:rsidRDefault="00F82B14" w:rsidP="001130D2">
      <w:pPr>
        <w:autoSpaceDE w:val="0"/>
        <w:spacing w:before="240" w:after="240"/>
        <w:ind w:left="567"/>
        <w:jc w:val="both"/>
        <w:rPr>
          <w:sz w:val="22"/>
          <w:szCs w:val="22"/>
        </w:rPr>
      </w:pPr>
      <w:r>
        <w:rPr>
          <w:sz w:val="22"/>
          <w:szCs w:val="22"/>
        </w:rPr>
        <w:t>All departments’ records of an address to be used in connection with this account must be destroyed.</w:t>
      </w:r>
    </w:p>
    <w:p w14:paraId="5E3F17ED" w14:textId="77777777" w:rsidR="00F82B14" w:rsidRDefault="00F82B14" w:rsidP="001130D2">
      <w:pPr>
        <w:autoSpaceDE w:val="0"/>
        <w:spacing w:before="240" w:after="240"/>
        <w:ind w:left="567"/>
        <w:jc w:val="both"/>
        <w:rPr>
          <w:sz w:val="22"/>
          <w:szCs w:val="22"/>
        </w:rPr>
      </w:pPr>
      <w:r>
        <w:rPr>
          <w:sz w:val="22"/>
          <w:szCs w:val="22"/>
        </w:rPr>
        <w:t xml:space="preserve">It should also be noted that advices </w:t>
      </w:r>
      <w:r w:rsidR="008F7230">
        <w:rPr>
          <w:sz w:val="22"/>
          <w:szCs w:val="22"/>
        </w:rPr>
        <w:t xml:space="preserve">should not be addressed to H.E.H. the </w:t>
      </w:r>
      <w:r w:rsidR="00E94A66">
        <w:rPr>
          <w:sz w:val="22"/>
          <w:szCs w:val="22"/>
        </w:rPr>
        <w:t xml:space="preserve">Nizam’s Government but to – </w:t>
      </w:r>
    </w:p>
    <w:p w14:paraId="3585C321" w14:textId="77777777" w:rsidR="008926B8" w:rsidRDefault="00E94A66" w:rsidP="00E94A66">
      <w:pPr>
        <w:autoSpaceDE w:val="0"/>
        <w:spacing w:before="240" w:after="240"/>
        <w:ind w:left="720"/>
        <w:jc w:val="both"/>
        <w:rPr>
          <w:sz w:val="22"/>
          <w:szCs w:val="22"/>
        </w:rPr>
      </w:pPr>
      <w:r>
        <w:rPr>
          <w:sz w:val="22"/>
          <w:szCs w:val="22"/>
        </w:rPr>
        <w:t>The Agent General [i.e. Mir]</w:t>
      </w:r>
      <w:r w:rsidR="008926B8">
        <w:rPr>
          <w:sz w:val="22"/>
          <w:szCs w:val="22"/>
        </w:rPr>
        <w:t>, H.E.H The Nizam’s Government,</w:t>
      </w:r>
    </w:p>
    <w:p w14:paraId="679B8F45" w14:textId="77777777" w:rsidR="00E94A66" w:rsidRPr="001130D2" w:rsidRDefault="008926B8" w:rsidP="008926B8">
      <w:pPr>
        <w:autoSpaceDE w:val="0"/>
        <w:spacing w:before="240" w:after="240"/>
        <w:ind w:left="567"/>
        <w:jc w:val="both"/>
        <w:rPr>
          <w:sz w:val="22"/>
          <w:szCs w:val="22"/>
        </w:rPr>
      </w:pPr>
      <w:r>
        <w:rPr>
          <w:sz w:val="22"/>
          <w:szCs w:val="22"/>
        </w:rPr>
        <w:t xml:space="preserve"> although </w:t>
      </w:r>
      <w:r w:rsidR="007A0DC8">
        <w:rPr>
          <w:sz w:val="22"/>
          <w:szCs w:val="22"/>
        </w:rPr>
        <w:t>the account is in the name of H.E.H. the Nizam’s Government.</w:t>
      </w:r>
      <w:r w:rsidR="00F63B39">
        <w:rPr>
          <w:sz w:val="22"/>
          <w:szCs w:val="22"/>
        </w:rPr>
        <w:t>”</w:t>
      </w:r>
    </w:p>
    <w:p w14:paraId="55D43271" w14:textId="77777777" w:rsidR="00E864CE" w:rsidRDefault="00E864CE" w:rsidP="000B0FEB">
      <w:pPr>
        <w:keepNext/>
        <w:tabs>
          <w:tab w:val="left" w:pos="567"/>
        </w:tabs>
        <w:autoSpaceDE w:val="0"/>
        <w:spacing w:before="240" w:after="240"/>
        <w:jc w:val="both"/>
        <w:rPr>
          <w:b/>
          <w:bCs/>
        </w:rPr>
      </w:pPr>
      <w:r>
        <w:rPr>
          <w:b/>
          <w:bCs/>
        </w:rPr>
        <w:t>(</w:t>
      </w:r>
      <w:r w:rsidR="00006BA1">
        <w:rPr>
          <w:b/>
          <w:bCs/>
        </w:rPr>
        <w:t>5</w:t>
      </w:r>
      <w:r>
        <w:rPr>
          <w:b/>
          <w:bCs/>
        </w:rPr>
        <w:t>)</w:t>
      </w:r>
      <w:r>
        <w:rPr>
          <w:b/>
          <w:bCs/>
        </w:rPr>
        <w:tab/>
        <w:t>The Rahimtoola Account</w:t>
      </w:r>
    </w:p>
    <w:p w14:paraId="489FF3DD" w14:textId="77777777" w:rsidR="001B7469" w:rsidRPr="00096311" w:rsidRDefault="001B7469" w:rsidP="000B0FEB">
      <w:pPr>
        <w:keepNext/>
        <w:tabs>
          <w:tab w:val="left" w:pos="567"/>
        </w:tabs>
        <w:autoSpaceDE w:val="0"/>
        <w:spacing w:before="240" w:after="240"/>
        <w:jc w:val="both"/>
        <w:rPr>
          <w:b/>
          <w:bCs/>
          <w:i/>
          <w:iCs/>
        </w:rPr>
      </w:pPr>
      <w:r w:rsidRPr="00096311">
        <w:rPr>
          <w:b/>
          <w:bCs/>
          <w:i/>
          <w:iCs/>
        </w:rPr>
        <w:t>(a)</w:t>
      </w:r>
      <w:r w:rsidRPr="00096311">
        <w:rPr>
          <w:b/>
          <w:bCs/>
          <w:i/>
          <w:iCs/>
        </w:rPr>
        <w:tab/>
        <w:t>Approach</w:t>
      </w:r>
    </w:p>
    <w:p w14:paraId="3B5B44D2" w14:textId="77777777" w:rsidR="00EB718D" w:rsidRDefault="001B7469" w:rsidP="00EB718D">
      <w:pPr>
        <w:numPr>
          <w:ilvl w:val="0"/>
          <w:numId w:val="2"/>
        </w:numPr>
        <w:autoSpaceDE w:val="0"/>
        <w:spacing w:before="240" w:after="240"/>
        <w:jc w:val="both"/>
      </w:pPr>
      <w:r w:rsidRPr="001B7469">
        <w:t xml:space="preserve">This is the </w:t>
      </w:r>
      <w:r w:rsidR="00F17984">
        <w:t xml:space="preserve">most factually controversial part of the case. </w:t>
      </w:r>
      <w:r w:rsidR="001C2436">
        <w:t xml:space="preserve">I propose to approach it in the following way. First – in Section </w:t>
      </w:r>
      <w:r w:rsidR="0013404A">
        <w:t>D(5)</w:t>
      </w:r>
      <w:r w:rsidR="0013404A">
        <w:rPr>
          <w:i/>
          <w:iCs/>
        </w:rPr>
        <w:t>(b)</w:t>
      </w:r>
      <w:r w:rsidR="0013404A">
        <w:t xml:space="preserve"> – I set out, in as neutral a way as possible</w:t>
      </w:r>
      <w:r w:rsidR="00855134">
        <w:t>,</w:t>
      </w:r>
      <w:r w:rsidR="0013404A">
        <w:t xml:space="preserve"> </w:t>
      </w:r>
      <w:r w:rsidR="003D3C55">
        <w:t>the relevant evidence. Thereafter – in Section D(5)</w:t>
      </w:r>
      <w:r w:rsidR="003D3C55">
        <w:rPr>
          <w:i/>
          <w:iCs/>
        </w:rPr>
        <w:t>(c)</w:t>
      </w:r>
      <w:r w:rsidR="003D3C55">
        <w:t xml:space="preserve"> – I consider the points Pakistan, the Princes and India made in relation to this evidence </w:t>
      </w:r>
      <w:r w:rsidR="003F5003">
        <w:t>and make findings as to what occurred.</w:t>
      </w:r>
    </w:p>
    <w:p w14:paraId="376BF678" w14:textId="77777777" w:rsidR="003F5003" w:rsidRPr="003F5003" w:rsidRDefault="003F5003" w:rsidP="00241C39">
      <w:pPr>
        <w:keepNext/>
        <w:tabs>
          <w:tab w:val="left" w:pos="567"/>
        </w:tabs>
        <w:autoSpaceDE w:val="0"/>
        <w:spacing w:before="240" w:after="240"/>
        <w:jc w:val="both"/>
        <w:rPr>
          <w:b/>
          <w:bCs/>
          <w:i/>
          <w:iCs/>
        </w:rPr>
      </w:pPr>
      <w:r>
        <w:rPr>
          <w:b/>
          <w:bCs/>
          <w:i/>
          <w:iCs/>
        </w:rPr>
        <w:lastRenderedPageBreak/>
        <w:t>(b)</w:t>
      </w:r>
      <w:r>
        <w:rPr>
          <w:b/>
          <w:bCs/>
          <w:i/>
          <w:iCs/>
        </w:rPr>
        <w:tab/>
        <w:t>The evidence</w:t>
      </w:r>
    </w:p>
    <w:p w14:paraId="43DB2CB0" w14:textId="77777777" w:rsidR="001839C1" w:rsidRPr="003F5003" w:rsidRDefault="001839C1" w:rsidP="00241C39">
      <w:pPr>
        <w:keepNext/>
        <w:tabs>
          <w:tab w:val="left" w:pos="567"/>
        </w:tabs>
        <w:autoSpaceDE w:val="0"/>
        <w:spacing w:before="240" w:after="240"/>
        <w:jc w:val="both"/>
        <w:rPr>
          <w:i/>
          <w:iCs/>
        </w:rPr>
      </w:pPr>
      <w:r w:rsidRPr="003F5003">
        <w:rPr>
          <w:i/>
          <w:iCs/>
        </w:rPr>
        <w:t>(</w:t>
      </w:r>
      <w:r w:rsidR="003F5003" w:rsidRPr="003F5003">
        <w:rPr>
          <w:i/>
          <w:iCs/>
        </w:rPr>
        <w:t>i</w:t>
      </w:r>
      <w:r w:rsidRPr="003F5003">
        <w:rPr>
          <w:i/>
          <w:iCs/>
        </w:rPr>
        <w:t>)</w:t>
      </w:r>
      <w:r w:rsidR="00F808FB" w:rsidRPr="003F5003">
        <w:rPr>
          <w:i/>
          <w:iCs/>
        </w:rPr>
        <w:tab/>
        <w:t>Communic</w:t>
      </w:r>
      <w:r w:rsidR="00E4145B" w:rsidRPr="003F5003">
        <w:rPr>
          <w:i/>
          <w:iCs/>
        </w:rPr>
        <w:t xml:space="preserve">ations </w:t>
      </w:r>
      <w:r w:rsidR="00C95E84">
        <w:rPr>
          <w:i/>
          <w:iCs/>
        </w:rPr>
        <w:t>dated</w:t>
      </w:r>
      <w:r w:rsidR="00E4145B" w:rsidRPr="003F5003">
        <w:rPr>
          <w:i/>
          <w:iCs/>
        </w:rPr>
        <w:t xml:space="preserve"> 14 September 1948</w:t>
      </w:r>
    </w:p>
    <w:p w14:paraId="4A4E46A3" w14:textId="77777777" w:rsidR="00E01875" w:rsidRPr="006368C2" w:rsidRDefault="0096355C" w:rsidP="007E67DC">
      <w:pPr>
        <w:numPr>
          <w:ilvl w:val="0"/>
          <w:numId w:val="2"/>
        </w:numPr>
        <w:autoSpaceDE w:val="0"/>
        <w:spacing w:before="240" w:after="240"/>
        <w:jc w:val="both"/>
      </w:pPr>
      <w:r w:rsidRPr="0096355C">
        <w:t>On</w:t>
      </w:r>
      <w:r w:rsidR="00B46ED3">
        <w:t xml:space="preserve"> 14 September 1948, Moin wrote to Mir in the following terms:</w:t>
      </w:r>
    </w:p>
    <w:p w14:paraId="37F8A7DE" w14:textId="77777777" w:rsidR="006368C2" w:rsidRPr="006368C2" w:rsidRDefault="006368C2" w:rsidP="006368C2">
      <w:pPr>
        <w:autoSpaceDE w:val="0"/>
        <w:spacing w:before="240" w:after="240"/>
        <w:ind w:left="567"/>
        <w:jc w:val="both"/>
        <w:rPr>
          <w:sz w:val="22"/>
          <w:szCs w:val="22"/>
        </w:rPr>
      </w:pPr>
      <w:r>
        <w:rPr>
          <w:sz w:val="22"/>
          <w:szCs w:val="22"/>
        </w:rPr>
        <w:t>“</w:t>
      </w:r>
      <w:r w:rsidR="00CC598E">
        <w:rPr>
          <w:sz w:val="22"/>
          <w:szCs w:val="22"/>
        </w:rPr>
        <w:t>This is to inform you that I</w:t>
      </w:r>
      <w:r w:rsidR="009E0AA4">
        <w:rPr>
          <w:sz w:val="22"/>
          <w:szCs w:val="22"/>
        </w:rPr>
        <w:t xml:space="preserve"> have today under instructions from HEH the Nizam’s Govt issued instructions to the Westminster Bank</w:t>
      </w:r>
      <w:r w:rsidR="004436C7">
        <w:rPr>
          <w:sz w:val="22"/>
          <w:szCs w:val="22"/>
        </w:rPr>
        <w:t xml:space="preserve">, 41 Lothbury, to close the account </w:t>
      </w:r>
      <w:r w:rsidR="000D1D22">
        <w:rPr>
          <w:sz w:val="22"/>
          <w:szCs w:val="22"/>
        </w:rPr>
        <w:t xml:space="preserve">they have of HEH the Nizam’s Govt </w:t>
      </w:r>
      <w:r w:rsidR="00983D29">
        <w:rPr>
          <w:sz w:val="22"/>
          <w:szCs w:val="22"/>
        </w:rPr>
        <w:t>by transfer of funds as per those instructions.”</w:t>
      </w:r>
    </w:p>
    <w:p w14:paraId="594CC285" w14:textId="77777777" w:rsidR="00983D29" w:rsidRPr="00983D29" w:rsidRDefault="00D56C57" w:rsidP="00983D29">
      <w:pPr>
        <w:autoSpaceDE w:val="0"/>
        <w:spacing w:before="240" w:after="240"/>
        <w:ind w:left="567"/>
        <w:jc w:val="both"/>
      </w:pPr>
      <w:r>
        <w:t>This is obviously a reference to the Second Account</w:t>
      </w:r>
      <w:r w:rsidR="00662E6B">
        <w:t>: but, s</w:t>
      </w:r>
      <w:r w:rsidR="000219C3">
        <w:t>o far as the documentary record is concerned</w:t>
      </w:r>
      <w:r w:rsidR="00662E6B">
        <w:t xml:space="preserve"> (and I fully appreciate that this record may be incomplete</w:t>
      </w:r>
      <w:r w:rsidR="00662E6B">
        <w:rPr>
          <w:rStyle w:val="FootnoteReference"/>
        </w:rPr>
        <w:footnoteReference w:id="68"/>
      </w:r>
      <w:r w:rsidR="00662E6B">
        <w:t>)</w:t>
      </w:r>
      <w:r w:rsidR="000219C3">
        <w:t xml:space="preserve">, there is no evidence that such instructions were issued to the Bank at this time. </w:t>
      </w:r>
    </w:p>
    <w:p w14:paraId="70CF3E1B" w14:textId="77777777" w:rsidR="0005498A" w:rsidRPr="0005498A" w:rsidRDefault="0005498A" w:rsidP="007E67DC">
      <w:pPr>
        <w:numPr>
          <w:ilvl w:val="0"/>
          <w:numId w:val="2"/>
        </w:numPr>
        <w:autoSpaceDE w:val="0"/>
        <w:spacing w:before="240" w:after="240"/>
        <w:jc w:val="both"/>
      </w:pPr>
      <w:r>
        <w:t>Th</w:t>
      </w:r>
      <w:r w:rsidR="007F4F0F">
        <w:t>e</w:t>
      </w:r>
      <w:r>
        <w:t xml:space="preserve"> letter</w:t>
      </w:r>
      <w:r w:rsidR="0058267B">
        <w:t xml:space="preserve"> was written </w:t>
      </w:r>
      <w:r w:rsidR="00DB2AAA">
        <w:t>from the Dorchester Hotel in London</w:t>
      </w:r>
      <w:r w:rsidR="00635402">
        <w:t>,</w:t>
      </w:r>
      <w:r w:rsidR="00AD31DD">
        <w:rPr>
          <w:rStyle w:val="FootnoteReference"/>
        </w:rPr>
        <w:footnoteReference w:id="69"/>
      </w:r>
      <w:r w:rsidR="00635402">
        <w:t xml:space="preserve"> and it is clear that </w:t>
      </w:r>
      <w:r w:rsidR="0064002B">
        <w:t xml:space="preserve">Moin was present in London on this day. However, he </w:t>
      </w:r>
      <w:r w:rsidR="005125CB">
        <w:t xml:space="preserve">flew to Paris (for the purpose of a </w:t>
      </w:r>
      <w:r w:rsidR="00C11E76">
        <w:t xml:space="preserve">United Nations </w:t>
      </w:r>
      <w:r w:rsidR="005125CB">
        <w:t xml:space="preserve">Security Council meeting) on 15 September 1948. </w:t>
      </w:r>
      <w:r w:rsidR="004368CC">
        <w:t xml:space="preserve">Moin’s movements at this time </w:t>
      </w:r>
      <w:r w:rsidR="00237179">
        <w:t xml:space="preserve">must be noted </w:t>
      </w:r>
      <w:r w:rsidR="004368CC">
        <w:t>because two letters, on which the Princes and</w:t>
      </w:r>
      <w:r w:rsidR="00AD31DD">
        <w:t xml:space="preserve"> India rely</w:t>
      </w:r>
      <w:r w:rsidR="00615D5C">
        <w:t>, a</w:t>
      </w:r>
      <w:r w:rsidR="00BB3500">
        <w:t>re themselves</w:t>
      </w:r>
      <w:r w:rsidR="00615D5C">
        <w:t xml:space="preserve"> dated </w:t>
      </w:r>
      <w:r w:rsidR="00BB3500">
        <w:t>15 September 1948.</w:t>
      </w:r>
      <w:r w:rsidR="009D31D1">
        <w:rPr>
          <w:rStyle w:val="FootnoteReference"/>
        </w:rPr>
        <w:footnoteReference w:id="70"/>
      </w:r>
      <w:r w:rsidR="00BB3500">
        <w:t xml:space="preserve"> In her submissions</w:t>
      </w:r>
      <w:r w:rsidR="00237179">
        <w:t xml:space="preserve"> to me</w:t>
      </w:r>
      <w:r w:rsidR="00BB3500">
        <w:t xml:space="preserve">, Pakistan suggested that the dates </w:t>
      </w:r>
      <w:r w:rsidR="00C27F1C">
        <w:t xml:space="preserve">these letters bore could not be right, </w:t>
      </w:r>
      <w:r w:rsidR="00342C3E">
        <w:t xml:space="preserve">amongst other things </w:t>
      </w:r>
      <w:r w:rsidR="00C27F1C">
        <w:t>because of Moin’s movements.</w:t>
      </w:r>
      <w:r w:rsidR="00237179">
        <w:t xml:space="preserve"> That is a matter I will consider in due course</w:t>
      </w:r>
      <w:r w:rsidR="00C11E76">
        <w:t>:</w:t>
      </w:r>
      <w:r w:rsidR="00342C3E">
        <w:t xml:space="preserve"> but</w:t>
      </w:r>
      <w:r w:rsidR="00C11E76">
        <w:t>, for that reason,</w:t>
      </w:r>
      <w:r w:rsidR="00342C3E">
        <w:t xml:space="preserve"> it is important to note Moin’s movements</w:t>
      </w:r>
      <w:r w:rsidR="00237179">
        <w:t>.</w:t>
      </w:r>
    </w:p>
    <w:p w14:paraId="598E912F" w14:textId="77777777" w:rsidR="00237179" w:rsidRPr="003F5003" w:rsidRDefault="00D05615" w:rsidP="003472EA">
      <w:pPr>
        <w:keepNext/>
        <w:tabs>
          <w:tab w:val="left" w:pos="567"/>
        </w:tabs>
        <w:autoSpaceDE w:val="0"/>
        <w:spacing w:before="240" w:after="240"/>
        <w:jc w:val="both"/>
        <w:rPr>
          <w:i/>
          <w:iCs/>
        </w:rPr>
      </w:pPr>
      <w:r w:rsidRPr="003F5003">
        <w:rPr>
          <w:i/>
          <w:iCs/>
        </w:rPr>
        <w:t>(</w:t>
      </w:r>
      <w:r w:rsidR="003F5003" w:rsidRPr="003F5003">
        <w:rPr>
          <w:i/>
          <w:iCs/>
        </w:rPr>
        <w:t>ii</w:t>
      </w:r>
      <w:r w:rsidRPr="003F5003">
        <w:rPr>
          <w:i/>
          <w:iCs/>
        </w:rPr>
        <w:t>)</w:t>
      </w:r>
      <w:r w:rsidRPr="003F5003">
        <w:rPr>
          <w:i/>
          <w:iCs/>
        </w:rPr>
        <w:tab/>
        <w:t xml:space="preserve">Communications </w:t>
      </w:r>
      <w:r w:rsidR="00C95E84">
        <w:rPr>
          <w:i/>
          <w:iCs/>
        </w:rPr>
        <w:t>dated</w:t>
      </w:r>
      <w:r w:rsidRPr="003F5003">
        <w:rPr>
          <w:i/>
          <w:iCs/>
        </w:rPr>
        <w:t xml:space="preserve"> 15 September 1948</w:t>
      </w:r>
    </w:p>
    <w:p w14:paraId="4D64B02F" w14:textId="77777777" w:rsidR="00B144A4" w:rsidRDefault="007A05AB" w:rsidP="007E67DC">
      <w:pPr>
        <w:numPr>
          <w:ilvl w:val="0"/>
          <w:numId w:val="2"/>
        </w:numPr>
        <w:autoSpaceDE w:val="0"/>
        <w:spacing w:before="240" w:after="240"/>
        <w:jc w:val="both"/>
      </w:pPr>
      <w:r>
        <w:t xml:space="preserve">By a letter dated 15 September </w:t>
      </w:r>
      <w:r w:rsidR="00E864CE">
        <w:t>1948, Moin wrote to Rahimtoola in the following terms</w:t>
      </w:r>
      <w:r w:rsidR="00C57FA5">
        <w:t>:</w:t>
      </w:r>
    </w:p>
    <w:p w14:paraId="2AC7DB6F" w14:textId="77777777" w:rsidR="00582C41" w:rsidRDefault="00582C41" w:rsidP="00582C41">
      <w:pPr>
        <w:autoSpaceDE w:val="0"/>
        <w:spacing w:before="240" w:after="240"/>
        <w:ind w:left="567"/>
        <w:jc w:val="both"/>
        <w:rPr>
          <w:sz w:val="22"/>
          <w:szCs w:val="22"/>
        </w:rPr>
      </w:pPr>
      <w:r>
        <w:rPr>
          <w:sz w:val="22"/>
          <w:szCs w:val="22"/>
        </w:rPr>
        <w:t>“</w:t>
      </w:r>
      <w:r w:rsidR="006C7B48">
        <w:rPr>
          <w:sz w:val="22"/>
          <w:szCs w:val="22"/>
        </w:rPr>
        <w:t>In view of the situation that is now developing in Hyderabad and in order to safeguard the interests of the State</w:t>
      </w:r>
      <w:r w:rsidR="00F74CBC">
        <w:rPr>
          <w:sz w:val="22"/>
          <w:szCs w:val="22"/>
        </w:rPr>
        <w:t xml:space="preserve">, I would be very grateful if you would kindly agree to permit the transfer into your account of just over one million </w:t>
      </w:r>
      <w:r w:rsidR="0098507B">
        <w:rPr>
          <w:sz w:val="22"/>
          <w:szCs w:val="22"/>
        </w:rPr>
        <w:t>pounds sterling that is now lying at the credit of the Nizam’s Government in the Westminster Bank, London. This amount may kindly be kept by you in trust.</w:t>
      </w:r>
      <w:r w:rsidR="00E0004C">
        <w:rPr>
          <w:sz w:val="22"/>
          <w:szCs w:val="22"/>
        </w:rPr>
        <w:t>”</w:t>
      </w:r>
    </w:p>
    <w:p w14:paraId="5039FB6D" w14:textId="77777777" w:rsidR="00E0004C" w:rsidRPr="000324DD" w:rsidRDefault="0080397B" w:rsidP="00E0004C">
      <w:pPr>
        <w:numPr>
          <w:ilvl w:val="0"/>
          <w:numId w:val="2"/>
        </w:numPr>
        <w:autoSpaceDE w:val="0"/>
        <w:spacing w:before="240" w:after="240"/>
        <w:jc w:val="both"/>
        <w:rPr>
          <w:b/>
          <w:bCs/>
        </w:rPr>
      </w:pPr>
      <w:r>
        <w:t>Rahi</w:t>
      </w:r>
      <w:r w:rsidR="00F44559">
        <w:t>m</w:t>
      </w:r>
      <w:r>
        <w:t>toola responded on the same date:</w:t>
      </w:r>
    </w:p>
    <w:p w14:paraId="5B6F7716" w14:textId="77777777" w:rsidR="000324DD" w:rsidRDefault="000324DD" w:rsidP="000324DD">
      <w:pPr>
        <w:autoSpaceDE w:val="0"/>
        <w:spacing w:before="240" w:after="240"/>
        <w:ind w:left="567"/>
        <w:jc w:val="both"/>
        <w:rPr>
          <w:sz w:val="22"/>
          <w:szCs w:val="22"/>
        </w:rPr>
      </w:pPr>
      <w:r>
        <w:rPr>
          <w:sz w:val="22"/>
          <w:szCs w:val="22"/>
        </w:rPr>
        <w:t>“Your letter of date.</w:t>
      </w:r>
    </w:p>
    <w:p w14:paraId="5E3875CF" w14:textId="77777777" w:rsidR="000324DD" w:rsidRPr="000324DD" w:rsidRDefault="000324DD" w:rsidP="000324DD">
      <w:pPr>
        <w:autoSpaceDE w:val="0"/>
        <w:spacing w:before="240" w:after="240"/>
        <w:ind w:left="567"/>
        <w:jc w:val="both"/>
        <w:rPr>
          <w:b/>
          <w:bCs/>
          <w:sz w:val="22"/>
          <w:szCs w:val="22"/>
        </w:rPr>
      </w:pPr>
      <w:r>
        <w:rPr>
          <w:sz w:val="22"/>
          <w:szCs w:val="22"/>
        </w:rPr>
        <w:t xml:space="preserve">In the circumstances, I agree </w:t>
      </w:r>
      <w:r w:rsidR="004E261B">
        <w:rPr>
          <w:sz w:val="22"/>
          <w:szCs w:val="22"/>
        </w:rPr>
        <w:t>to your suggestion to keep the amount mentioned by you in my name in trust.”</w:t>
      </w:r>
    </w:p>
    <w:p w14:paraId="370C78D7" w14:textId="77777777" w:rsidR="00D1674A" w:rsidRDefault="00D1674A" w:rsidP="00D1674A">
      <w:pPr>
        <w:numPr>
          <w:ilvl w:val="0"/>
          <w:numId w:val="2"/>
        </w:numPr>
        <w:autoSpaceDE w:val="0"/>
        <w:spacing w:before="240" w:after="240"/>
        <w:jc w:val="both"/>
        <w:rPr>
          <w:i/>
          <w:iCs/>
        </w:rPr>
      </w:pPr>
      <w:r>
        <w:t xml:space="preserve">By this time, Operation Polo had commenced, but </w:t>
      </w:r>
      <w:r w:rsidR="000161C3">
        <w:t>Hyderabad’s capitulation had yet to occur: as I have described, it occurred on 17 September.</w:t>
      </w:r>
      <w:r w:rsidR="000161C3">
        <w:rPr>
          <w:rStyle w:val="FootnoteReference"/>
        </w:rPr>
        <w:footnoteReference w:id="71"/>
      </w:r>
    </w:p>
    <w:p w14:paraId="7484A67F" w14:textId="77777777" w:rsidR="006B153D" w:rsidRPr="003F5003" w:rsidRDefault="006B153D" w:rsidP="003472EA">
      <w:pPr>
        <w:keepNext/>
        <w:tabs>
          <w:tab w:val="left" w:pos="567"/>
        </w:tabs>
        <w:autoSpaceDE w:val="0"/>
        <w:spacing w:before="240" w:after="240"/>
        <w:jc w:val="both"/>
        <w:rPr>
          <w:i/>
          <w:iCs/>
        </w:rPr>
      </w:pPr>
      <w:r w:rsidRPr="003F5003">
        <w:rPr>
          <w:i/>
          <w:iCs/>
        </w:rPr>
        <w:lastRenderedPageBreak/>
        <w:t>(</w:t>
      </w:r>
      <w:r w:rsidR="003F5003" w:rsidRPr="003F5003">
        <w:rPr>
          <w:i/>
          <w:iCs/>
        </w:rPr>
        <w:t>iii</w:t>
      </w:r>
      <w:r w:rsidRPr="003F5003">
        <w:rPr>
          <w:i/>
          <w:iCs/>
        </w:rPr>
        <w:t>)</w:t>
      </w:r>
      <w:r w:rsidRPr="003F5003">
        <w:rPr>
          <w:i/>
          <w:iCs/>
        </w:rPr>
        <w:tab/>
        <w:t>Rahimtoola’s evidence</w:t>
      </w:r>
    </w:p>
    <w:p w14:paraId="1FF4408A" w14:textId="77777777" w:rsidR="006B153D" w:rsidRPr="001B0A5C" w:rsidRDefault="009F4B66" w:rsidP="00E0004C">
      <w:pPr>
        <w:numPr>
          <w:ilvl w:val="0"/>
          <w:numId w:val="2"/>
        </w:numPr>
        <w:autoSpaceDE w:val="0"/>
        <w:spacing w:before="240" w:after="240"/>
        <w:jc w:val="both"/>
        <w:rPr>
          <w:b/>
          <w:bCs/>
        </w:rPr>
      </w:pPr>
      <w:r>
        <w:t xml:space="preserve">In </w:t>
      </w:r>
      <w:r w:rsidR="00FD70A4">
        <w:t xml:space="preserve">paragraph 3 of </w:t>
      </w:r>
      <w:r>
        <w:t>Rahi</w:t>
      </w:r>
      <w:r w:rsidR="001B0A5C">
        <w:t>mtoola 1, Rahimtoola says:</w:t>
      </w:r>
    </w:p>
    <w:p w14:paraId="785C9EE8" w14:textId="77777777" w:rsidR="001B0A5C" w:rsidRPr="001B0A5C" w:rsidRDefault="001B0A5C" w:rsidP="001B0A5C">
      <w:pPr>
        <w:autoSpaceDE w:val="0"/>
        <w:spacing w:before="240" w:after="240"/>
        <w:ind w:left="567"/>
        <w:jc w:val="both"/>
        <w:rPr>
          <w:b/>
          <w:bCs/>
          <w:sz w:val="22"/>
          <w:szCs w:val="22"/>
        </w:rPr>
      </w:pPr>
      <w:r>
        <w:rPr>
          <w:sz w:val="22"/>
          <w:szCs w:val="22"/>
        </w:rPr>
        <w:t>“</w:t>
      </w:r>
      <w:r w:rsidR="00FD70A4">
        <w:rPr>
          <w:sz w:val="22"/>
          <w:szCs w:val="22"/>
        </w:rPr>
        <w:t>On or about 16 September 1948</w:t>
      </w:r>
      <w:r w:rsidR="00013475">
        <w:rPr>
          <w:sz w:val="22"/>
          <w:szCs w:val="22"/>
        </w:rPr>
        <w:t xml:space="preserve">, it was agreed between </w:t>
      </w:r>
      <w:r w:rsidR="00BF5DCA">
        <w:rPr>
          <w:sz w:val="22"/>
          <w:szCs w:val="22"/>
        </w:rPr>
        <w:t>[</w:t>
      </w:r>
      <w:r w:rsidR="00013475">
        <w:rPr>
          <w:sz w:val="22"/>
          <w:szCs w:val="22"/>
        </w:rPr>
        <w:t>Moin</w:t>
      </w:r>
      <w:r w:rsidR="00BF5DCA">
        <w:rPr>
          <w:sz w:val="22"/>
          <w:szCs w:val="22"/>
        </w:rPr>
        <w:t>]</w:t>
      </w:r>
      <w:r w:rsidR="00013475">
        <w:rPr>
          <w:sz w:val="22"/>
          <w:szCs w:val="22"/>
        </w:rPr>
        <w:t xml:space="preserve"> and myself that the said funds should be transferred to me</w:t>
      </w:r>
      <w:r w:rsidR="00BE27B5">
        <w:rPr>
          <w:sz w:val="22"/>
          <w:szCs w:val="22"/>
        </w:rPr>
        <w:t xml:space="preserve"> as the agent of the Government of Pakistan and by a letter dated </w:t>
      </w:r>
      <w:r w:rsidR="00B04C63">
        <w:rPr>
          <w:sz w:val="22"/>
          <w:szCs w:val="22"/>
        </w:rPr>
        <w:t xml:space="preserve">the said 16 September </w:t>
      </w:r>
      <w:r w:rsidR="00BF5DCA">
        <w:rPr>
          <w:sz w:val="22"/>
          <w:szCs w:val="22"/>
        </w:rPr>
        <w:t xml:space="preserve">the said [Moin] instructed the said </w:t>
      </w:r>
      <w:r w:rsidR="006A7D0B">
        <w:rPr>
          <w:sz w:val="22"/>
          <w:szCs w:val="22"/>
        </w:rPr>
        <w:t>B</w:t>
      </w:r>
      <w:r w:rsidR="00BF5DCA">
        <w:rPr>
          <w:sz w:val="22"/>
          <w:szCs w:val="22"/>
        </w:rPr>
        <w:t xml:space="preserve">ank </w:t>
      </w:r>
      <w:r w:rsidR="00C03DAC">
        <w:rPr>
          <w:sz w:val="22"/>
          <w:szCs w:val="22"/>
        </w:rPr>
        <w:t xml:space="preserve">to transfer the funds </w:t>
      </w:r>
      <w:r w:rsidR="00C34928">
        <w:rPr>
          <w:sz w:val="22"/>
          <w:szCs w:val="22"/>
        </w:rPr>
        <w:t>standing to the credit of the said account to an account in my name. On receipt of such letter</w:t>
      </w:r>
      <w:r w:rsidR="00B80D83">
        <w:rPr>
          <w:sz w:val="22"/>
          <w:szCs w:val="22"/>
        </w:rPr>
        <w:t xml:space="preserve"> on 20 September 1948 the said Bank in accordance </w:t>
      </w:r>
      <w:r w:rsidR="008D75D1">
        <w:rPr>
          <w:sz w:val="22"/>
          <w:szCs w:val="22"/>
        </w:rPr>
        <w:t xml:space="preserve">with the instructions therein contained transferred the said funds then amounting to £1,007,940.9.0d to </w:t>
      </w:r>
      <w:r w:rsidR="00957D2D">
        <w:rPr>
          <w:sz w:val="22"/>
          <w:szCs w:val="22"/>
        </w:rPr>
        <w:t xml:space="preserve">a new account in my name. I accepted such transfer in accordance with </w:t>
      </w:r>
      <w:r w:rsidR="00D21004">
        <w:rPr>
          <w:sz w:val="22"/>
          <w:szCs w:val="22"/>
        </w:rPr>
        <w:t>the instructions of and as agent for my Government and have never claimed any personal interest in the funds so transferred.”</w:t>
      </w:r>
    </w:p>
    <w:p w14:paraId="14493401" w14:textId="77777777" w:rsidR="006B153D" w:rsidRDefault="00BB5D3E" w:rsidP="00E0004C">
      <w:pPr>
        <w:numPr>
          <w:ilvl w:val="0"/>
          <w:numId w:val="2"/>
        </w:numPr>
        <w:autoSpaceDE w:val="0"/>
        <w:spacing w:before="240" w:after="240"/>
        <w:jc w:val="both"/>
      </w:pPr>
      <w:r>
        <w:t xml:space="preserve">In his second affidavit, Rahimtoola </w:t>
      </w:r>
      <w:r w:rsidR="003B621C">
        <w:t>expanded on his description of the relevant events. Rahimtoola 2 states:</w:t>
      </w:r>
    </w:p>
    <w:p w14:paraId="575CB871" w14:textId="77777777" w:rsidR="005C2DAF" w:rsidRDefault="00235CF0" w:rsidP="00235CF0">
      <w:pPr>
        <w:autoSpaceDE w:val="0"/>
        <w:spacing w:before="240" w:after="240"/>
        <w:ind w:left="1287" w:hanging="720"/>
        <w:jc w:val="both"/>
        <w:rPr>
          <w:sz w:val="22"/>
          <w:szCs w:val="22"/>
        </w:rPr>
      </w:pPr>
      <w:r>
        <w:rPr>
          <w:sz w:val="22"/>
          <w:szCs w:val="22"/>
        </w:rPr>
        <w:t>“3.</w:t>
      </w:r>
      <w:r>
        <w:rPr>
          <w:sz w:val="22"/>
          <w:szCs w:val="22"/>
        </w:rPr>
        <w:tab/>
        <w:t xml:space="preserve">I have never been to Hyderabad and I have never had any dealings </w:t>
      </w:r>
      <w:r w:rsidR="004E310A">
        <w:rPr>
          <w:sz w:val="22"/>
          <w:szCs w:val="22"/>
        </w:rPr>
        <w:t>with or spoken to the Nizam of Hyderabad whom I have only seen once in my life and that when I was a boy.</w:t>
      </w:r>
      <w:r w:rsidR="006E69FB">
        <w:rPr>
          <w:sz w:val="22"/>
          <w:szCs w:val="22"/>
        </w:rPr>
        <w:t xml:space="preserve"> I do not remember ever having met the Defendant [Moin]…before the month of September 1948</w:t>
      </w:r>
      <w:r w:rsidR="005C2DAF">
        <w:rPr>
          <w:sz w:val="22"/>
          <w:szCs w:val="22"/>
        </w:rPr>
        <w:t xml:space="preserve"> and before then I had had no dealings of any kind with him.</w:t>
      </w:r>
    </w:p>
    <w:p w14:paraId="1B1CBC17" w14:textId="77777777" w:rsidR="003B621C" w:rsidRPr="003B621C" w:rsidRDefault="005C2DAF" w:rsidP="00235CF0">
      <w:pPr>
        <w:autoSpaceDE w:val="0"/>
        <w:spacing w:before="240" w:after="240"/>
        <w:ind w:left="1287" w:hanging="720"/>
        <w:jc w:val="both"/>
        <w:rPr>
          <w:sz w:val="22"/>
          <w:szCs w:val="22"/>
        </w:rPr>
      </w:pPr>
      <w:r>
        <w:rPr>
          <w:sz w:val="22"/>
          <w:szCs w:val="22"/>
        </w:rPr>
        <w:t>4.</w:t>
      </w:r>
      <w:r>
        <w:rPr>
          <w:sz w:val="22"/>
          <w:szCs w:val="22"/>
        </w:rPr>
        <w:tab/>
        <w:t xml:space="preserve">Some few days before </w:t>
      </w:r>
      <w:r w:rsidR="00C168BF">
        <w:rPr>
          <w:sz w:val="22"/>
          <w:szCs w:val="22"/>
        </w:rPr>
        <w:t xml:space="preserve">the 20 September </w:t>
      </w:r>
      <w:r w:rsidR="0036438B">
        <w:rPr>
          <w:sz w:val="22"/>
          <w:szCs w:val="22"/>
        </w:rPr>
        <w:t>1948, a representative of the Nizam came and saw me at my official residence, 56 Avenue Road, Hampstead</w:t>
      </w:r>
      <w:r w:rsidR="006C223D">
        <w:rPr>
          <w:sz w:val="22"/>
          <w:szCs w:val="22"/>
        </w:rPr>
        <w:t xml:space="preserve">. Such representative came to see me on that occasion in order to ask me to accept a transfer </w:t>
      </w:r>
      <w:r w:rsidR="00365530">
        <w:rPr>
          <w:sz w:val="22"/>
          <w:szCs w:val="22"/>
        </w:rPr>
        <w:t xml:space="preserve">into my name of the funds standing to the credit </w:t>
      </w:r>
      <w:r w:rsidR="009F7661">
        <w:rPr>
          <w:sz w:val="22"/>
          <w:szCs w:val="22"/>
        </w:rPr>
        <w:t>of the Nizam’s Government with the Defendant Bank. The then Foreign Minister of Pakistan</w:t>
      </w:r>
      <w:r w:rsidR="00BA4DFD">
        <w:rPr>
          <w:sz w:val="22"/>
          <w:szCs w:val="22"/>
        </w:rPr>
        <w:t>, Sir Mohammed Zafrullah Kh</w:t>
      </w:r>
      <w:r w:rsidR="00E92CD5">
        <w:rPr>
          <w:sz w:val="22"/>
          <w:szCs w:val="22"/>
        </w:rPr>
        <w:t>a</w:t>
      </w:r>
      <w:r w:rsidR="00BA4DFD">
        <w:rPr>
          <w:sz w:val="22"/>
          <w:szCs w:val="22"/>
        </w:rPr>
        <w:t>n [</w:t>
      </w:r>
      <w:r w:rsidR="00BA4DFD">
        <w:rPr>
          <w:b/>
          <w:bCs/>
          <w:sz w:val="22"/>
          <w:szCs w:val="22"/>
        </w:rPr>
        <w:t>Zafrulla</w:t>
      </w:r>
      <w:r w:rsidR="00797995">
        <w:rPr>
          <w:b/>
          <w:bCs/>
          <w:sz w:val="22"/>
          <w:szCs w:val="22"/>
        </w:rPr>
        <w:t>h</w:t>
      </w:r>
      <w:r w:rsidR="006713E6">
        <w:rPr>
          <w:sz w:val="22"/>
          <w:szCs w:val="22"/>
        </w:rPr>
        <w:t>]</w:t>
      </w:r>
      <w:r w:rsidR="006713E6">
        <w:rPr>
          <w:b/>
          <w:bCs/>
          <w:sz w:val="22"/>
          <w:szCs w:val="22"/>
        </w:rPr>
        <w:t xml:space="preserve"> </w:t>
      </w:r>
      <w:r w:rsidR="00BA4DFD">
        <w:rPr>
          <w:sz w:val="22"/>
          <w:szCs w:val="22"/>
        </w:rPr>
        <w:t xml:space="preserve">was present </w:t>
      </w:r>
      <w:r w:rsidR="006713E6">
        <w:rPr>
          <w:sz w:val="22"/>
          <w:szCs w:val="22"/>
        </w:rPr>
        <w:t xml:space="preserve">at the interview </w:t>
      </w:r>
      <w:r w:rsidR="00EF49CD">
        <w:rPr>
          <w:sz w:val="22"/>
          <w:szCs w:val="22"/>
        </w:rPr>
        <w:t xml:space="preserve">between such representative and myself and he instructed </w:t>
      </w:r>
      <w:r w:rsidR="00C14435">
        <w:rPr>
          <w:sz w:val="22"/>
          <w:szCs w:val="22"/>
        </w:rPr>
        <w:t xml:space="preserve">me to accept the transfer of the said funds. I objected on the ground that the Government of Pakistan should not become involved </w:t>
      </w:r>
      <w:r w:rsidR="00557411">
        <w:rPr>
          <w:sz w:val="22"/>
          <w:szCs w:val="22"/>
        </w:rPr>
        <w:t>but my objections were overruled by the said Zafrullah</w:t>
      </w:r>
      <w:r w:rsidR="002F113C">
        <w:rPr>
          <w:sz w:val="22"/>
          <w:szCs w:val="22"/>
        </w:rPr>
        <w:t xml:space="preserve"> Khan</w:t>
      </w:r>
      <w:r w:rsidR="00A54C87">
        <w:rPr>
          <w:sz w:val="22"/>
          <w:szCs w:val="22"/>
        </w:rPr>
        <w:t xml:space="preserve"> who directed me to agree to the transfer of the said funds to an account in </w:t>
      </w:r>
      <w:r w:rsidR="00A54C87" w:rsidRPr="00751778">
        <w:rPr>
          <w:sz w:val="22"/>
          <w:szCs w:val="22"/>
        </w:rPr>
        <w:t>my name but to be described as the High Commissioner for Pakistan</w:t>
      </w:r>
      <w:r w:rsidR="006766D9" w:rsidRPr="00751778">
        <w:rPr>
          <w:sz w:val="22"/>
          <w:szCs w:val="22"/>
        </w:rPr>
        <w:t xml:space="preserve"> and also directed me to sign the necessary</w:t>
      </w:r>
      <w:r w:rsidR="006766D9">
        <w:rPr>
          <w:sz w:val="22"/>
          <w:szCs w:val="22"/>
        </w:rPr>
        <w:t xml:space="preserve"> specimen signature forms and I thereupon agreed to the transfer </w:t>
      </w:r>
      <w:r w:rsidR="007E1823">
        <w:rPr>
          <w:sz w:val="22"/>
          <w:szCs w:val="22"/>
        </w:rPr>
        <w:t xml:space="preserve">of the said funds to the account which was subsequently opened in my name and signed the forms. </w:t>
      </w:r>
      <w:r w:rsidR="009B0BDB">
        <w:rPr>
          <w:sz w:val="22"/>
          <w:szCs w:val="22"/>
        </w:rPr>
        <w:t xml:space="preserve">I would never have agreed </w:t>
      </w:r>
      <w:r w:rsidR="00986DE7">
        <w:rPr>
          <w:sz w:val="22"/>
          <w:szCs w:val="22"/>
        </w:rPr>
        <w:t xml:space="preserve">to the said transfer </w:t>
      </w:r>
      <w:r w:rsidR="004C673D">
        <w:rPr>
          <w:sz w:val="22"/>
          <w:szCs w:val="22"/>
        </w:rPr>
        <w:t xml:space="preserve">unless I had been expressly instructed to do so as the High Commissioner </w:t>
      </w:r>
      <w:r w:rsidR="003835F8">
        <w:rPr>
          <w:sz w:val="22"/>
          <w:szCs w:val="22"/>
        </w:rPr>
        <w:t>of Pakistan and on behalf of my Government by the said Zafrullah</w:t>
      </w:r>
      <w:r w:rsidR="002F113C">
        <w:rPr>
          <w:sz w:val="22"/>
          <w:szCs w:val="22"/>
        </w:rPr>
        <w:t xml:space="preserve"> Khan</w:t>
      </w:r>
      <w:r w:rsidR="003835F8">
        <w:rPr>
          <w:sz w:val="22"/>
          <w:szCs w:val="22"/>
        </w:rPr>
        <w:t xml:space="preserve"> under whose instructions </w:t>
      </w:r>
      <w:r w:rsidR="00AA3AB3">
        <w:rPr>
          <w:sz w:val="22"/>
          <w:szCs w:val="22"/>
        </w:rPr>
        <w:t xml:space="preserve">I was as High Commissioner bound to act. At the time when I swore my previous Affidavit herein on </w:t>
      </w:r>
      <w:r w:rsidR="005A0000">
        <w:rPr>
          <w:sz w:val="22"/>
          <w:szCs w:val="22"/>
        </w:rPr>
        <w:t xml:space="preserve">the 15 July 1955, I assumed </w:t>
      </w:r>
      <w:r w:rsidR="00A34AC9">
        <w:rPr>
          <w:sz w:val="22"/>
          <w:szCs w:val="22"/>
        </w:rPr>
        <w:t xml:space="preserve">that the representative of the Nizam </w:t>
      </w:r>
      <w:r w:rsidR="00A861B0">
        <w:rPr>
          <w:sz w:val="22"/>
          <w:szCs w:val="22"/>
        </w:rPr>
        <w:t xml:space="preserve">whom I saw on this occasion was Moin since he had signed the letter dated the 16 September transferring </w:t>
      </w:r>
      <w:r w:rsidR="00753205">
        <w:rPr>
          <w:sz w:val="22"/>
          <w:szCs w:val="22"/>
        </w:rPr>
        <w:t>the said funds to me but since then</w:t>
      </w:r>
      <w:r w:rsidR="000C68DC">
        <w:rPr>
          <w:sz w:val="22"/>
          <w:szCs w:val="22"/>
        </w:rPr>
        <w:t xml:space="preserve"> I have discussed the matter </w:t>
      </w:r>
      <w:r w:rsidR="002F113C">
        <w:rPr>
          <w:sz w:val="22"/>
          <w:szCs w:val="22"/>
        </w:rPr>
        <w:t>with the said Zafrullah Khan</w:t>
      </w:r>
      <w:r w:rsidR="0077249D">
        <w:rPr>
          <w:sz w:val="22"/>
          <w:szCs w:val="22"/>
        </w:rPr>
        <w:t xml:space="preserve"> and I am not now certain whether it was Moin or the Agent General for Hyderabad </w:t>
      </w:r>
      <w:r w:rsidR="009A131F">
        <w:rPr>
          <w:sz w:val="22"/>
          <w:szCs w:val="22"/>
        </w:rPr>
        <w:t>[</w:t>
      </w:r>
      <w:r w:rsidR="0077249D">
        <w:rPr>
          <w:sz w:val="22"/>
          <w:szCs w:val="22"/>
        </w:rPr>
        <w:t>Mir</w:t>
      </w:r>
      <w:r w:rsidR="009A131F">
        <w:rPr>
          <w:sz w:val="22"/>
          <w:szCs w:val="22"/>
        </w:rPr>
        <w:t>]</w:t>
      </w:r>
      <w:r w:rsidR="0077249D">
        <w:rPr>
          <w:sz w:val="22"/>
          <w:szCs w:val="22"/>
        </w:rPr>
        <w:t xml:space="preserve"> </w:t>
      </w:r>
      <w:r w:rsidR="003E38F6">
        <w:rPr>
          <w:sz w:val="22"/>
          <w:szCs w:val="22"/>
        </w:rPr>
        <w:t xml:space="preserve">who came to see me on this occasion, but I am certain that it was one or other of them. I do not remember the exact date </w:t>
      </w:r>
      <w:r w:rsidR="009A577B">
        <w:rPr>
          <w:sz w:val="22"/>
          <w:szCs w:val="22"/>
        </w:rPr>
        <w:t>on which such interview took place. I was never given any written instructions to accept the said transfer.</w:t>
      </w:r>
      <w:r w:rsidR="004D2C73">
        <w:rPr>
          <w:sz w:val="22"/>
          <w:szCs w:val="22"/>
        </w:rPr>
        <w:t>”</w:t>
      </w:r>
    </w:p>
    <w:p w14:paraId="38688D8E" w14:textId="77777777" w:rsidR="006B153D" w:rsidRPr="00117049" w:rsidRDefault="00117049" w:rsidP="004213F9">
      <w:pPr>
        <w:keepNext/>
        <w:tabs>
          <w:tab w:val="left" w:pos="567"/>
        </w:tabs>
        <w:autoSpaceDE w:val="0"/>
        <w:spacing w:before="240" w:after="240"/>
        <w:jc w:val="both"/>
        <w:rPr>
          <w:i/>
          <w:iCs/>
        </w:rPr>
      </w:pPr>
      <w:r w:rsidRPr="00117049">
        <w:rPr>
          <w:i/>
          <w:iCs/>
        </w:rPr>
        <w:t>(iv)</w:t>
      </w:r>
      <w:r w:rsidRPr="00117049">
        <w:rPr>
          <w:i/>
          <w:iCs/>
        </w:rPr>
        <w:tab/>
        <w:t xml:space="preserve">Communications </w:t>
      </w:r>
      <w:r w:rsidR="007D4AD6">
        <w:rPr>
          <w:i/>
          <w:iCs/>
        </w:rPr>
        <w:t>dated</w:t>
      </w:r>
      <w:r w:rsidRPr="00117049">
        <w:rPr>
          <w:i/>
          <w:iCs/>
        </w:rPr>
        <w:t xml:space="preserve"> 16 September 1948</w:t>
      </w:r>
    </w:p>
    <w:p w14:paraId="1E0B5A34" w14:textId="77777777" w:rsidR="000324DD" w:rsidRPr="00117049" w:rsidRDefault="00C76B3F" w:rsidP="00117049">
      <w:pPr>
        <w:numPr>
          <w:ilvl w:val="0"/>
          <w:numId w:val="2"/>
        </w:numPr>
        <w:autoSpaceDE w:val="0"/>
        <w:spacing w:before="240" w:after="240"/>
        <w:jc w:val="both"/>
        <w:rPr>
          <w:b/>
          <w:bCs/>
        </w:rPr>
      </w:pPr>
      <w:r>
        <w:t xml:space="preserve">By a letter dated </w:t>
      </w:r>
      <w:r w:rsidR="00361455">
        <w:t xml:space="preserve">16 September 1948, </w:t>
      </w:r>
      <w:r>
        <w:t>but in fact hand-delivered to the Bank on 20 September 1948,</w:t>
      </w:r>
      <w:r w:rsidR="00E63709">
        <w:rPr>
          <w:rStyle w:val="FootnoteReference"/>
        </w:rPr>
        <w:footnoteReference w:id="72"/>
      </w:r>
      <w:r>
        <w:t xml:space="preserve"> </w:t>
      </w:r>
      <w:r w:rsidR="00361455">
        <w:t xml:space="preserve">Moin wrote to </w:t>
      </w:r>
      <w:r w:rsidR="00356666">
        <w:t xml:space="preserve">the </w:t>
      </w:r>
      <w:r w:rsidR="00361455">
        <w:t xml:space="preserve">Bank </w:t>
      </w:r>
      <w:r w:rsidR="00425CCC">
        <w:t>in the following terms:</w:t>
      </w:r>
    </w:p>
    <w:p w14:paraId="349039A9" w14:textId="77777777" w:rsidR="00425CCC" w:rsidRPr="00425CCC" w:rsidRDefault="00425CCC" w:rsidP="00425CCC">
      <w:pPr>
        <w:autoSpaceDE w:val="0"/>
        <w:spacing w:before="240" w:after="240"/>
        <w:ind w:left="567"/>
        <w:jc w:val="both"/>
        <w:rPr>
          <w:b/>
          <w:bCs/>
          <w:sz w:val="22"/>
          <w:szCs w:val="22"/>
        </w:rPr>
      </w:pPr>
      <w:r>
        <w:rPr>
          <w:sz w:val="22"/>
          <w:szCs w:val="22"/>
        </w:rPr>
        <w:lastRenderedPageBreak/>
        <w:t xml:space="preserve">“I shall be thankful if you would kindly </w:t>
      </w:r>
      <w:r w:rsidR="000A507E">
        <w:rPr>
          <w:sz w:val="22"/>
          <w:szCs w:val="22"/>
        </w:rPr>
        <w:t>close the H.E.H. the Nizam’s Govt account with you by transfer of the balance to the credit of Mr Habib Ibrahim Rahi</w:t>
      </w:r>
      <w:r w:rsidR="00313705">
        <w:rPr>
          <w:sz w:val="22"/>
          <w:szCs w:val="22"/>
        </w:rPr>
        <w:t>m</w:t>
      </w:r>
      <w:r w:rsidR="000A507E">
        <w:rPr>
          <w:sz w:val="22"/>
          <w:szCs w:val="22"/>
        </w:rPr>
        <w:t>toola</w:t>
      </w:r>
      <w:r w:rsidR="00D61A14">
        <w:rPr>
          <w:sz w:val="22"/>
          <w:szCs w:val="22"/>
        </w:rPr>
        <w:t>, High Commissioner for Pakistan in London, whose specimen signatures are enclosed herewith.”</w:t>
      </w:r>
    </w:p>
    <w:p w14:paraId="1C00C7C9" w14:textId="77777777" w:rsidR="008F42F1" w:rsidRPr="008F42F1" w:rsidRDefault="000C1D84" w:rsidP="008F42F1">
      <w:pPr>
        <w:autoSpaceDE w:val="0"/>
        <w:spacing w:before="240" w:after="240"/>
        <w:ind w:left="567"/>
        <w:jc w:val="both"/>
        <w:rPr>
          <w:b/>
          <w:bCs/>
        </w:rPr>
      </w:pPr>
      <w:r w:rsidRPr="007E1FA8">
        <w:t>This letter</w:t>
      </w:r>
      <w:r w:rsidR="007E1FA8" w:rsidRPr="007E1FA8">
        <w:t xml:space="preserve"> – like the others referred to – gave Moin’s address as the Dorchester Hotel.</w:t>
      </w:r>
      <w:r w:rsidR="007E1FA8">
        <w:t xml:space="preserve"> </w:t>
      </w:r>
      <w:r w:rsidR="00386CA8">
        <w:t>Moin was, of course, in Paris on the 15 September 1948 until quite late. I do not know when he returned from Paris.</w:t>
      </w:r>
    </w:p>
    <w:p w14:paraId="64FD371E" w14:textId="77777777" w:rsidR="00425CCC" w:rsidRDefault="002659C6" w:rsidP="00E0004C">
      <w:pPr>
        <w:numPr>
          <w:ilvl w:val="0"/>
          <w:numId w:val="2"/>
        </w:numPr>
        <w:autoSpaceDE w:val="0"/>
        <w:spacing w:before="240" w:after="240"/>
        <w:jc w:val="both"/>
      </w:pPr>
      <w:r w:rsidRPr="002659C6">
        <w:t xml:space="preserve">The </w:t>
      </w:r>
      <w:r>
        <w:t>specimen signatures were attached</w:t>
      </w:r>
      <w:r w:rsidR="0069242A">
        <w:t>: they, like the letter, identified Rahi</w:t>
      </w:r>
      <w:r w:rsidR="00B95246">
        <w:t>m</w:t>
      </w:r>
      <w:r w:rsidR="0069242A">
        <w:t>toola as the High Commissioner for Pakistan.</w:t>
      </w:r>
    </w:p>
    <w:p w14:paraId="61387694" w14:textId="77777777" w:rsidR="00FA75D4" w:rsidRPr="00FA75D4" w:rsidRDefault="00FA75D4" w:rsidP="00E42568">
      <w:pPr>
        <w:keepNext/>
        <w:tabs>
          <w:tab w:val="left" w:pos="567"/>
        </w:tabs>
        <w:autoSpaceDE w:val="0"/>
        <w:spacing w:before="240" w:after="240"/>
        <w:jc w:val="both"/>
        <w:rPr>
          <w:i/>
          <w:iCs/>
        </w:rPr>
      </w:pPr>
      <w:r>
        <w:rPr>
          <w:i/>
          <w:iCs/>
        </w:rPr>
        <w:t>(v)</w:t>
      </w:r>
      <w:r>
        <w:rPr>
          <w:i/>
          <w:iCs/>
        </w:rPr>
        <w:tab/>
      </w:r>
      <w:r w:rsidR="00C95E84">
        <w:rPr>
          <w:i/>
          <w:iCs/>
        </w:rPr>
        <w:t>Events of</w:t>
      </w:r>
      <w:r>
        <w:rPr>
          <w:i/>
          <w:iCs/>
        </w:rPr>
        <w:t xml:space="preserve"> 20 September 1948</w:t>
      </w:r>
    </w:p>
    <w:p w14:paraId="4E29EF32" w14:textId="77777777" w:rsidR="0004689A" w:rsidRDefault="00CB716C" w:rsidP="00E0004C">
      <w:pPr>
        <w:numPr>
          <w:ilvl w:val="0"/>
          <w:numId w:val="2"/>
        </w:numPr>
        <w:autoSpaceDE w:val="0"/>
        <w:spacing w:before="240" w:after="240"/>
        <w:jc w:val="both"/>
      </w:pPr>
      <w:r>
        <w:t xml:space="preserve">As described in paragraph </w:t>
      </w:r>
      <w:r w:rsidR="00622CB1">
        <w:t>113</w:t>
      </w:r>
      <w:r>
        <w:t xml:space="preserve"> above, </w:t>
      </w:r>
      <w:r w:rsidR="00313705">
        <w:t xml:space="preserve">Moin’s instruction to transfer the balance of the Second Account to the Rahimtoola Account </w:t>
      </w:r>
      <w:r w:rsidR="00A74405">
        <w:t xml:space="preserve">was hand-delivered to the Bank on 20 September 1948. </w:t>
      </w:r>
      <w:r w:rsidR="0004689A">
        <w:t>On</w:t>
      </w:r>
      <w:r w:rsidR="00835E88">
        <w:t xml:space="preserve"> </w:t>
      </w:r>
      <w:r w:rsidR="00A74405">
        <w:t>the same day, the</w:t>
      </w:r>
      <w:r w:rsidR="006E5DD6">
        <w:t xml:space="preserve"> Bank wrote to Rahimtoola as follows:</w:t>
      </w:r>
    </w:p>
    <w:p w14:paraId="39CA2C6D" w14:textId="77777777" w:rsidR="006E5DD6" w:rsidRDefault="00780A5B" w:rsidP="006E5DD6">
      <w:pPr>
        <w:autoSpaceDE w:val="0"/>
        <w:spacing w:before="240" w:after="240"/>
        <w:ind w:left="567"/>
        <w:jc w:val="both"/>
        <w:rPr>
          <w:sz w:val="22"/>
          <w:szCs w:val="22"/>
        </w:rPr>
      </w:pPr>
      <w:r>
        <w:rPr>
          <w:sz w:val="22"/>
          <w:szCs w:val="22"/>
        </w:rPr>
        <w:t>“</w:t>
      </w:r>
      <w:r w:rsidR="00451C3C">
        <w:rPr>
          <w:sz w:val="22"/>
          <w:szCs w:val="22"/>
        </w:rPr>
        <w:t xml:space="preserve">On the instructions of [Moin], we have today opened a deposit account in your name with the sum </w:t>
      </w:r>
      <w:r w:rsidR="004B18C1">
        <w:rPr>
          <w:sz w:val="22"/>
          <w:szCs w:val="22"/>
        </w:rPr>
        <w:t>of</w:t>
      </w:r>
      <w:r w:rsidR="001B13E4">
        <w:rPr>
          <w:sz w:val="22"/>
          <w:szCs w:val="22"/>
        </w:rPr>
        <w:t xml:space="preserve"> </w:t>
      </w:r>
      <w:r w:rsidR="004B18C1">
        <w:rPr>
          <w:sz w:val="22"/>
          <w:szCs w:val="22"/>
        </w:rPr>
        <w:t xml:space="preserve">£1,007,940.9.-, as shown on the enclosed credit advice. </w:t>
      </w:r>
    </w:p>
    <w:p w14:paraId="1C173495" w14:textId="77777777" w:rsidR="004B18C1" w:rsidRPr="006E5DD6" w:rsidRDefault="004B18C1" w:rsidP="006E5DD6">
      <w:pPr>
        <w:autoSpaceDE w:val="0"/>
        <w:spacing w:before="240" w:after="240"/>
        <w:ind w:left="567"/>
        <w:jc w:val="both"/>
        <w:rPr>
          <w:sz w:val="22"/>
          <w:szCs w:val="22"/>
        </w:rPr>
      </w:pPr>
      <w:r>
        <w:rPr>
          <w:sz w:val="22"/>
          <w:szCs w:val="22"/>
        </w:rPr>
        <w:t xml:space="preserve">We have been provided with two specimens </w:t>
      </w:r>
      <w:r w:rsidR="002B0D87">
        <w:rPr>
          <w:sz w:val="22"/>
          <w:szCs w:val="22"/>
        </w:rPr>
        <w:t>of your signature and shall be pleased to receive your instructions.”</w:t>
      </w:r>
    </w:p>
    <w:p w14:paraId="4148E995" w14:textId="77777777" w:rsidR="00206BD7" w:rsidRPr="00FA7626" w:rsidRDefault="00DE29CE" w:rsidP="00206BD7">
      <w:pPr>
        <w:autoSpaceDE w:val="0"/>
        <w:spacing w:before="240" w:after="240"/>
        <w:ind w:left="567"/>
        <w:jc w:val="both"/>
        <w:rPr>
          <w:b/>
          <w:bCs/>
        </w:rPr>
      </w:pPr>
      <w:r>
        <w:t>The letter was addressed to Rahi</w:t>
      </w:r>
      <w:r w:rsidR="00A74405">
        <w:t>m</w:t>
      </w:r>
      <w:r>
        <w:t>toola, “High Commissioner for Pakistan in London”.</w:t>
      </w:r>
      <w:r w:rsidR="003421A9">
        <w:t xml:space="preserve"> It was sent to the </w:t>
      </w:r>
      <w:r w:rsidR="00896031">
        <w:t>High Commission itself, then located at 14/15/16 Fitzharding</w:t>
      </w:r>
      <w:r w:rsidR="005E13BF">
        <w:t>e</w:t>
      </w:r>
      <w:r w:rsidR="00896031">
        <w:t xml:space="preserve"> Street in London.</w:t>
      </w:r>
    </w:p>
    <w:p w14:paraId="2535CE79" w14:textId="77777777" w:rsidR="00410914" w:rsidRDefault="002B0D87" w:rsidP="00490542">
      <w:pPr>
        <w:autoSpaceDE w:val="0"/>
        <w:spacing w:before="240" w:after="240"/>
        <w:ind w:left="567"/>
        <w:jc w:val="both"/>
      </w:pPr>
      <w:r>
        <w:t xml:space="preserve">The </w:t>
      </w:r>
      <w:r w:rsidR="00206BD7">
        <w:t xml:space="preserve">credit advice referred to in this letter was </w:t>
      </w:r>
      <w:r w:rsidR="00E972A7">
        <w:t>addressed to “Habib Ibrahim Rahimtoola (High Commissioner for Pakistan in Lond</w:t>
      </w:r>
      <w:r w:rsidR="00794D08">
        <w:t xml:space="preserve">on) Deposit A/C” </w:t>
      </w:r>
      <w:r w:rsidR="00206BD7">
        <w:t xml:space="preserve">and </w:t>
      </w:r>
      <w:r w:rsidR="00794D08">
        <w:t>recorded a credit to that account of £1,007,940.9s” as a result of a “[t]ransfer by order of H.E.H. The Nizam’s Government”.</w:t>
      </w:r>
    </w:p>
    <w:p w14:paraId="1C3ECD87" w14:textId="77777777" w:rsidR="005A09CC" w:rsidRDefault="00490542" w:rsidP="002B0D87">
      <w:pPr>
        <w:numPr>
          <w:ilvl w:val="0"/>
          <w:numId w:val="2"/>
        </w:numPr>
        <w:autoSpaceDE w:val="0"/>
        <w:spacing w:before="240" w:after="240"/>
        <w:jc w:val="both"/>
      </w:pPr>
      <w:r>
        <w:t xml:space="preserve">Also </w:t>
      </w:r>
      <w:r w:rsidR="003527D2">
        <w:t>on 20 September 1948</w:t>
      </w:r>
      <w:r w:rsidR="00C525B6">
        <w:t xml:space="preserve">, </w:t>
      </w:r>
      <w:r w:rsidR="005E24D3">
        <w:t xml:space="preserve">the </w:t>
      </w:r>
      <w:r w:rsidR="00C525B6">
        <w:t xml:space="preserve">Bank wrote to </w:t>
      </w:r>
      <w:r w:rsidR="005A09CC">
        <w:t>Moin:</w:t>
      </w:r>
    </w:p>
    <w:p w14:paraId="305F7827" w14:textId="77777777" w:rsidR="005A09CC" w:rsidRDefault="005A09CC" w:rsidP="005A09CC">
      <w:pPr>
        <w:autoSpaceDE w:val="0"/>
        <w:spacing w:before="240" w:after="240"/>
        <w:ind w:left="567"/>
        <w:jc w:val="both"/>
        <w:rPr>
          <w:sz w:val="22"/>
          <w:szCs w:val="22"/>
        </w:rPr>
      </w:pPr>
      <w:r>
        <w:rPr>
          <w:sz w:val="22"/>
          <w:szCs w:val="22"/>
        </w:rPr>
        <w:t xml:space="preserve">“In accordance with the instructions contained </w:t>
      </w:r>
      <w:r w:rsidR="00201458">
        <w:rPr>
          <w:sz w:val="22"/>
          <w:szCs w:val="22"/>
        </w:rPr>
        <w:t xml:space="preserve">in your letter dated 16 September </w:t>
      </w:r>
      <w:r w:rsidR="00FD7179">
        <w:rPr>
          <w:sz w:val="22"/>
          <w:szCs w:val="22"/>
        </w:rPr>
        <w:t>which was handed to us today by Mr Khan</w:t>
      </w:r>
      <w:r w:rsidR="00FF1F55">
        <w:rPr>
          <w:sz w:val="22"/>
          <w:szCs w:val="22"/>
        </w:rPr>
        <w:t xml:space="preserve">, we have transferred the balance of the deposit account in the name of H.E.H. The Nizam’s Government to a new deposit account </w:t>
      </w:r>
      <w:r w:rsidR="0072026A">
        <w:rPr>
          <w:sz w:val="22"/>
          <w:szCs w:val="22"/>
        </w:rPr>
        <w:t xml:space="preserve">in the name of Mr Habib Ibrahim Rahimtoola. We thank you for the specimen signatures </w:t>
      </w:r>
      <w:r w:rsidR="00176B84">
        <w:rPr>
          <w:sz w:val="22"/>
          <w:szCs w:val="22"/>
        </w:rPr>
        <w:t>of this gentleman.</w:t>
      </w:r>
    </w:p>
    <w:p w14:paraId="59914E47" w14:textId="77777777" w:rsidR="00490542" w:rsidRDefault="00176B84" w:rsidP="00040AC7">
      <w:pPr>
        <w:autoSpaceDE w:val="0"/>
        <w:spacing w:before="240" w:after="240"/>
        <w:ind w:left="567"/>
        <w:jc w:val="both"/>
        <w:rPr>
          <w:sz w:val="22"/>
          <w:szCs w:val="22"/>
        </w:rPr>
      </w:pPr>
      <w:r>
        <w:rPr>
          <w:sz w:val="22"/>
          <w:szCs w:val="22"/>
        </w:rPr>
        <w:t xml:space="preserve">We enclose our formal advice of this transfer and think you may be interested to know </w:t>
      </w:r>
      <w:r w:rsidR="00B17626">
        <w:rPr>
          <w:sz w:val="22"/>
          <w:szCs w:val="22"/>
        </w:rPr>
        <w:t>that the amount involved is made up as follows…”</w:t>
      </w:r>
    </w:p>
    <w:p w14:paraId="3674D907" w14:textId="77777777" w:rsidR="00A83C23" w:rsidRPr="00DC18AC" w:rsidRDefault="00CF1C0C" w:rsidP="00DC18AC">
      <w:pPr>
        <w:numPr>
          <w:ilvl w:val="0"/>
          <w:numId w:val="2"/>
        </w:numPr>
        <w:autoSpaceDE w:val="0"/>
        <w:spacing w:before="240" w:after="240"/>
        <w:jc w:val="both"/>
        <w:rPr>
          <w:b/>
          <w:bCs/>
          <w:sz w:val="22"/>
          <w:szCs w:val="22"/>
        </w:rPr>
      </w:pPr>
      <w:r>
        <w:t>As a consequence of the transfer, a memo was sent to all departments wit</w:t>
      </w:r>
      <w:r w:rsidR="00834C8C">
        <w:t>hin the Bank on 20 September 1948 regarding the Second Accoun</w:t>
      </w:r>
      <w:r w:rsidR="00EE0B23">
        <w:t>t</w:t>
      </w:r>
      <w:r w:rsidR="00834C8C">
        <w:t xml:space="preserve">: </w:t>
      </w:r>
    </w:p>
    <w:p w14:paraId="3BB6B636" w14:textId="77777777" w:rsidR="00834C8C" w:rsidRDefault="00834C8C" w:rsidP="00834C8C">
      <w:pPr>
        <w:autoSpaceDE w:val="0"/>
        <w:spacing w:before="240" w:after="240"/>
        <w:ind w:left="567"/>
        <w:jc w:val="both"/>
        <w:rPr>
          <w:sz w:val="22"/>
          <w:szCs w:val="22"/>
        </w:rPr>
      </w:pPr>
      <w:r>
        <w:rPr>
          <w:sz w:val="22"/>
          <w:szCs w:val="22"/>
        </w:rPr>
        <w:t xml:space="preserve">“Please note that </w:t>
      </w:r>
      <w:r w:rsidR="00B824AB">
        <w:rPr>
          <w:sz w:val="22"/>
          <w:szCs w:val="22"/>
        </w:rPr>
        <w:t>no payment should be made out of this account without reference to Managers.”</w:t>
      </w:r>
    </w:p>
    <w:p w14:paraId="6B791932" w14:textId="77777777" w:rsidR="00B7731D" w:rsidRPr="00B7731D" w:rsidRDefault="00B7731D" w:rsidP="00834C8C">
      <w:pPr>
        <w:autoSpaceDE w:val="0"/>
        <w:spacing w:before="240" w:after="240"/>
        <w:ind w:left="567"/>
        <w:jc w:val="both"/>
        <w:rPr>
          <w:i/>
          <w:iCs/>
        </w:rPr>
      </w:pPr>
      <w:r>
        <w:t xml:space="preserve">Given the intended closure of the Second Account, this was no doubt to ensure that </w:t>
      </w:r>
      <w:r w:rsidR="00AA3934">
        <w:t>the account did not inadvertently become overdrawn.</w:t>
      </w:r>
    </w:p>
    <w:p w14:paraId="1FC87C5E" w14:textId="77777777" w:rsidR="00213CE9" w:rsidRPr="00A51B9C" w:rsidRDefault="003C4E1A" w:rsidP="00F67C19">
      <w:pPr>
        <w:keepNext/>
        <w:tabs>
          <w:tab w:val="left" w:pos="567"/>
        </w:tabs>
        <w:autoSpaceDE w:val="0"/>
        <w:spacing w:before="240" w:after="240"/>
        <w:jc w:val="both"/>
        <w:rPr>
          <w:i/>
          <w:iCs/>
        </w:rPr>
      </w:pPr>
      <w:r w:rsidRPr="00A51B9C">
        <w:rPr>
          <w:i/>
          <w:iCs/>
        </w:rPr>
        <w:lastRenderedPageBreak/>
        <w:t>(vi)</w:t>
      </w:r>
      <w:r w:rsidRPr="00A51B9C">
        <w:rPr>
          <w:i/>
          <w:iCs/>
        </w:rPr>
        <w:tab/>
        <w:t>The Bank’s views regarding the basis upon which the account was held</w:t>
      </w:r>
    </w:p>
    <w:p w14:paraId="6957D685" w14:textId="77777777" w:rsidR="00EA6064" w:rsidRPr="00EA6064" w:rsidRDefault="00A51B9C" w:rsidP="00CA3D9D">
      <w:pPr>
        <w:numPr>
          <w:ilvl w:val="0"/>
          <w:numId w:val="2"/>
        </w:numPr>
        <w:autoSpaceDE w:val="0"/>
        <w:spacing w:before="240" w:after="240"/>
        <w:jc w:val="both"/>
        <w:rPr>
          <w:b/>
          <w:bCs/>
          <w:sz w:val="22"/>
          <w:szCs w:val="22"/>
        </w:rPr>
      </w:pPr>
      <w:r>
        <w:t xml:space="preserve">I should record that the Bank itself </w:t>
      </w:r>
      <w:r w:rsidR="004B1A57">
        <w:t xml:space="preserve">appears to have been </w:t>
      </w:r>
      <w:r>
        <w:t xml:space="preserve">under little doubt as to the basis upon which Rahimtoola held </w:t>
      </w:r>
      <w:r w:rsidR="004A205C">
        <w:t>the monies in the Rahimtoola Account. An internal memo dated 7 September 1950 record</w:t>
      </w:r>
      <w:r w:rsidR="00AA3934">
        <w:t>s</w:t>
      </w:r>
      <w:r w:rsidR="00EA6064">
        <w:t>:</w:t>
      </w:r>
    </w:p>
    <w:p w14:paraId="69CDAB3E" w14:textId="77777777" w:rsidR="00EA6064" w:rsidRPr="00EA6064" w:rsidRDefault="00EA6064" w:rsidP="00EA6064">
      <w:pPr>
        <w:autoSpaceDE w:val="0"/>
        <w:spacing w:before="240" w:after="240"/>
        <w:ind w:left="567"/>
        <w:jc w:val="both"/>
        <w:rPr>
          <w:sz w:val="22"/>
          <w:szCs w:val="22"/>
        </w:rPr>
      </w:pPr>
      <w:r>
        <w:rPr>
          <w:sz w:val="22"/>
          <w:szCs w:val="22"/>
        </w:rPr>
        <w:t xml:space="preserve">“We have an account </w:t>
      </w:r>
      <w:r w:rsidR="00D52A28">
        <w:rPr>
          <w:sz w:val="22"/>
          <w:szCs w:val="22"/>
        </w:rPr>
        <w:t>in the name of Mr HI Rahimtoola as High Commissioner.</w:t>
      </w:r>
      <w:r w:rsidR="0004033D">
        <w:rPr>
          <w:rStyle w:val="FootnoteReference"/>
          <w:sz w:val="22"/>
          <w:szCs w:val="22"/>
        </w:rPr>
        <w:footnoteReference w:id="73"/>
      </w:r>
      <w:r w:rsidR="00D52A28">
        <w:rPr>
          <w:sz w:val="22"/>
          <w:szCs w:val="22"/>
        </w:rPr>
        <w:t xml:space="preserve"> This was the result of a transfer </w:t>
      </w:r>
      <w:r w:rsidR="009C281A">
        <w:rPr>
          <w:sz w:val="22"/>
          <w:szCs w:val="22"/>
        </w:rPr>
        <w:t>from the Hyderabad Government account, concerning which there was a good deal of controversy at the time (Autumn 1948). Balance £1,017,000.”</w:t>
      </w:r>
    </w:p>
    <w:p w14:paraId="122F5E31" w14:textId="77777777" w:rsidR="0037694D" w:rsidRPr="0037694D" w:rsidRDefault="00B1198F" w:rsidP="00CA3D9D">
      <w:pPr>
        <w:numPr>
          <w:ilvl w:val="0"/>
          <w:numId w:val="2"/>
        </w:numPr>
        <w:autoSpaceDE w:val="0"/>
        <w:spacing w:before="240" w:after="240"/>
        <w:jc w:val="both"/>
        <w:rPr>
          <w:b/>
          <w:bCs/>
          <w:sz w:val="22"/>
          <w:szCs w:val="22"/>
        </w:rPr>
      </w:pPr>
      <w:r>
        <w:t xml:space="preserve">An earlier memo – dated 18 May 1950 </w:t>
      </w:r>
      <w:r w:rsidR="00BB7D5F">
        <w:t>–</w:t>
      </w:r>
      <w:r>
        <w:t xml:space="preserve"> </w:t>
      </w:r>
      <w:r w:rsidR="00BB7D5F">
        <w:t xml:space="preserve">headed “High Commissioner for Pakistan in London” </w:t>
      </w:r>
      <w:r w:rsidR="001F5D4C">
        <w:t xml:space="preserve">– </w:t>
      </w:r>
      <w:r w:rsidR="00BB7D5F">
        <w:t>states:</w:t>
      </w:r>
    </w:p>
    <w:p w14:paraId="3E3D2A29" w14:textId="77777777" w:rsidR="0037694D" w:rsidRPr="0037694D" w:rsidRDefault="0037694D" w:rsidP="0037694D">
      <w:pPr>
        <w:autoSpaceDE w:val="0"/>
        <w:spacing w:before="240" w:after="240"/>
        <w:ind w:left="567"/>
        <w:jc w:val="both"/>
        <w:rPr>
          <w:sz w:val="22"/>
          <w:szCs w:val="22"/>
        </w:rPr>
      </w:pPr>
      <w:r>
        <w:rPr>
          <w:sz w:val="22"/>
          <w:szCs w:val="22"/>
        </w:rPr>
        <w:t>“When an official announcement</w:t>
      </w:r>
      <w:r w:rsidR="002604B3">
        <w:rPr>
          <w:sz w:val="22"/>
          <w:szCs w:val="22"/>
        </w:rPr>
        <w:t xml:space="preserve"> of the </w:t>
      </w:r>
      <w:r w:rsidR="00CB1283">
        <w:rPr>
          <w:sz w:val="22"/>
          <w:szCs w:val="22"/>
        </w:rPr>
        <w:t>appointment of a successor to HI Rahimtoola is announced or noticed in the press, the change is to be referred to Mr Peppiatt</w:t>
      </w:r>
      <w:r w:rsidR="00032508">
        <w:rPr>
          <w:sz w:val="22"/>
          <w:szCs w:val="22"/>
        </w:rPr>
        <w:t>, of Freshfields.”</w:t>
      </w:r>
    </w:p>
    <w:p w14:paraId="4B872EC0" w14:textId="77777777" w:rsidR="002709BF" w:rsidRDefault="00CE0BA1" w:rsidP="002709BF">
      <w:pPr>
        <w:numPr>
          <w:ilvl w:val="0"/>
          <w:numId w:val="2"/>
        </w:numPr>
        <w:autoSpaceDE w:val="0"/>
        <w:spacing w:before="240" w:after="240"/>
        <w:jc w:val="both"/>
        <w:rPr>
          <w:sz w:val="22"/>
          <w:szCs w:val="22"/>
        </w:rPr>
      </w:pPr>
      <w:r>
        <w:t xml:space="preserve">I do not suggest that any of the relevant actors </w:t>
      </w:r>
      <w:r w:rsidR="00BE052D">
        <w:t xml:space="preserve">for Hyderabad </w:t>
      </w:r>
      <w:r>
        <w:t>saw these communications</w:t>
      </w:r>
      <w:r w:rsidR="00EF7B11">
        <w:t xml:space="preserve">, and naturally the </w:t>
      </w:r>
      <w:r w:rsidR="00EF7B11">
        <w:rPr>
          <w:u w:val="single"/>
        </w:rPr>
        <w:t>internal</w:t>
      </w:r>
      <w:r w:rsidR="00EF7B11">
        <w:t xml:space="preserve"> view of the Bank cannot colour the nature of the Transfer. </w:t>
      </w:r>
      <w:r w:rsidR="00404CE0">
        <w:t>However, it is appropriate to record these communications, and I return to their relevance later.</w:t>
      </w:r>
    </w:p>
    <w:p w14:paraId="1C195D02" w14:textId="77777777" w:rsidR="00CA1B80" w:rsidRPr="00D568EA" w:rsidRDefault="0093155E" w:rsidP="00CB0727">
      <w:pPr>
        <w:keepNext/>
        <w:tabs>
          <w:tab w:val="left" w:pos="567"/>
        </w:tabs>
        <w:autoSpaceDE w:val="0"/>
        <w:spacing w:before="240" w:after="240"/>
        <w:jc w:val="both"/>
        <w:rPr>
          <w:b/>
          <w:bCs/>
          <w:i/>
          <w:iCs/>
        </w:rPr>
      </w:pPr>
      <w:r>
        <w:rPr>
          <w:b/>
          <w:bCs/>
          <w:i/>
          <w:iCs/>
        </w:rPr>
        <w:t>(c)</w:t>
      </w:r>
      <w:r>
        <w:rPr>
          <w:b/>
          <w:bCs/>
          <w:i/>
          <w:iCs/>
        </w:rPr>
        <w:tab/>
        <w:t>Findings</w:t>
      </w:r>
    </w:p>
    <w:p w14:paraId="1411E6BA" w14:textId="77777777" w:rsidR="00585EEB" w:rsidRPr="00585EEB" w:rsidRDefault="00585EEB" w:rsidP="00CB0727">
      <w:pPr>
        <w:keepNext/>
        <w:tabs>
          <w:tab w:val="left" w:pos="567"/>
        </w:tabs>
        <w:autoSpaceDE w:val="0"/>
        <w:spacing w:before="240" w:after="240"/>
        <w:jc w:val="both"/>
        <w:rPr>
          <w:i/>
          <w:iCs/>
        </w:rPr>
      </w:pPr>
      <w:r>
        <w:rPr>
          <w:i/>
          <w:iCs/>
        </w:rPr>
        <w:t>(i)</w:t>
      </w:r>
      <w:r>
        <w:rPr>
          <w:i/>
          <w:iCs/>
        </w:rPr>
        <w:tab/>
        <w:t>Introduction</w:t>
      </w:r>
    </w:p>
    <w:p w14:paraId="0DCD2E9D" w14:textId="77777777" w:rsidR="002F7C86" w:rsidRDefault="007E4858" w:rsidP="00EB718D">
      <w:pPr>
        <w:numPr>
          <w:ilvl w:val="0"/>
          <w:numId w:val="2"/>
        </w:numPr>
        <w:autoSpaceDE w:val="0"/>
        <w:spacing w:before="240" w:after="240"/>
        <w:jc w:val="both"/>
      </w:pPr>
      <w:r w:rsidRPr="007E4858">
        <w:t xml:space="preserve">All </w:t>
      </w:r>
      <w:r>
        <w:t xml:space="preserve">of the parties had points to make in relation to the evidence that I have described. </w:t>
      </w:r>
      <w:r w:rsidR="00835C62">
        <w:t xml:space="preserve">Pakistan sought to persuade me that the letters </w:t>
      </w:r>
      <w:r w:rsidR="006258E9">
        <w:t>dated</w:t>
      </w:r>
      <w:r w:rsidR="00835C62">
        <w:t xml:space="preserve"> 15 September 1948 </w:t>
      </w:r>
      <w:r w:rsidR="00935EBD">
        <w:t>were not reliable and that I should not place too much weight on them.</w:t>
      </w:r>
      <w:r w:rsidR="008F151D">
        <w:rPr>
          <w:rStyle w:val="FootnoteReference"/>
        </w:rPr>
        <w:footnoteReference w:id="74"/>
      </w:r>
      <w:r w:rsidR="00935EBD">
        <w:t xml:space="preserve"> </w:t>
      </w:r>
    </w:p>
    <w:p w14:paraId="1381E3A0" w14:textId="77777777" w:rsidR="007E4858" w:rsidRDefault="001F3268" w:rsidP="00EB718D">
      <w:pPr>
        <w:numPr>
          <w:ilvl w:val="0"/>
          <w:numId w:val="2"/>
        </w:numPr>
        <w:autoSpaceDE w:val="0"/>
        <w:spacing w:before="240" w:after="240"/>
        <w:jc w:val="both"/>
      </w:pPr>
      <w:r>
        <w:t>The Princes and India</w:t>
      </w:r>
      <w:r w:rsidR="00C9506A">
        <w:t>, for their part,</w:t>
      </w:r>
      <w:r>
        <w:t xml:space="preserve"> contended that Rahimtoola’s evidence </w:t>
      </w:r>
      <w:r w:rsidR="004D395E">
        <w:t xml:space="preserve">– and particularly that given </w:t>
      </w:r>
      <w:r w:rsidR="00CB079F">
        <w:t xml:space="preserve">in Rahimtoola 2 – </w:t>
      </w:r>
      <w:r>
        <w:t xml:space="preserve">should be </w:t>
      </w:r>
      <w:r w:rsidR="00CB079F">
        <w:t>discounted as substantially incorrect</w:t>
      </w:r>
      <w:r w:rsidR="00193E31">
        <w:t xml:space="preserve">. </w:t>
      </w:r>
      <w:r w:rsidR="003F5440">
        <w:t xml:space="preserve">Although there are points in India’s </w:t>
      </w:r>
      <w:r w:rsidR="002F7C86">
        <w:t xml:space="preserve">Factual </w:t>
      </w:r>
      <w:r w:rsidR="003F5440">
        <w:t xml:space="preserve">Narrative suggesting that Rahimtoola’s evidence in Rahimtoola 1 and Rahimtoola 2 was </w:t>
      </w:r>
      <w:r w:rsidR="003F5440">
        <w:rPr>
          <w:u w:val="single"/>
        </w:rPr>
        <w:t>deliberately</w:t>
      </w:r>
      <w:r w:rsidR="003F5440">
        <w:t xml:space="preserve"> incorrect</w:t>
      </w:r>
      <w:r w:rsidR="00C7552E">
        <w:t xml:space="preserve"> – that is to say, </w:t>
      </w:r>
      <w:r w:rsidR="003F5440">
        <w:t>dishonest</w:t>
      </w:r>
      <w:r w:rsidR="00C7552E">
        <w:t xml:space="preserve"> –</w:t>
      </w:r>
      <w:r w:rsidR="002F781D">
        <w:t xml:space="preserve"> that contention was </w:t>
      </w:r>
      <w:r w:rsidR="00DF264C">
        <w:t>not maintained by the Princes and India.</w:t>
      </w:r>
      <w:r w:rsidR="00DF264C">
        <w:rPr>
          <w:rStyle w:val="FootnoteReference"/>
        </w:rPr>
        <w:footnoteReference w:id="75"/>
      </w:r>
      <w:r w:rsidR="00DF264C">
        <w:t xml:space="preserve"> </w:t>
      </w:r>
    </w:p>
    <w:p w14:paraId="79063981" w14:textId="77777777" w:rsidR="00EC7D62" w:rsidRPr="007E4858" w:rsidRDefault="00585EEB" w:rsidP="00EB718D">
      <w:pPr>
        <w:numPr>
          <w:ilvl w:val="0"/>
          <w:numId w:val="2"/>
        </w:numPr>
        <w:autoSpaceDE w:val="0"/>
        <w:spacing w:before="240" w:after="240"/>
        <w:jc w:val="both"/>
      </w:pPr>
      <w:r>
        <w:t>I begin with the evidence of Rahimtoola</w:t>
      </w:r>
      <w:r w:rsidR="003A1280">
        <w:t xml:space="preserve"> and then </w:t>
      </w:r>
      <w:r w:rsidR="002E194A">
        <w:t xml:space="preserve">turn to </w:t>
      </w:r>
      <w:r w:rsidR="003A1280">
        <w:t>consider the 15 September 1948 letters. I conclude by stating my findings regarding the transfer.</w:t>
      </w:r>
    </w:p>
    <w:p w14:paraId="7ED8F588" w14:textId="77777777" w:rsidR="006B5065" w:rsidRPr="006B5065" w:rsidRDefault="006B5065" w:rsidP="002F7C86">
      <w:pPr>
        <w:keepNext/>
        <w:tabs>
          <w:tab w:val="left" w:pos="567"/>
        </w:tabs>
        <w:autoSpaceDE w:val="0"/>
        <w:spacing w:before="240" w:after="240"/>
        <w:jc w:val="both"/>
        <w:rPr>
          <w:i/>
          <w:iCs/>
        </w:rPr>
      </w:pPr>
      <w:r w:rsidRPr="006B5065">
        <w:rPr>
          <w:i/>
          <w:iCs/>
        </w:rPr>
        <w:t>(i</w:t>
      </w:r>
      <w:r w:rsidR="00585EEB">
        <w:rPr>
          <w:i/>
          <w:iCs/>
        </w:rPr>
        <w:t>i</w:t>
      </w:r>
      <w:r w:rsidRPr="006B5065">
        <w:rPr>
          <w:i/>
          <w:iCs/>
        </w:rPr>
        <w:t>)</w:t>
      </w:r>
      <w:r w:rsidRPr="006B5065">
        <w:rPr>
          <w:i/>
          <w:iCs/>
        </w:rPr>
        <w:tab/>
        <w:t>The evidence of Rahimtoola</w:t>
      </w:r>
    </w:p>
    <w:p w14:paraId="6450635B" w14:textId="77777777" w:rsidR="007E4858" w:rsidRPr="00535CC8" w:rsidRDefault="00D568EA" w:rsidP="00EB718D">
      <w:pPr>
        <w:numPr>
          <w:ilvl w:val="0"/>
          <w:numId w:val="2"/>
        </w:numPr>
        <w:autoSpaceDE w:val="0"/>
        <w:spacing w:before="240" w:after="240"/>
        <w:jc w:val="both"/>
        <w:rPr>
          <w:b/>
          <w:bCs/>
        </w:rPr>
      </w:pPr>
      <w:r>
        <w:t xml:space="preserve">Rahimtoola’s </w:t>
      </w:r>
      <w:r w:rsidR="006F0C47">
        <w:t xml:space="preserve">affidavits were produced for the purpose of the </w:t>
      </w:r>
      <w:r w:rsidR="009B46F1">
        <w:t xml:space="preserve">1954 Proceedings. </w:t>
      </w:r>
      <w:r w:rsidR="00362FA6">
        <w:t xml:space="preserve">As I have described, these proceedings never grappled with the substance of </w:t>
      </w:r>
      <w:r w:rsidR="00BF5805">
        <w:t xml:space="preserve">who was entitled to the </w:t>
      </w:r>
      <w:r w:rsidR="0083615A">
        <w:t xml:space="preserve">Fund and were concerned only with the question of Pakistan’s assertion of </w:t>
      </w:r>
      <w:r w:rsidR="0083615A">
        <w:lastRenderedPageBreak/>
        <w:t>sovereign immunity.</w:t>
      </w:r>
      <w:r w:rsidR="001C28C8">
        <w:t xml:space="preserve"> </w:t>
      </w:r>
      <w:r w:rsidR="007F5D94">
        <w:t>That, in my judgment, explains</w:t>
      </w:r>
      <w:r w:rsidR="00786863">
        <w:t xml:space="preserve"> much </w:t>
      </w:r>
      <w:r w:rsidR="00CC2A28">
        <w:t xml:space="preserve">both </w:t>
      </w:r>
      <w:r w:rsidR="00786863">
        <w:t xml:space="preserve">about </w:t>
      </w:r>
      <w:r w:rsidR="00535CC8">
        <w:t>what Rahimtoola says and does not say in his affidavits:</w:t>
      </w:r>
    </w:p>
    <w:p w14:paraId="7B008B1F" w14:textId="77777777" w:rsidR="00535CC8" w:rsidRPr="002E30F6" w:rsidRDefault="00CA00E0" w:rsidP="00535CC8">
      <w:pPr>
        <w:numPr>
          <w:ilvl w:val="1"/>
          <w:numId w:val="2"/>
        </w:numPr>
        <w:autoSpaceDE w:val="0"/>
        <w:spacing w:before="240" w:after="240"/>
        <w:jc w:val="both"/>
        <w:rPr>
          <w:b/>
          <w:bCs/>
        </w:rPr>
      </w:pPr>
      <w:r>
        <w:t xml:space="preserve">Rahimtoola’s affidavits </w:t>
      </w:r>
      <w:r w:rsidR="00DC18AC">
        <w:t xml:space="preserve">were obviously prepared </w:t>
      </w:r>
      <w:r w:rsidR="00BE6059">
        <w:t xml:space="preserve">by </w:t>
      </w:r>
      <w:r>
        <w:t>reference to the documents</w:t>
      </w:r>
      <w:r w:rsidR="00BE6059">
        <w:t xml:space="preserve">. </w:t>
      </w:r>
      <w:r w:rsidR="00247667">
        <w:t xml:space="preserve">It is quite clear that </w:t>
      </w:r>
      <w:r w:rsidR="00C743E6">
        <w:t>Rahimtoola had seen</w:t>
      </w:r>
      <w:r w:rsidR="00253617">
        <w:t xml:space="preserve"> Moin’s letter of 16 September 1948</w:t>
      </w:r>
      <w:r w:rsidR="00637AE4">
        <w:rPr>
          <w:rStyle w:val="FootnoteReference"/>
        </w:rPr>
        <w:footnoteReference w:id="76"/>
      </w:r>
      <w:r w:rsidR="00637AE4">
        <w:t xml:space="preserve"> and</w:t>
      </w:r>
      <w:r w:rsidR="00B70852">
        <w:t xml:space="preserve"> the Bank’s letters of 20 September 1948</w:t>
      </w:r>
      <w:r w:rsidR="00475B87">
        <w:rPr>
          <w:rStyle w:val="FootnoteReference"/>
        </w:rPr>
        <w:footnoteReference w:id="77"/>
      </w:r>
      <w:r w:rsidR="00475B87">
        <w:t xml:space="preserve"> when preparing his affidavits</w:t>
      </w:r>
      <w:r w:rsidR="00B70852">
        <w:t>.</w:t>
      </w:r>
    </w:p>
    <w:p w14:paraId="5EE62822" w14:textId="77777777" w:rsidR="002E30F6" w:rsidRPr="007A439C" w:rsidRDefault="002E30F6" w:rsidP="00535CC8">
      <w:pPr>
        <w:numPr>
          <w:ilvl w:val="1"/>
          <w:numId w:val="2"/>
        </w:numPr>
        <w:autoSpaceDE w:val="0"/>
        <w:spacing w:before="240" w:after="240"/>
        <w:jc w:val="both"/>
        <w:rPr>
          <w:b/>
          <w:bCs/>
        </w:rPr>
      </w:pPr>
      <w:r>
        <w:t xml:space="preserve">In these circumstances, it is – at first sight – extremely strange that Rahimtoola did not refer to the </w:t>
      </w:r>
      <w:r w:rsidR="003D751E">
        <w:t xml:space="preserve">15 September 1948 communications between himself and Moin. These letters </w:t>
      </w:r>
      <w:r w:rsidR="00BE62D6">
        <w:t xml:space="preserve">might </w:t>
      </w:r>
      <w:r w:rsidR="003D751E">
        <w:t xml:space="preserve">have assisted Rahimtoola in </w:t>
      </w:r>
      <w:r w:rsidR="008D0F59">
        <w:t>answering the question of whether he dealt with Mir or Moin</w:t>
      </w:r>
      <w:r w:rsidR="001D3E54">
        <w:t>, a point on which he expressed himself to be uncertain</w:t>
      </w:r>
      <w:r w:rsidR="008D0F59">
        <w:t>.</w:t>
      </w:r>
      <w:r w:rsidR="001D3E54">
        <w:rPr>
          <w:rStyle w:val="FootnoteReference"/>
        </w:rPr>
        <w:footnoteReference w:id="78"/>
      </w:r>
      <w:r w:rsidR="008D0F59">
        <w:t xml:space="preserve"> </w:t>
      </w:r>
    </w:p>
    <w:p w14:paraId="3E9E9491" w14:textId="77777777" w:rsidR="007A439C" w:rsidRPr="00DA364E" w:rsidRDefault="007A439C" w:rsidP="00535CC8">
      <w:pPr>
        <w:numPr>
          <w:ilvl w:val="1"/>
          <w:numId w:val="2"/>
        </w:numPr>
        <w:autoSpaceDE w:val="0"/>
        <w:spacing w:before="240" w:after="240"/>
        <w:jc w:val="both"/>
        <w:rPr>
          <w:b/>
          <w:bCs/>
        </w:rPr>
      </w:pPr>
      <w:r>
        <w:t>The failure to</w:t>
      </w:r>
      <w:r w:rsidR="00B762CE">
        <w:t xml:space="preserve"> </w:t>
      </w:r>
      <w:r w:rsidR="007D5ECD">
        <w:t xml:space="preserve">reference these letters in Rahimtoola 1 or Rahimtoola 2 </w:t>
      </w:r>
      <w:r w:rsidR="007D5ECD">
        <w:rPr>
          <w:u w:val="single"/>
        </w:rPr>
        <w:t>might</w:t>
      </w:r>
      <w:r w:rsidR="007D5ECD">
        <w:t xml:space="preserve"> be </w:t>
      </w:r>
      <w:r w:rsidR="008D7711">
        <w:t xml:space="preserve">said to be consistent with these letters not being in existence at the time of </w:t>
      </w:r>
      <w:r w:rsidR="00906E29">
        <w:t>the affidavits. In other words, the</w:t>
      </w:r>
      <w:r w:rsidR="001D3E54">
        <w:t>ir</w:t>
      </w:r>
      <w:r w:rsidR="00906E29">
        <w:t xml:space="preserve"> omission </w:t>
      </w:r>
      <w:r w:rsidR="001D3E54">
        <w:t xml:space="preserve">from Rahimtoola’s evidence </w:t>
      </w:r>
      <w:r w:rsidR="00DD44BE" w:rsidRPr="00B97EA2">
        <w:rPr>
          <w:u w:val="single"/>
        </w:rPr>
        <w:t>might</w:t>
      </w:r>
      <w:r w:rsidR="00DD44BE">
        <w:t xml:space="preserve"> be supportive of Mr Qureshi, QC’s contention that these letters were not </w:t>
      </w:r>
      <w:r w:rsidR="00410EB7">
        <w:t>“</w:t>
      </w:r>
      <w:r w:rsidR="00DD44BE">
        <w:t>reliable</w:t>
      </w:r>
      <w:r w:rsidR="00410EB7">
        <w:t>”</w:t>
      </w:r>
      <w:r w:rsidR="00DD44BE">
        <w:t xml:space="preserve">. </w:t>
      </w:r>
      <w:r w:rsidR="00524FB8">
        <w:t>This was a point not made by Mr Qureshi, QC</w:t>
      </w:r>
      <w:r w:rsidR="00DA364E">
        <w:t>, but it is a possible explanation for Rahimtoola’s failure to reference these documents</w:t>
      </w:r>
      <w:r w:rsidR="00410EB7">
        <w:t xml:space="preserve"> that I must consider</w:t>
      </w:r>
      <w:r w:rsidR="00DA364E">
        <w:t>.</w:t>
      </w:r>
    </w:p>
    <w:p w14:paraId="64B64DF3" w14:textId="77777777" w:rsidR="00DA364E" w:rsidRPr="00430C46" w:rsidRDefault="00C773F4" w:rsidP="00430C46">
      <w:pPr>
        <w:numPr>
          <w:ilvl w:val="1"/>
          <w:numId w:val="2"/>
        </w:numPr>
        <w:autoSpaceDE w:val="0"/>
        <w:spacing w:before="240" w:after="240"/>
        <w:jc w:val="both"/>
        <w:rPr>
          <w:b/>
          <w:bCs/>
        </w:rPr>
      </w:pPr>
      <w:r>
        <w:t xml:space="preserve">Although I must be open to this possibility, </w:t>
      </w:r>
      <w:r w:rsidR="004E092F">
        <w:t xml:space="preserve">I consider, however, that there is a much more plausible explanation </w:t>
      </w:r>
      <w:r w:rsidR="004938CF">
        <w:t>for th</w:t>
      </w:r>
      <w:r w:rsidR="00B97EA2">
        <w:t>is</w:t>
      </w:r>
      <w:r w:rsidR="004938CF">
        <w:t xml:space="preserve"> omission in Rahimtoola’s affidavits. In the 1954 Proceedings, </w:t>
      </w:r>
      <w:r w:rsidR="00596CBB">
        <w:t xml:space="preserve">Pakistan was concerned to advance no case at all as to </w:t>
      </w:r>
      <w:r w:rsidR="00596CBB" w:rsidRPr="0035789C">
        <w:rPr>
          <w:u w:val="single"/>
        </w:rPr>
        <w:t>beneficial entitlement</w:t>
      </w:r>
      <w:r w:rsidR="00596CBB">
        <w:t xml:space="preserve"> to the Fund. </w:t>
      </w:r>
      <w:r w:rsidR="00DD6F7A">
        <w:t xml:space="preserve">She provided her legal team with no instructions at all on the point, and she was prepared to </w:t>
      </w:r>
      <w:r w:rsidR="00C10B07">
        <w:t xml:space="preserve">advance her claim to sovereign immunity </w:t>
      </w:r>
      <w:r w:rsidR="00DF5177">
        <w:t xml:space="preserve">solely on the basis of her </w:t>
      </w:r>
      <w:r w:rsidR="00DF5177">
        <w:rPr>
          <w:u w:val="single"/>
        </w:rPr>
        <w:t>legal</w:t>
      </w:r>
      <w:r w:rsidR="00DF5177">
        <w:t xml:space="preserve"> title to the Fund. That very nearly caused Pakistan to lose on the sovereign immunity point</w:t>
      </w:r>
      <w:r w:rsidR="00B211EA">
        <w:t xml:space="preserve"> (indeed, Pakistan </w:t>
      </w:r>
      <w:r w:rsidR="00B211EA" w:rsidRPr="00430C46">
        <w:rPr>
          <w:u w:val="single"/>
        </w:rPr>
        <w:t>did</w:t>
      </w:r>
      <w:r w:rsidR="00B211EA">
        <w:t xml:space="preserve"> lose in the Court of Appeal)</w:t>
      </w:r>
      <w:r w:rsidR="007A7A48">
        <w:t xml:space="preserve">. I consider further below the inferences that can be drawn from Pakistan’s failure </w:t>
      </w:r>
      <w:r w:rsidR="00985ADA">
        <w:t xml:space="preserve">to advance a case </w:t>
      </w:r>
      <w:r w:rsidR="009B49DF">
        <w:t xml:space="preserve">regarding the beneficial interest in the Fund, but it can certainly be concluded that – because of the significance of the point </w:t>
      </w:r>
      <w:r w:rsidR="007C7936">
        <w:t>–</w:t>
      </w:r>
      <w:r w:rsidR="009B49DF">
        <w:t xml:space="preserve"> </w:t>
      </w:r>
      <w:r w:rsidR="007C7936">
        <w:t xml:space="preserve">the decision not to advance an argument </w:t>
      </w:r>
      <w:r w:rsidR="00944815">
        <w:t xml:space="preserve">asserting a beneficial interest </w:t>
      </w:r>
      <w:r w:rsidR="007C7936">
        <w:t>was deliberately and carefully taken.</w:t>
      </w:r>
      <w:r w:rsidR="003D79E4">
        <w:rPr>
          <w:rStyle w:val="FootnoteReference"/>
        </w:rPr>
        <w:footnoteReference w:id="79"/>
      </w:r>
    </w:p>
    <w:p w14:paraId="40D943DC" w14:textId="77777777" w:rsidR="007C7936" w:rsidRPr="007E4858" w:rsidRDefault="007B3AC0" w:rsidP="00535CC8">
      <w:pPr>
        <w:numPr>
          <w:ilvl w:val="1"/>
          <w:numId w:val="2"/>
        </w:numPr>
        <w:autoSpaceDE w:val="0"/>
        <w:spacing w:before="240" w:after="240"/>
        <w:jc w:val="both"/>
        <w:rPr>
          <w:b/>
          <w:bCs/>
        </w:rPr>
      </w:pPr>
      <w:r>
        <w:t xml:space="preserve">That, in my judgment, explains the omissions in the Rahimtoola affidavits. Rahimtoola </w:t>
      </w:r>
      <w:r w:rsidRPr="00D008E6">
        <w:rPr>
          <w:u w:val="single"/>
        </w:rPr>
        <w:t>only</w:t>
      </w:r>
      <w:r>
        <w:t xml:space="preserve"> addresses the question of capacity</w:t>
      </w:r>
      <w:r w:rsidR="00100F16">
        <w:t xml:space="preserve"> and </w:t>
      </w:r>
      <w:r w:rsidR="00100F16" w:rsidRPr="00C77ECB">
        <w:rPr>
          <w:u w:val="single"/>
        </w:rPr>
        <w:t>avoids</w:t>
      </w:r>
      <w:r w:rsidR="00100F16">
        <w:t xml:space="preserve"> the question of </w:t>
      </w:r>
      <w:r w:rsidR="00BE16E6">
        <w:t>beneficial entitlement</w:t>
      </w:r>
      <w:r w:rsidR="00C77ECB">
        <w:t xml:space="preserve">. The 15 September 1948 communications obviously go to the latter point and </w:t>
      </w:r>
      <w:r w:rsidR="00E01050">
        <w:t>–</w:t>
      </w:r>
      <w:r w:rsidR="00C77ECB">
        <w:t xml:space="preserve"> </w:t>
      </w:r>
      <w:r w:rsidR="00E01050">
        <w:t xml:space="preserve">given that Pakistan was seeking to avoid all discussion of such </w:t>
      </w:r>
      <w:r w:rsidR="00E01050">
        <w:lastRenderedPageBreak/>
        <w:t xml:space="preserve">matters </w:t>
      </w:r>
      <w:r w:rsidR="00FC3325">
        <w:t>–</w:t>
      </w:r>
      <w:r w:rsidR="00E01050">
        <w:t xml:space="preserve"> </w:t>
      </w:r>
      <w:r w:rsidR="00FC3325">
        <w:t>this provides what is to my mind the most plausible explanation for the failure to reference these documents in either Rahimtoola 1 or Rahimtoola 2.</w:t>
      </w:r>
    </w:p>
    <w:p w14:paraId="6A0D2DEE" w14:textId="77777777" w:rsidR="007E4858" w:rsidRPr="001F2096" w:rsidRDefault="00FE37FD" w:rsidP="00EB718D">
      <w:pPr>
        <w:numPr>
          <w:ilvl w:val="0"/>
          <w:numId w:val="2"/>
        </w:numPr>
        <w:autoSpaceDE w:val="0"/>
        <w:spacing w:before="240" w:after="240"/>
        <w:jc w:val="both"/>
        <w:rPr>
          <w:b/>
          <w:bCs/>
        </w:rPr>
      </w:pPr>
      <w:r>
        <w:t>I conclude that Rahimtoola 1 and Rahimtoola 2 were carefully compiled documents</w:t>
      </w:r>
      <w:r w:rsidR="002D6120">
        <w:t>.</w:t>
      </w:r>
      <w:r>
        <w:t xml:space="preserve"> </w:t>
      </w:r>
      <w:r w:rsidR="002D6120">
        <w:t>T</w:t>
      </w:r>
      <w:r>
        <w:t xml:space="preserve">hey would have sought to </w:t>
      </w:r>
      <w:r w:rsidR="00025464">
        <w:t xml:space="preserve">tell the truth as Rahimtoola saw it. I can see no basis for concluding that Rahimtoola told deliberate untruths in these documents (and, as I have said, </w:t>
      </w:r>
      <w:r w:rsidR="00146F21">
        <w:t xml:space="preserve">the Princes and </w:t>
      </w:r>
      <w:r w:rsidR="00025464">
        <w:t xml:space="preserve">India </w:t>
      </w:r>
      <w:r w:rsidR="00146F21">
        <w:t>made no such contention)</w:t>
      </w:r>
      <w:r w:rsidR="00FF7E66">
        <w:t xml:space="preserve"> nor do I consider that the statements in these affidavits </w:t>
      </w:r>
      <w:r w:rsidR="002D6120">
        <w:t xml:space="preserve">could have been </w:t>
      </w:r>
      <w:r w:rsidR="00FF7E66">
        <w:t>carelessly made. To the contrary: I consider that these affidavits were dra</w:t>
      </w:r>
      <w:r w:rsidR="00CB5452">
        <w:t>f</w:t>
      </w:r>
      <w:r w:rsidR="00FF7E66">
        <w:t xml:space="preserve">ted with </w:t>
      </w:r>
      <w:r w:rsidR="00CB5452">
        <w:t xml:space="preserve">great </w:t>
      </w:r>
      <w:r w:rsidR="00FF7E66">
        <w:t>care</w:t>
      </w:r>
      <w:r w:rsidR="004C4C10">
        <w:t xml:space="preserve"> so as to avoid tre</w:t>
      </w:r>
      <w:r w:rsidR="001F2096">
        <w:t>spassing into areas where Pakistan did not wish to go. In these circumstances, whilst I accept Rahimtoola 1 and Rahimtoola 2 as broadly reliable, that is subject to two important qualifications:</w:t>
      </w:r>
    </w:p>
    <w:p w14:paraId="16A7E997" w14:textId="77777777" w:rsidR="001F2096" w:rsidRPr="00624B5E" w:rsidRDefault="00E31EBF" w:rsidP="001F2096">
      <w:pPr>
        <w:numPr>
          <w:ilvl w:val="1"/>
          <w:numId w:val="2"/>
        </w:numPr>
        <w:autoSpaceDE w:val="0"/>
        <w:spacing w:before="240" w:after="240"/>
        <w:jc w:val="both"/>
        <w:rPr>
          <w:b/>
          <w:bCs/>
        </w:rPr>
      </w:pPr>
      <w:r>
        <w:t xml:space="preserve">Neither affidavit tells the </w:t>
      </w:r>
      <w:r>
        <w:rPr>
          <w:u w:val="single"/>
        </w:rPr>
        <w:t>whole</w:t>
      </w:r>
      <w:r>
        <w:t xml:space="preserve"> truth. Both affidavits are highly selective in terms of the points that they address. This is not necessarily a criticism</w:t>
      </w:r>
      <w:r w:rsidR="00AF6EAF">
        <w:t xml:space="preserve">, for the 1954 Proceedings were concerned with a </w:t>
      </w:r>
      <w:r w:rsidR="000837E1">
        <w:t>single</w:t>
      </w:r>
      <w:r w:rsidR="00AF6EAF">
        <w:t xml:space="preserve"> </w:t>
      </w:r>
      <w:r w:rsidR="000E0A4E">
        <w:t xml:space="preserve">narrow </w:t>
      </w:r>
      <w:r w:rsidR="00AF6EAF">
        <w:t>point,</w:t>
      </w:r>
      <w:r w:rsidR="003F4862">
        <w:t xml:space="preserve"> sovereign immunity,</w:t>
      </w:r>
      <w:r w:rsidR="00AF6EAF">
        <w:t xml:space="preserve"> and the affidavits focussed on that point. However, </w:t>
      </w:r>
      <w:r w:rsidR="00624B5E">
        <w:t>I do consider that it is important to bear in mind this limited focus when evaluating Rahimtoola’s evidence.</w:t>
      </w:r>
    </w:p>
    <w:p w14:paraId="42B90F6F" w14:textId="77777777" w:rsidR="00624B5E" w:rsidRPr="00924016" w:rsidRDefault="00E874E7" w:rsidP="001F2096">
      <w:pPr>
        <w:numPr>
          <w:ilvl w:val="1"/>
          <w:numId w:val="2"/>
        </w:numPr>
        <w:autoSpaceDE w:val="0"/>
        <w:spacing w:before="240" w:after="240"/>
        <w:jc w:val="both"/>
        <w:rPr>
          <w:b/>
          <w:bCs/>
        </w:rPr>
      </w:pPr>
      <w:r>
        <w:t>The affidavits were, essentially, produced to buttress Pakistan’s claim to sovereign immunity. A</w:t>
      </w:r>
      <w:r w:rsidR="00392D33">
        <w:t>n</w:t>
      </w:r>
      <w:r>
        <w:t xml:space="preserve"> essential part of that claim was that Rahimtoola received </w:t>
      </w:r>
      <w:r w:rsidR="003D449E">
        <w:t>the Fund as the High Commissioner of Pakistan and not in his personal capacity</w:t>
      </w:r>
      <w:r w:rsidR="00392D33">
        <w:t xml:space="preserve">, and it is this </w:t>
      </w:r>
      <w:r w:rsidR="007F41C0">
        <w:t>matter</w:t>
      </w:r>
      <w:r w:rsidR="00392D33">
        <w:t xml:space="preserve"> that </w:t>
      </w:r>
      <w:r w:rsidR="006E059D">
        <w:t xml:space="preserve">Rahimtoola’s evidence addressed – to the general exclusion of anything else. Whilst, as I say, I reject any suggestion of a dishonest account, Rahimtoola and those who assisted him in the drafting of his evidence would inevitably have been inclined to favour or highlight – perhaps unduly – aspects of events that favoured the outcome Pakistan was contending for. </w:t>
      </w:r>
      <w:r w:rsidR="00C837ED">
        <w:t xml:space="preserve">Thus, whilst I am inclined to rely on Rahimtoola’s evidence for the facts, where that evidence </w:t>
      </w:r>
      <w:r w:rsidR="00E46791">
        <w:t>resorts to inference from facts or submission, I am inclined to discount it.</w:t>
      </w:r>
    </w:p>
    <w:p w14:paraId="5091FD66" w14:textId="77777777" w:rsidR="00E46791" w:rsidRPr="00E46791" w:rsidRDefault="00E46791" w:rsidP="004001C9">
      <w:pPr>
        <w:keepNext/>
        <w:tabs>
          <w:tab w:val="left" w:pos="567"/>
        </w:tabs>
        <w:autoSpaceDE w:val="0"/>
        <w:spacing w:before="240" w:after="240"/>
        <w:jc w:val="both"/>
        <w:rPr>
          <w:i/>
          <w:iCs/>
        </w:rPr>
      </w:pPr>
      <w:r>
        <w:rPr>
          <w:i/>
          <w:iCs/>
        </w:rPr>
        <w:t>(iii)</w:t>
      </w:r>
      <w:r>
        <w:rPr>
          <w:i/>
          <w:iCs/>
        </w:rPr>
        <w:tab/>
        <w:t>The 15 September letters</w:t>
      </w:r>
    </w:p>
    <w:p w14:paraId="0BB3175C" w14:textId="77777777" w:rsidR="00EB718D" w:rsidRPr="00A455FC" w:rsidRDefault="00EB718D" w:rsidP="00EB718D">
      <w:pPr>
        <w:numPr>
          <w:ilvl w:val="0"/>
          <w:numId w:val="2"/>
        </w:numPr>
        <w:autoSpaceDE w:val="0"/>
        <w:spacing w:before="240" w:after="240"/>
        <w:jc w:val="both"/>
        <w:rPr>
          <w:b/>
          <w:bCs/>
        </w:rPr>
      </w:pPr>
      <w:r>
        <w:t xml:space="preserve">The Princes and India relied upon these letters in support of their case that an express trust arose. </w:t>
      </w:r>
      <w:r w:rsidR="00443D62">
        <w:t>T</w:t>
      </w:r>
      <w:r>
        <w:t xml:space="preserve">he extent to which these letters </w:t>
      </w:r>
      <w:r w:rsidR="00443D62">
        <w:t xml:space="preserve">do assist the Princes and India </w:t>
      </w:r>
      <w:r w:rsidR="00722E2E">
        <w:t>to further their contentions regarding a trust is a matter I consider further below</w:t>
      </w:r>
      <w:r>
        <w:t>. However, it is appropriate to determine</w:t>
      </w:r>
      <w:r w:rsidR="00722E2E">
        <w:t xml:space="preserve"> now</w:t>
      </w:r>
      <w:r>
        <w:t xml:space="preserve"> the reliability of these documents. Pakistan contended that these letters were essentially unreliable and should not be relied on by the court. This was a difficult contention for Pakistan to make because, of course, these documents were produced </w:t>
      </w:r>
      <w:r w:rsidR="003E4ED1">
        <w:t xml:space="preserve">by Pakistan herself </w:t>
      </w:r>
      <w:r>
        <w:t xml:space="preserve">on 15 January 2019 in </w:t>
      </w:r>
      <w:r w:rsidR="003E4ED1">
        <w:t xml:space="preserve">the </w:t>
      </w:r>
      <w:r>
        <w:t>circumstances described in paragraph</w:t>
      </w:r>
      <w:r w:rsidR="004F66FD">
        <w:t>s</w:t>
      </w:r>
      <w:r>
        <w:t xml:space="preserve"> </w:t>
      </w:r>
      <w:r w:rsidR="004F66FD">
        <w:t>45-50</w:t>
      </w:r>
      <w:r>
        <w:t xml:space="preserve"> above. What is more, they were produced together with some 1977 correspondence between Pakistan’s Ministry of Foreign Affairs and Pakistan’s London embassy, to which the 1948 letters were attached. It is plain from the terms of the 1977 correspondence that th</w:t>
      </w:r>
      <w:r w:rsidR="003E4ED1">
        <w:t>e</w:t>
      </w:r>
      <w:r>
        <w:t xml:space="preserve"> persons </w:t>
      </w:r>
      <w:r w:rsidR="009230E4">
        <w:t xml:space="preserve">involved in that correspondence </w:t>
      </w:r>
      <w:r>
        <w:t>regarded the</w:t>
      </w:r>
      <w:r w:rsidR="009230E4">
        <w:t xml:space="preserve"> 15 September letters </w:t>
      </w:r>
      <w:r>
        <w:t>as genuine</w:t>
      </w:r>
      <w:r w:rsidR="009230E4">
        <w:t xml:space="preserve"> copies</w:t>
      </w:r>
      <w:r>
        <w:t xml:space="preserve"> and as being a proper record of their contents.</w:t>
      </w:r>
      <w:r>
        <w:rPr>
          <w:rStyle w:val="FootnoteReference"/>
        </w:rPr>
        <w:footnoteReference w:id="80"/>
      </w:r>
      <w:r>
        <w:t xml:space="preserve"> </w:t>
      </w:r>
    </w:p>
    <w:p w14:paraId="7093EE13" w14:textId="77777777" w:rsidR="00EB718D" w:rsidRPr="00A07929" w:rsidRDefault="00EB718D" w:rsidP="00EB718D">
      <w:pPr>
        <w:numPr>
          <w:ilvl w:val="0"/>
          <w:numId w:val="2"/>
        </w:numPr>
        <w:autoSpaceDE w:val="0"/>
        <w:spacing w:before="240" w:after="240"/>
        <w:jc w:val="both"/>
        <w:rPr>
          <w:b/>
          <w:bCs/>
        </w:rPr>
      </w:pPr>
      <w:r>
        <w:t>In these circumstances, the most the Pakistan could do was draw to the Court’s attention certain “oddities”</w:t>
      </w:r>
      <w:r w:rsidR="008240D9">
        <w:t xml:space="preserve"> or inconsistencies</w:t>
      </w:r>
      <w:r>
        <w:t xml:space="preserve"> in the 1948 letters, specifically:</w:t>
      </w:r>
    </w:p>
    <w:p w14:paraId="76213DF1" w14:textId="77777777" w:rsidR="00EB718D" w:rsidRPr="006C1F38" w:rsidRDefault="00827DC2" w:rsidP="00EB718D">
      <w:pPr>
        <w:numPr>
          <w:ilvl w:val="1"/>
          <w:numId w:val="2"/>
        </w:numPr>
        <w:autoSpaceDE w:val="0"/>
        <w:spacing w:before="240" w:after="240"/>
        <w:jc w:val="both"/>
        <w:rPr>
          <w:b/>
          <w:bCs/>
        </w:rPr>
      </w:pPr>
      <w:r>
        <w:lastRenderedPageBreak/>
        <w:t>It was contended that i</w:t>
      </w:r>
      <w:r w:rsidR="00EB718D">
        <w:t xml:space="preserve">t was difficult to see how Moin could have found the </w:t>
      </w:r>
      <w:r w:rsidR="0042351D">
        <w:t>time to write these letters on the date stated</w:t>
      </w:r>
      <w:r w:rsidR="006C1F38">
        <w:t>, given his movements.</w:t>
      </w:r>
      <w:r w:rsidR="00B77875">
        <w:rPr>
          <w:rStyle w:val="FootnoteReference"/>
        </w:rPr>
        <w:footnoteReference w:id="81"/>
      </w:r>
      <w:r w:rsidR="006C1F38">
        <w:t xml:space="preserve"> </w:t>
      </w:r>
      <w:r w:rsidR="00682D61">
        <w:t xml:space="preserve">From this, Pakistan sought to draw an inference that the letters were not written on the date they bore. </w:t>
      </w:r>
      <w:r w:rsidR="00D53A83">
        <w:t xml:space="preserve">I do not consider that very much weight, if any, attaches to this point. </w:t>
      </w:r>
      <w:r w:rsidR="006C1F38">
        <w:t xml:space="preserve">I appreciate that Moin was a busy man, shuttling between Paris and London, but I do not accept that he was so busy as to make the exchange of letters on this date </w:t>
      </w:r>
      <w:r w:rsidR="006C1F38" w:rsidRPr="00D53A83">
        <w:rPr>
          <w:u w:val="single"/>
        </w:rPr>
        <w:t>impossible</w:t>
      </w:r>
      <w:r w:rsidR="006C1F38">
        <w:t>.</w:t>
      </w:r>
      <w:r w:rsidR="00C47C13">
        <w:t xml:space="preserve"> Clearly, these were times of high stress for officials of Hyderabad, and I see nothing surprising in Moin </w:t>
      </w:r>
      <w:r w:rsidR="0066691F">
        <w:t>burning the candle at both ends and doing a great deal in little time.</w:t>
      </w:r>
      <w:r w:rsidR="00120529">
        <w:t xml:space="preserve"> </w:t>
      </w:r>
      <w:r w:rsidR="004A319B">
        <w:t>Moreover</w:t>
      </w:r>
      <w:r w:rsidR="00120529">
        <w:t xml:space="preserve">, even if the </w:t>
      </w:r>
      <w:r w:rsidR="004A319B">
        <w:t>dates on the letters are wrong by a day or two – and there is no evidence to suggest any greater mismatch – that scarcely undermines their reliability.</w:t>
      </w:r>
    </w:p>
    <w:p w14:paraId="74524E3E" w14:textId="77777777" w:rsidR="006C1F38" w:rsidRDefault="00827DC2" w:rsidP="006C1F38">
      <w:pPr>
        <w:numPr>
          <w:ilvl w:val="1"/>
          <w:numId w:val="2"/>
        </w:numPr>
        <w:autoSpaceDE w:val="0"/>
        <w:spacing w:before="240" w:after="240"/>
        <w:jc w:val="both"/>
      </w:pPr>
      <w:r>
        <w:t xml:space="preserve">It was suggested </w:t>
      </w:r>
      <w:r w:rsidR="00D7120B">
        <w:t xml:space="preserve">that the wording of Moin’s letter (“…if you would kindly agree </w:t>
      </w:r>
      <w:r w:rsidR="0013723F">
        <w:t>to permit the transfer into your account of just over one million pounds sterling…”)</w:t>
      </w:r>
      <w:r w:rsidR="00CA29DF">
        <w:t xml:space="preserve"> was more consistent with the Transfer being made into an </w:t>
      </w:r>
      <w:r w:rsidR="00CA29DF">
        <w:rPr>
          <w:u w:val="single"/>
        </w:rPr>
        <w:t>existing</w:t>
      </w:r>
      <w:r w:rsidR="00CA29DF">
        <w:t xml:space="preserve"> account, rather than an account specifically set up for the purpose of receiving the Transfer (which was the case). </w:t>
      </w:r>
      <w:r w:rsidR="00316898">
        <w:t xml:space="preserve">Again, Pakistan relied on this point to suggest that less weight should attach to the letters. </w:t>
      </w:r>
      <w:r w:rsidR="00002528">
        <w:t>I reject this point. It seems to me that to see</w:t>
      </w:r>
      <w:r w:rsidR="00DF7A38">
        <w:t>k</w:t>
      </w:r>
      <w:r w:rsidR="00002528">
        <w:t xml:space="preserve"> to draw inferences out of what are – with great respect to Pakistan – nuances of wording </w:t>
      </w:r>
      <w:r w:rsidR="00E013EC">
        <w:t>is a fruitless, if not a dangerous, enterprise.</w:t>
      </w:r>
    </w:p>
    <w:p w14:paraId="14909EEE" w14:textId="77777777" w:rsidR="00377A0E" w:rsidRDefault="00016AB6" w:rsidP="00377A0E">
      <w:pPr>
        <w:numPr>
          <w:ilvl w:val="1"/>
          <w:numId w:val="2"/>
        </w:numPr>
        <w:autoSpaceDE w:val="0"/>
        <w:spacing w:before="240" w:after="240"/>
        <w:jc w:val="both"/>
      </w:pPr>
      <w:r>
        <w:t xml:space="preserve">It was suggested that the fact that there was no reference to Rahimtoola as the High Commissioner of Pakistan was in some way suspicious. Even if that point were right </w:t>
      </w:r>
      <w:r w:rsidR="003E43BD">
        <w:t>–</w:t>
      </w:r>
      <w:r>
        <w:t xml:space="preserve"> </w:t>
      </w:r>
      <w:r w:rsidR="003E43BD">
        <w:t>and I note that Moin’s letter is addressed to “HE” Rahimtoola (i.e. His Excellency, a clear reference to his status)</w:t>
      </w:r>
      <w:r w:rsidR="002D281F">
        <w:rPr>
          <w:rStyle w:val="FootnoteReference"/>
        </w:rPr>
        <w:footnoteReference w:id="82"/>
      </w:r>
      <w:r w:rsidR="004E23EF">
        <w:t xml:space="preserve"> – I do not consider that it takes me anywhere.</w:t>
      </w:r>
    </w:p>
    <w:p w14:paraId="0B2DD46D" w14:textId="77777777" w:rsidR="00BE544E" w:rsidRDefault="00447D9B" w:rsidP="00377A0E">
      <w:pPr>
        <w:numPr>
          <w:ilvl w:val="0"/>
          <w:numId w:val="2"/>
        </w:numPr>
        <w:autoSpaceDE w:val="0"/>
        <w:spacing w:before="240" w:after="240"/>
        <w:jc w:val="both"/>
      </w:pPr>
      <w:r w:rsidRPr="00447D9B">
        <w:t xml:space="preserve">Even if well-founded, </w:t>
      </w:r>
      <w:r>
        <w:t xml:space="preserve">and I find they are not, none of these points could persuade me to disregard these letters or even to treat </w:t>
      </w:r>
      <w:r w:rsidR="000C7690">
        <w:t xml:space="preserve">them as having less weight than any other of the </w:t>
      </w:r>
      <w:r w:rsidR="00D737BC">
        <w:t>contemporary documents written in September 1948.</w:t>
      </w:r>
      <w:r w:rsidR="00377A0E" w:rsidRPr="00377A0E">
        <w:t xml:space="preserve"> </w:t>
      </w:r>
      <w:r w:rsidR="00377A0E">
        <w:t>I pressed Mr Qureshi, QC as to what inferences he was asking me to draw as a result of these three points:</w:t>
      </w:r>
      <w:r w:rsidR="00377A0E">
        <w:rPr>
          <w:rStyle w:val="FootnoteReference"/>
        </w:rPr>
        <w:footnoteReference w:id="83"/>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27"/>
      </w:tblGrid>
      <w:tr w:rsidR="00BE544E" w14:paraId="638A7BF8" w14:textId="77777777" w:rsidTr="009F7CEB">
        <w:tc>
          <w:tcPr>
            <w:tcW w:w="2122" w:type="dxa"/>
          </w:tcPr>
          <w:p w14:paraId="783B0368" w14:textId="77777777" w:rsidR="00BE544E" w:rsidRPr="005134C5" w:rsidRDefault="005134C5" w:rsidP="00BE544E">
            <w:pPr>
              <w:autoSpaceDE w:val="0"/>
              <w:spacing w:before="60" w:after="60"/>
              <w:jc w:val="both"/>
              <w:rPr>
                <w:b/>
                <w:bCs/>
                <w:sz w:val="22"/>
                <w:szCs w:val="22"/>
              </w:rPr>
            </w:pPr>
            <w:r>
              <w:rPr>
                <w:b/>
                <w:bCs/>
                <w:sz w:val="22"/>
                <w:szCs w:val="22"/>
              </w:rPr>
              <w:t>Marcus Smith J</w:t>
            </w:r>
          </w:p>
        </w:tc>
        <w:tc>
          <w:tcPr>
            <w:tcW w:w="6327" w:type="dxa"/>
          </w:tcPr>
          <w:p w14:paraId="0AFE9443" w14:textId="77777777" w:rsidR="00BE544E" w:rsidRPr="00BE544E" w:rsidRDefault="005134C5" w:rsidP="00BE544E">
            <w:pPr>
              <w:autoSpaceDE w:val="0"/>
              <w:spacing w:before="60" w:after="60"/>
              <w:jc w:val="both"/>
              <w:rPr>
                <w:sz w:val="22"/>
                <w:szCs w:val="22"/>
              </w:rPr>
            </w:pPr>
            <w:r>
              <w:rPr>
                <w:sz w:val="22"/>
                <w:szCs w:val="22"/>
              </w:rPr>
              <w:t>You see, it is all very well to point to inconsistencies</w:t>
            </w:r>
            <w:r w:rsidR="008240D9">
              <w:rPr>
                <w:sz w:val="22"/>
                <w:szCs w:val="22"/>
              </w:rPr>
              <w:t xml:space="preserve">, but those inconsistencies might well – I mean, they might well be explained </w:t>
            </w:r>
            <w:r w:rsidR="00492192">
              <w:rPr>
                <w:sz w:val="22"/>
                <w:szCs w:val="22"/>
              </w:rPr>
              <w:t>on all sorts of bases. They are not enough for me just to leave the letters out of account, though, are they?</w:t>
            </w:r>
          </w:p>
        </w:tc>
      </w:tr>
      <w:tr w:rsidR="00BE544E" w14:paraId="474F9CDE" w14:textId="77777777" w:rsidTr="009F7CEB">
        <w:tc>
          <w:tcPr>
            <w:tcW w:w="2122" w:type="dxa"/>
          </w:tcPr>
          <w:p w14:paraId="52C2CAAF" w14:textId="77777777" w:rsidR="00BE544E" w:rsidRPr="00492192" w:rsidRDefault="00492192" w:rsidP="00BE544E">
            <w:pPr>
              <w:autoSpaceDE w:val="0"/>
              <w:spacing w:before="60" w:after="60"/>
              <w:jc w:val="both"/>
              <w:rPr>
                <w:b/>
                <w:bCs/>
                <w:sz w:val="22"/>
                <w:szCs w:val="22"/>
              </w:rPr>
            </w:pPr>
            <w:r>
              <w:rPr>
                <w:b/>
                <w:bCs/>
                <w:sz w:val="22"/>
                <w:szCs w:val="22"/>
              </w:rPr>
              <w:t>Mr Qureshi, QC</w:t>
            </w:r>
          </w:p>
        </w:tc>
        <w:tc>
          <w:tcPr>
            <w:tcW w:w="6327" w:type="dxa"/>
          </w:tcPr>
          <w:p w14:paraId="15E68381" w14:textId="77777777" w:rsidR="00BE544E" w:rsidRPr="00BE544E" w:rsidRDefault="00492192" w:rsidP="00BE544E">
            <w:pPr>
              <w:autoSpaceDE w:val="0"/>
              <w:spacing w:before="60" w:after="60"/>
              <w:jc w:val="both"/>
              <w:rPr>
                <w:sz w:val="22"/>
                <w:szCs w:val="22"/>
              </w:rPr>
            </w:pPr>
            <w:r>
              <w:rPr>
                <w:sz w:val="22"/>
                <w:szCs w:val="22"/>
              </w:rPr>
              <w:t>No, my Lord</w:t>
            </w:r>
            <w:r w:rsidR="00080AA8">
              <w:rPr>
                <w:sz w:val="22"/>
                <w:szCs w:val="22"/>
              </w:rPr>
              <w:t xml:space="preserve">…All I am saying to your Lordship is, in circumstances where such heavy weight </w:t>
            </w:r>
            <w:r w:rsidR="00F431F7">
              <w:rPr>
                <w:sz w:val="22"/>
                <w:szCs w:val="22"/>
              </w:rPr>
              <w:t xml:space="preserve">has been placed upon these two documents, it will be very important – in fact, vital – for them to be subjected </w:t>
            </w:r>
            <w:r w:rsidR="00045E71">
              <w:rPr>
                <w:sz w:val="22"/>
                <w:szCs w:val="22"/>
              </w:rPr>
              <w:t xml:space="preserve">to scrutiny within that context, to see what actually preceded these documents – I will not call them letters </w:t>
            </w:r>
            <w:r w:rsidR="002F08F2">
              <w:rPr>
                <w:sz w:val="22"/>
                <w:szCs w:val="22"/>
              </w:rPr>
              <w:t>–</w:t>
            </w:r>
            <w:r w:rsidR="00045E71">
              <w:rPr>
                <w:sz w:val="22"/>
                <w:szCs w:val="22"/>
              </w:rPr>
              <w:t xml:space="preserve"> </w:t>
            </w:r>
            <w:r w:rsidR="002F08F2">
              <w:rPr>
                <w:sz w:val="22"/>
                <w:szCs w:val="22"/>
              </w:rPr>
              <w:t xml:space="preserve">what preceded these documents and what took place subsequently, and is it consistent </w:t>
            </w:r>
            <w:r w:rsidR="00C50988">
              <w:rPr>
                <w:sz w:val="22"/>
                <w:szCs w:val="22"/>
              </w:rPr>
              <w:t xml:space="preserve">at all with any suggestion that these documents have any semblance of </w:t>
            </w:r>
            <w:r w:rsidR="00C50988">
              <w:rPr>
                <w:sz w:val="22"/>
                <w:szCs w:val="22"/>
              </w:rPr>
              <w:lastRenderedPageBreak/>
              <w:t xml:space="preserve">legitimacy </w:t>
            </w:r>
            <w:r w:rsidR="000B1CDD">
              <w:rPr>
                <w:sz w:val="22"/>
                <w:szCs w:val="22"/>
              </w:rPr>
              <w:t>in terms of reflecting the position as agreed on 15 September? And I say no.</w:t>
            </w:r>
          </w:p>
        </w:tc>
      </w:tr>
    </w:tbl>
    <w:p w14:paraId="5441C28B" w14:textId="77777777" w:rsidR="00447D9B" w:rsidRPr="00447D9B" w:rsidRDefault="000B1CDD" w:rsidP="004941DA">
      <w:pPr>
        <w:autoSpaceDE w:val="0"/>
        <w:spacing w:before="240" w:after="240"/>
        <w:ind w:left="567"/>
        <w:jc w:val="both"/>
      </w:pPr>
      <w:r>
        <w:lastRenderedPageBreak/>
        <w:t>To be clear, although I have not accepted the substance of any of Mr Qureshi</w:t>
      </w:r>
      <w:r w:rsidR="00C42577">
        <w:t>, QC</w:t>
      </w:r>
      <w:r>
        <w:t xml:space="preserve">’s three points, </w:t>
      </w:r>
      <w:r w:rsidR="00402034">
        <w:t xml:space="preserve">his injunction to me to view the 15 September </w:t>
      </w:r>
      <w:r w:rsidR="003B398A" w:rsidRPr="002F2AA4">
        <w:t>1948</w:t>
      </w:r>
      <w:r w:rsidR="00402034">
        <w:t xml:space="preserve"> letters (as I choose to call them, for that is their form) </w:t>
      </w:r>
      <w:r w:rsidR="004941DA">
        <w:t>in context is entirely well made, and reflects the approach that I have adopted in relation to all of the contemporaneous materials.</w:t>
      </w:r>
      <w:r w:rsidR="00377A0E">
        <w:t xml:space="preserve"> </w:t>
      </w:r>
    </w:p>
    <w:p w14:paraId="79D13CCA" w14:textId="77777777" w:rsidR="0069339F" w:rsidRPr="00D737BC" w:rsidRDefault="0069339F" w:rsidP="006C1F38">
      <w:pPr>
        <w:numPr>
          <w:ilvl w:val="0"/>
          <w:numId w:val="2"/>
        </w:numPr>
        <w:autoSpaceDE w:val="0"/>
        <w:spacing w:before="240" w:after="240"/>
        <w:jc w:val="both"/>
        <w:rPr>
          <w:b/>
          <w:bCs/>
        </w:rPr>
      </w:pPr>
      <w:r>
        <w:t xml:space="preserve">Pakistan </w:t>
      </w:r>
      <w:r w:rsidR="00D737BC">
        <w:t xml:space="preserve">did </w:t>
      </w:r>
      <w:r>
        <w:t>attempt an altogether more fundamental attack on the letters during the course of the trial.</w:t>
      </w:r>
      <w:r w:rsidR="00D737BC">
        <w:t xml:space="preserve"> As to this:</w:t>
      </w:r>
    </w:p>
    <w:p w14:paraId="6B15F99B" w14:textId="77777777" w:rsidR="00D737BC" w:rsidRDefault="004B18A9" w:rsidP="00D737BC">
      <w:pPr>
        <w:numPr>
          <w:ilvl w:val="1"/>
          <w:numId w:val="2"/>
        </w:numPr>
        <w:autoSpaceDE w:val="0"/>
        <w:spacing w:before="240" w:after="240"/>
        <w:jc w:val="both"/>
      </w:pPr>
      <w:r w:rsidRPr="004B18A9">
        <w:t>During the course of submissions on Day 3</w:t>
      </w:r>
      <w:r>
        <w:t>,</w:t>
      </w:r>
      <w:r>
        <w:rPr>
          <w:rStyle w:val="FootnoteReference"/>
        </w:rPr>
        <w:footnoteReference w:id="84"/>
      </w:r>
      <w:r w:rsidR="008C1086">
        <w:t xml:space="preserve"> Mr Qureshi</w:t>
      </w:r>
      <w:r w:rsidR="00C42577">
        <w:t>, QC</w:t>
      </w:r>
      <w:r w:rsidR="008C1086">
        <w:t xml:space="preserve"> made the entirely new submission that </w:t>
      </w:r>
      <w:r w:rsidR="00A026E7">
        <w:t>the 15 September 1948 letters in fact dated from the 1970s</w:t>
      </w:r>
      <w:r w:rsidR="009F7CEB">
        <w:t>:</w:t>
      </w:r>
      <w:r w:rsidR="00FB60F2">
        <w:rPr>
          <w:rStyle w:val="FootnoteReference"/>
        </w:rPr>
        <w:footnoteReference w:id="85"/>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760"/>
      </w:tblGrid>
      <w:tr w:rsidR="009F7CEB" w:rsidRPr="00BE544E" w14:paraId="00DFCC69" w14:textId="77777777" w:rsidTr="009F7CEB">
        <w:tc>
          <w:tcPr>
            <w:tcW w:w="2127" w:type="dxa"/>
          </w:tcPr>
          <w:p w14:paraId="4515A2A0" w14:textId="77777777" w:rsidR="009F7CEB" w:rsidRPr="005134C5" w:rsidRDefault="009F7CEB" w:rsidP="00AC550E">
            <w:pPr>
              <w:autoSpaceDE w:val="0"/>
              <w:spacing w:before="60" w:after="60"/>
              <w:jc w:val="both"/>
              <w:rPr>
                <w:b/>
                <w:bCs/>
                <w:sz w:val="22"/>
                <w:szCs w:val="22"/>
              </w:rPr>
            </w:pPr>
            <w:r>
              <w:rPr>
                <w:b/>
                <w:bCs/>
                <w:sz w:val="22"/>
                <w:szCs w:val="22"/>
              </w:rPr>
              <w:t>Marcus Smith J</w:t>
            </w:r>
          </w:p>
        </w:tc>
        <w:tc>
          <w:tcPr>
            <w:tcW w:w="5760" w:type="dxa"/>
          </w:tcPr>
          <w:p w14:paraId="6A0C9C94" w14:textId="77777777" w:rsidR="009F7CEB" w:rsidRPr="00BE544E" w:rsidRDefault="00B05F7C" w:rsidP="00AC550E">
            <w:pPr>
              <w:autoSpaceDE w:val="0"/>
              <w:spacing w:before="60" w:after="60"/>
              <w:jc w:val="both"/>
              <w:rPr>
                <w:sz w:val="22"/>
                <w:szCs w:val="22"/>
              </w:rPr>
            </w:pPr>
            <w:r>
              <w:rPr>
                <w:sz w:val="22"/>
                <w:szCs w:val="22"/>
              </w:rPr>
              <w:t>I have been pressing you, I hope not unfairly, to understand your case</w:t>
            </w:r>
            <w:r w:rsidR="00023D20">
              <w:rPr>
                <w:sz w:val="22"/>
                <w:szCs w:val="22"/>
              </w:rPr>
              <w:t>, and we began by identifying three inconsistencies. It seems to me that if your fundamental point</w:t>
            </w:r>
            <w:r w:rsidR="00127A81">
              <w:rPr>
                <w:sz w:val="22"/>
                <w:szCs w:val="22"/>
              </w:rPr>
              <w:t xml:space="preserve"> is not these inconsistencies, but that these are actually – I don’t think one can mince one’s words </w:t>
            </w:r>
            <w:r w:rsidR="005B01B9">
              <w:rPr>
                <w:sz w:val="22"/>
                <w:szCs w:val="22"/>
              </w:rPr>
              <w:t>–</w:t>
            </w:r>
            <w:r w:rsidR="00127A81">
              <w:rPr>
                <w:sz w:val="22"/>
                <w:szCs w:val="22"/>
              </w:rPr>
              <w:t xml:space="preserve"> </w:t>
            </w:r>
            <w:r w:rsidR="005B01B9">
              <w:rPr>
                <w:sz w:val="22"/>
                <w:szCs w:val="22"/>
              </w:rPr>
              <w:t xml:space="preserve">these are forgeries, in the sense that they are documents created some 30 years after the event, then that is a point that needed to be made explicitly clear </w:t>
            </w:r>
            <w:r w:rsidR="00FB60F2">
              <w:rPr>
                <w:sz w:val="22"/>
                <w:szCs w:val="22"/>
              </w:rPr>
              <w:t>with some force some time ago.</w:t>
            </w:r>
          </w:p>
        </w:tc>
      </w:tr>
      <w:tr w:rsidR="009F7CEB" w:rsidRPr="00BE544E" w14:paraId="2F49943F" w14:textId="77777777" w:rsidTr="009F7CEB">
        <w:tc>
          <w:tcPr>
            <w:tcW w:w="2127" w:type="dxa"/>
          </w:tcPr>
          <w:p w14:paraId="24B1882D" w14:textId="77777777" w:rsidR="009F7CEB" w:rsidRPr="00492192" w:rsidRDefault="009F7CEB" w:rsidP="00AC550E">
            <w:pPr>
              <w:autoSpaceDE w:val="0"/>
              <w:spacing w:before="60" w:after="60"/>
              <w:jc w:val="both"/>
              <w:rPr>
                <w:b/>
                <w:bCs/>
                <w:sz w:val="22"/>
                <w:szCs w:val="22"/>
              </w:rPr>
            </w:pPr>
            <w:r>
              <w:rPr>
                <w:b/>
                <w:bCs/>
                <w:sz w:val="22"/>
                <w:szCs w:val="22"/>
              </w:rPr>
              <w:t>Mr Qureshi, QC</w:t>
            </w:r>
          </w:p>
        </w:tc>
        <w:tc>
          <w:tcPr>
            <w:tcW w:w="5760" w:type="dxa"/>
          </w:tcPr>
          <w:p w14:paraId="49C1EA62" w14:textId="77777777" w:rsidR="009F7CEB" w:rsidRPr="00BE544E" w:rsidRDefault="00FB60F2" w:rsidP="00AC550E">
            <w:pPr>
              <w:autoSpaceDE w:val="0"/>
              <w:spacing w:before="60" w:after="60"/>
              <w:jc w:val="both"/>
              <w:rPr>
                <w:sz w:val="22"/>
                <w:szCs w:val="22"/>
              </w:rPr>
            </w:pPr>
            <w:r>
              <w:rPr>
                <w:sz w:val="22"/>
                <w:szCs w:val="22"/>
              </w:rPr>
              <w:t>My Lord, I fully understand that.</w:t>
            </w:r>
          </w:p>
        </w:tc>
      </w:tr>
      <w:tr w:rsidR="00837A53" w:rsidRPr="00BE544E" w14:paraId="6C5A4193" w14:textId="77777777" w:rsidTr="009F7CEB">
        <w:tc>
          <w:tcPr>
            <w:tcW w:w="2127" w:type="dxa"/>
          </w:tcPr>
          <w:p w14:paraId="34C90091" w14:textId="77777777" w:rsidR="00837A53" w:rsidRDefault="00837A53" w:rsidP="00AC550E">
            <w:pPr>
              <w:autoSpaceDE w:val="0"/>
              <w:spacing w:before="60" w:after="60"/>
              <w:jc w:val="both"/>
              <w:rPr>
                <w:b/>
                <w:bCs/>
                <w:sz w:val="22"/>
                <w:szCs w:val="22"/>
              </w:rPr>
            </w:pPr>
            <w:r>
              <w:rPr>
                <w:b/>
                <w:bCs/>
                <w:sz w:val="22"/>
                <w:szCs w:val="22"/>
              </w:rPr>
              <w:t>Marcus Smith J</w:t>
            </w:r>
          </w:p>
        </w:tc>
        <w:tc>
          <w:tcPr>
            <w:tcW w:w="5760" w:type="dxa"/>
          </w:tcPr>
          <w:p w14:paraId="1E277FB0" w14:textId="77777777" w:rsidR="00837A53" w:rsidRDefault="00837A53" w:rsidP="00AC550E">
            <w:pPr>
              <w:autoSpaceDE w:val="0"/>
              <w:spacing w:before="60" w:after="60"/>
              <w:jc w:val="both"/>
              <w:rPr>
                <w:sz w:val="22"/>
                <w:szCs w:val="22"/>
              </w:rPr>
            </w:pPr>
            <w:r>
              <w:rPr>
                <w:sz w:val="22"/>
                <w:szCs w:val="22"/>
              </w:rPr>
              <w:t xml:space="preserve">If you are seeking to adduce further expert evidence, then </w:t>
            </w:r>
            <w:r w:rsidR="001520DD">
              <w:rPr>
                <w:sz w:val="22"/>
                <w:szCs w:val="22"/>
              </w:rPr>
              <w:t>that is a formal application that you will have to make and it will, I am sure, be opposed by the Princes and India.</w:t>
            </w:r>
          </w:p>
        </w:tc>
      </w:tr>
      <w:tr w:rsidR="003306DF" w:rsidRPr="00BE544E" w14:paraId="2B3EA9C1" w14:textId="77777777" w:rsidTr="009F7CEB">
        <w:tc>
          <w:tcPr>
            <w:tcW w:w="2127" w:type="dxa"/>
          </w:tcPr>
          <w:p w14:paraId="5D929EE9" w14:textId="77777777" w:rsidR="003306DF" w:rsidRDefault="003306DF" w:rsidP="00AC550E">
            <w:pPr>
              <w:autoSpaceDE w:val="0"/>
              <w:spacing w:before="60" w:after="60"/>
              <w:jc w:val="both"/>
              <w:rPr>
                <w:b/>
                <w:bCs/>
                <w:sz w:val="22"/>
                <w:szCs w:val="22"/>
              </w:rPr>
            </w:pPr>
            <w:r>
              <w:rPr>
                <w:b/>
                <w:bCs/>
                <w:sz w:val="22"/>
                <w:szCs w:val="22"/>
              </w:rPr>
              <w:t>Mr Qureshi, QC</w:t>
            </w:r>
          </w:p>
        </w:tc>
        <w:tc>
          <w:tcPr>
            <w:tcW w:w="5760" w:type="dxa"/>
          </w:tcPr>
          <w:p w14:paraId="5CE729E2" w14:textId="77777777" w:rsidR="003306DF" w:rsidRDefault="003306DF" w:rsidP="00AC550E">
            <w:pPr>
              <w:autoSpaceDE w:val="0"/>
              <w:spacing w:before="60" w:after="60"/>
              <w:jc w:val="both"/>
              <w:rPr>
                <w:sz w:val="22"/>
                <w:szCs w:val="22"/>
              </w:rPr>
            </w:pPr>
            <w:r>
              <w:rPr>
                <w:sz w:val="22"/>
                <w:szCs w:val="22"/>
              </w:rPr>
              <w:t>I would not expect anything differently</w:t>
            </w:r>
            <w:r w:rsidR="00E568F5">
              <w:rPr>
                <w:sz w:val="22"/>
                <w:szCs w:val="22"/>
              </w:rPr>
              <w:t>. That is why I have not raised the point before your Lordship, because I can only take it so far.</w:t>
            </w:r>
          </w:p>
        </w:tc>
      </w:tr>
    </w:tbl>
    <w:p w14:paraId="1E03251C" w14:textId="77777777" w:rsidR="009F7CEB" w:rsidRDefault="00E568F5" w:rsidP="00D737BC">
      <w:pPr>
        <w:numPr>
          <w:ilvl w:val="1"/>
          <w:numId w:val="2"/>
        </w:numPr>
        <w:autoSpaceDE w:val="0"/>
        <w:spacing w:before="240" w:after="240"/>
        <w:jc w:val="both"/>
      </w:pPr>
      <w:r>
        <w:t>In due course,</w:t>
      </w:r>
      <w:r w:rsidR="00AF1079">
        <w:rPr>
          <w:rStyle w:val="FootnoteReference"/>
        </w:rPr>
        <w:footnoteReference w:id="86"/>
      </w:r>
      <w:r>
        <w:t xml:space="preserve"> Pakistan made an application to adduce </w:t>
      </w:r>
      <w:r w:rsidR="00F33FB6">
        <w:t xml:space="preserve">the evidence of </w:t>
      </w:r>
      <w:r w:rsidR="00F60F04">
        <w:t xml:space="preserve">Radley. </w:t>
      </w:r>
      <w:r w:rsidR="001B182F">
        <w:t>The substance of Radley’s report</w:t>
      </w:r>
      <w:r w:rsidR="007837DD">
        <w:t xml:space="preserve">, Radley 1, </w:t>
      </w:r>
      <w:r w:rsidR="00604C14">
        <w:t xml:space="preserve">was that </w:t>
      </w:r>
      <w:r w:rsidR="0041549A">
        <w:t>at least one of the 1977 letters disclosed by Pakistan with the 15 September 1948 letters</w:t>
      </w:r>
      <w:r w:rsidR="0041549A">
        <w:rPr>
          <w:rStyle w:val="FootnoteReference"/>
        </w:rPr>
        <w:footnoteReference w:id="87"/>
      </w:r>
      <w:r w:rsidR="00377825">
        <w:t xml:space="preserve"> </w:t>
      </w:r>
      <w:r w:rsidR="00523B82">
        <w:t>was typed at around the same time as the 15 September 1948 letters</w:t>
      </w:r>
      <w:r w:rsidR="00AA67F1">
        <w:t xml:space="preserve">. In his report, </w:t>
      </w:r>
      <w:r w:rsidR="00E31F1B">
        <w:t xml:space="preserve">Radley referred </w:t>
      </w:r>
      <w:r w:rsidR="00AA67F1">
        <w:t xml:space="preserve">the 1948 letters </w:t>
      </w:r>
      <w:r w:rsidR="00E31F1B">
        <w:t>as the “Enclosures”</w:t>
      </w:r>
      <w:r w:rsidR="00523B82">
        <w:t>.</w:t>
      </w:r>
      <w:r w:rsidR="002731A6">
        <w:t xml:space="preserve"> The basis for </w:t>
      </w:r>
      <w:r w:rsidR="00E501E9">
        <w:t>Radley’s</w:t>
      </w:r>
      <w:r w:rsidR="002731A6">
        <w:t xml:space="preserve"> conclusion was that all three letters had been typed using the same typewriter</w:t>
      </w:r>
      <w:r w:rsidR="00471BA9">
        <w:t>. Radley made the point that:</w:t>
      </w:r>
    </w:p>
    <w:p w14:paraId="79B36E66" w14:textId="77777777" w:rsidR="00471BA9" w:rsidRPr="00471BA9" w:rsidRDefault="00471BA9" w:rsidP="00471BA9">
      <w:pPr>
        <w:autoSpaceDE w:val="0"/>
        <w:spacing w:before="240" w:after="240"/>
        <w:ind w:left="1134"/>
        <w:jc w:val="both"/>
        <w:rPr>
          <w:sz w:val="22"/>
          <w:szCs w:val="22"/>
        </w:rPr>
      </w:pPr>
      <w:r>
        <w:rPr>
          <w:sz w:val="22"/>
          <w:szCs w:val="22"/>
        </w:rPr>
        <w:t xml:space="preserve">“The evidence </w:t>
      </w:r>
      <w:r w:rsidR="00014166">
        <w:rPr>
          <w:sz w:val="22"/>
          <w:szCs w:val="22"/>
        </w:rPr>
        <w:t>strongly supports the proposition that the 1977 letter was typed around the same period in time as the two Enclosures</w:t>
      </w:r>
      <w:r w:rsidR="002A56AF">
        <w:rPr>
          <w:sz w:val="22"/>
          <w:szCs w:val="22"/>
        </w:rPr>
        <w:t xml:space="preserve"> rather than the two 1948 letters being typed, say, at that point in time and the same typewriter again used nearly 30 years later to type the 1977 covering letter.”</w:t>
      </w:r>
    </w:p>
    <w:p w14:paraId="739F26FA" w14:textId="77777777" w:rsidR="003639A0" w:rsidRDefault="003639A0" w:rsidP="003639A0">
      <w:pPr>
        <w:autoSpaceDE w:val="0"/>
        <w:spacing w:before="240" w:after="240"/>
        <w:ind w:left="1134"/>
        <w:jc w:val="both"/>
      </w:pPr>
      <w:r>
        <w:t xml:space="preserve">The force of Mr Radley’s point is plain: it seems improbable that precisely the same typewriter would be used </w:t>
      </w:r>
      <w:r w:rsidR="00174151">
        <w:t xml:space="preserve">to copy-type letters in 1948 and then to type a letter in 1977: it is more likely that </w:t>
      </w:r>
      <w:r w:rsidR="00AA70B2">
        <w:t>the letters were type</w:t>
      </w:r>
      <w:r w:rsidR="006818A8">
        <w:t>d</w:t>
      </w:r>
      <w:r w:rsidR="00AA70B2">
        <w:t xml:space="preserve"> on the same machine at the same time</w:t>
      </w:r>
      <w:r w:rsidR="001F1FBA">
        <w:t xml:space="preserve">, in 1977. Quite why copy typing would occur in 1977, with the prevalence of </w:t>
      </w:r>
      <w:r w:rsidR="001F1FBA">
        <w:lastRenderedPageBreak/>
        <w:t xml:space="preserve">the photocopier, is </w:t>
      </w:r>
      <w:r w:rsidR="0095177E">
        <w:t>a question that would certainly arise, if this evidence were to be admitted.</w:t>
      </w:r>
    </w:p>
    <w:p w14:paraId="3BA742A0" w14:textId="77777777" w:rsidR="00562151" w:rsidRDefault="004B6C7F" w:rsidP="00D737BC">
      <w:pPr>
        <w:numPr>
          <w:ilvl w:val="1"/>
          <w:numId w:val="2"/>
        </w:numPr>
        <w:autoSpaceDE w:val="0"/>
        <w:spacing w:before="240" w:after="240"/>
        <w:jc w:val="both"/>
      </w:pPr>
      <w:r>
        <w:t xml:space="preserve">The application to adduce </w:t>
      </w:r>
      <w:r w:rsidR="00AC68B4">
        <w:t>Radley</w:t>
      </w:r>
      <w:r>
        <w:t xml:space="preserve"> </w:t>
      </w:r>
      <w:r w:rsidR="00AC68B4">
        <w:t>1</w:t>
      </w:r>
      <w:r>
        <w:t xml:space="preserve"> was supported by the </w:t>
      </w:r>
      <w:r w:rsidR="0090743D">
        <w:t>seventh witness statement of Mr John Fordham, the partner at Stephenson Harwood having conduct of these proceedings on behalf of Pakistan</w:t>
      </w:r>
      <w:r w:rsidR="008C3051">
        <w:t xml:space="preserve"> (</w:t>
      </w:r>
      <w:r w:rsidR="008C3051">
        <w:rPr>
          <w:b/>
          <w:bCs/>
        </w:rPr>
        <w:t>Fordham 7</w:t>
      </w:r>
      <w:r w:rsidR="008C3051">
        <w:t>)</w:t>
      </w:r>
      <w:r w:rsidR="0090743D">
        <w:t>.</w:t>
      </w:r>
      <w:r w:rsidR="008C3051">
        <w:t xml:space="preserve"> Fordham 7 described the late discovery of these documents</w:t>
      </w:r>
      <w:r w:rsidR="008B480A">
        <w:t xml:space="preserve"> and the steps Pakistan took in relation to these documents </w:t>
      </w:r>
      <w:r w:rsidR="00562151">
        <w:t>in the following terms:</w:t>
      </w:r>
    </w:p>
    <w:p w14:paraId="1AB3CD11" w14:textId="77777777" w:rsidR="00FA52B9" w:rsidRDefault="00FA52B9" w:rsidP="00F471AB">
      <w:pPr>
        <w:autoSpaceDE w:val="0"/>
        <w:spacing w:before="240" w:after="240"/>
        <w:ind w:left="1854" w:hanging="720"/>
        <w:jc w:val="both"/>
        <w:rPr>
          <w:sz w:val="22"/>
          <w:szCs w:val="22"/>
        </w:rPr>
      </w:pPr>
      <w:r>
        <w:rPr>
          <w:sz w:val="22"/>
          <w:szCs w:val="22"/>
        </w:rPr>
        <w:t>“</w:t>
      </w:r>
      <w:r w:rsidR="00F471AB">
        <w:rPr>
          <w:sz w:val="22"/>
          <w:szCs w:val="22"/>
        </w:rPr>
        <w:t>9.</w:t>
      </w:r>
      <w:r w:rsidR="00F471AB">
        <w:rPr>
          <w:sz w:val="22"/>
          <w:szCs w:val="22"/>
        </w:rPr>
        <w:tab/>
        <w:t>[Pakistan] and her English legal team</w:t>
      </w:r>
      <w:r w:rsidR="00A37B50">
        <w:rPr>
          <w:sz w:val="22"/>
          <w:szCs w:val="22"/>
        </w:rPr>
        <w:t xml:space="preserve">, on discovering these documents, immediately considered the possibility that they might not be authentic, in the sense that </w:t>
      </w:r>
      <w:r w:rsidR="00AC5CB4">
        <w:rPr>
          <w:sz w:val="22"/>
          <w:szCs w:val="22"/>
        </w:rPr>
        <w:t>there may never have been any underlying documents from which the</w:t>
      </w:r>
      <w:r w:rsidR="006E1644">
        <w:rPr>
          <w:sz w:val="22"/>
          <w:szCs w:val="22"/>
        </w:rPr>
        <w:t xml:space="preserve"> Enclosures were copy typed. However,</w:t>
      </w:r>
      <w:r w:rsidR="000E25DF">
        <w:rPr>
          <w:sz w:val="22"/>
          <w:szCs w:val="22"/>
        </w:rPr>
        <w:t xml:space="preserve"> if this were the case then any “forgery” appeared to emanate</w:t>
      </w:r>
      <w:r w:rsidR="0072510B">
        <w:rPr>
          <w:sz w:val="22"/>
          <w:szCs w:val="22"/>
        </w:rPr>
        <w:t xml:space="preserve"> from the Ministry of Foreign Affairs itself; the 1977 Letter did appear to be genuine.</w:t>
      </w:r>
    </w:p>
    <w:p w14:paraId="7ECECFF3" w14:textId="77777777" w:rsidR="0072510B" w:rsidRDefault="0072510B" w:rsidP="00F471AB">
      <w:pPr>
        <w:autoSpaceDE w:val="0"/>
        <w:spacing w:before="240" w:after="240"/>
        <w:ind w:left="1854" w:hanging="720"/>
        <w:jc w:val="both"/>
        <w:rPr>
          <w:sz w:val="22"/>
          <w:szCs w:val="22"/>
        </w:rPr>
      </w:pPr>
      <w:r>
        <w:rPr>
          <w:sz w:val="22"/>
          <w:szCs w:val="22"/>
        </w:rPr>
        <w:t>10.</w:t>
      </w:r>
      <w:r>
        <w:rPr>
          <w:sz w:val="22"/>
          <w:szCs w:val="22"/>
        </w:rPr>
        <w:tab/>
        <w:t xml:space="preserve">It was not, therefore, clear </w:t>
      </w:r>
      <w:r w:rsidR="00AE0ED7">
        <w:rPr>
          <w:sz w:val="22"/>
          <w:szCs w:val="22"/>
        </w:rPr>
        <w:t xml:space="preserve">that any forensic analysis of the Enclosures could significantly advance [Pakistan’s] case; the real issue was whether original versions </w:t>
      </w:r>
      <w:r w:rsidR="008A65D0">
        <w:rPr>
          <w:sz w:val="22"/>
          <w:szCs w:val="22"/>
        </w:rPr>
        <w:t xml:space="preserve">of the Enclosures had ever existed or not. No amount of forensic analysis can answer this question, and whilst [Pakistan] has not been able to locate </w:t>
      </w:r>
      <w:r w:rsidR="00B575CF">
        <w:rPr>
          <w:sz w:val="22"/>
          <w:szCs w:val="22"/>
        </w:rPr>
        <w:t xml:space="preserve">any other copies of the Enclosures from which they may have been copy typed, she has never considered that there is sufficient evidence </w:t>
      </w:r>
      <w:r w:rsidR="00F35FE8">
        <w:rPr>
          <w:sz w:val="22"/>
          <w:szCs w:val="22"/>
        </w:rPr>
        <w:t>to show that such documents never existed.</w:t>
      </w:r>
    </w:p>
    <w:p w14:paraId="5F0CA81E" w14:textId="77777777" w:rsidR="00F42E9C" w:rsidRPr="00FA52B9" w:rsidRDefault="00F35FE8" w:rsidP="00B862E6">
      <w:pPr>
        <w:autoSpaceDE w:val="0"/>
        <w:spacing w:before="240" w:after="240"/>
        <w:ind w:left="1854" w:hanging="720"/>
        <w:jc w:val="both"/>
        <w:rPr>
          <w:sz w:val="22"/>
          <w:szCs w:val="22"/>
        </w:rPr>
      </w:pPr>
      <w:r>
        <w:rPr>
          <w:sz w:val="22"/>
          <w:szCs w:val="22"/>
        </w:rPr>
        <w:t>11.</w:t>
      </w:r>
      <w:r>
        <w:rPr>
          <w:sz w:val="22"/>
          <w:szCs w:val="22"/>
        </w:rPr>
        <w:tab/>
        <w:t xml:space="preserve">My firm did, however, in December 2018, take the precaution </w:t>
      </w:r>
      <w:r w:rsidR="00A44CAB">
        <w:rPr>
          <w:sz w:val="22"/>
          <w:szCs w:val="22"/>
        </w:rPr>
        <w:t>of seeking an early indicative view from Robert Radley, the author of the Report, as to the likely date of creation of the Enclosures.</w:t>
      </w:r>
      <w:r w:rsidR="00215C9D">
        <w:rPr>
          <w:sz w:val="22"/>
          <w:szCs w:val="22"/>
        </w:rPr>
        <w:t xml:space="preserve"> Mr Radley’s view was based solely on</w:t>
      </w:r>
      <w:r w:rsidR="00B507CA">
        <w:rPr>
          <w:sz w:val="22"/>
          <w:szCs w:val="22"/>
        </w:rPr>
        <w:t xml:space="preserve"> electronic scans of the documents. His view was that the 1977 Letter and the Enclosures appeared to have been typed at around the same time</w:t>
      </w:r>
      <w:r w:rsidR="00070252">
        <w:rPr>
          <w:sz w:val="22"/>
          <w:szCs w:val="22"/>
        </w:rPr>
        <w:t xml:space="preserve"> on the same typewriter. My firm took the view that this in itself did not significantly advance [Pakistan’s] case</w:t>
      </w:r>
      <w:r w:rsidR="0085198C">
        <w:rPr>
          <w:sz w:val="22"/>
          <w:szCs w:val="22"/>
        </w:rPr>
        <w:t xml:space="preserve"> that the Enclosures might not be authentic; the Enclosures may have been typed copies of documents that did exist </w:t>
      </w:r>
      <w:r w:rsidR="00086B03">
        <w:rPr>
          <w:sz w:val="22"/>
          <w:szCs w:val="22"/>
        </w:rPr>
        <w:t xml:space="preserve">when the 1977 Letter was produced, but which have since been lost. The issue is as described above: forensic analysis </w:t>
      </w:r>
      <w:r w:rsidR="003129C3">
        <w:rPr>
          <w:sz w:val="22"/>
          <w:szCs w:val="22"/>
        </w:rPr>
        <w:t xml:space="preserve">alone </w:t>
      </w:r>
      <w:r w:rsidR="00F42E9C">
        <w:rPr>
          <w:sz w:val="22"/>
          <w:szCs w:val="22"/>
        </w:rPr>
        <w:t>only takes the case so far, and so it was decided not to proceed any further with forensic analysis or seek the Court’s permission to rely on expert evidence in this field.</w:t>
      </w:r>
      <w:r w:rsidR="00B862E6">
        <w:rPr>
          <w:sz w:val="22"/>
          <w:szCs w:val="22"/>
        </w:rPr>
        <w:t>”</w:t>
      </w:r>
    </w:p>
    <w:p w14:paraId="039A7712" w14:textId="77777777" w:rsidR="00471BA9" w:rsidRDefault="00AB3453" w:rsidP="00D737BC">
      <w:pPr>
        <w:numPr>
          <w:ilvl w:val="1"/>
          <w:numId w:val="2"/>
        </w:numPr>
        <w:autoSpaceDE w:val="0"/>
        <w:spacing w:before="240" w:after="240"/>
        <w:jc w:val="both"/>
      </w:pPr>
      <w:r>
        <w:t xml:space="preserve">I heard the application to admit the evidence on </w:t>
      </w:r>
      <w:r w:rsidR="00633819">
        <w:t xml:space="preserve">Day 5 (17 June 2019), and ruled that </w:t>
      </w:r>
      <w:r w:rsidR="00690B00">
        <w:t>Radley 1 would not be admitted for reasons that I would give in this Judgment.</w:t>
      </w:r>
      <w:r w:rsidR="00690B00">
        <w:rPr>
          <w:rStyle w:val="FootnoteReference"/>
        </w:rPr>
        <w:footnoteReference w:id="88"/>
      </w:r>
      <w:r w:rsidR="00195A99">
        <w:t xml:space="preserve"> My reasons for not admitt</w:t>
      </w:r>
      <w:r w:rsidR="00724A3B">
        <w:t>ing</w:t>
      </w:r>
      <w:r w:rsidR="00195A99">
        <w:t xml:space="preserve"> Radley 1 are as </w:t>
      </w:r>
      <w:r w:rsidR="00195A99" w:rsidRPr="006136D3">
        <w:t>follow</w:t>
      </w:r>
      <w:r w:rsidR="00C9064D" w:rsidRPr="006136D3">
        <w:t>s</w:t>
      </w:r>
      <w:r w:rsidR="00195A99" w:rsidRPr="006136D3">
        <w:t>:</w:t>
      </w:r>
    </w:p>
    <w:p w14:paraId="57D69DCB" w14:textId="77777777" w:rsidR="00195A99" w:rsidRDefault="004C7783" w:rsidP="00195A99">
      <w:pPr>
        <w:numPr>
          <w:ilvl w:val="2"/>
          <w:numId w:val="2"/>
        </w:numPr>
        <w:autoSpaceDE w:val="0"/>
        <w:spacing w:before="240" w:after="240"/>
        <w:jc w:val="both"/>
      </w:pPr>
      <w:r>
        <w:t>As Pakistan frankly acknowledges,</w:t>
      </w:r>
      <w:r w:rsidR="006E3294">
        <w:rPr>
          <w:rStyle w:val="FootnoteReference"/>
        </w:rPr>
        <w:footnoteReference w:id="89"/>
      </w:r>
      <w:r>
        <w:t xml:space="preserve"> </w:t>
      </w:r>
      <w:r w:rsidR="007823A5">
        <w:t>even accepting Radley’s evidence without question, his evidence does not take Pakistan very far</w:t>
      </w:r>
      <w:r w:rsidR="00626554">
        <w:t xml:space="preserve">. Pakistan accepts that the evidence cannot support a contention that the 15 September 1948 letters never existed. </w:t>
      </w:r>
      <w:r w:rsidR="0062069B">
        <w:t>It is, therefore, difficult to see what the evidence of Radley actually adds.</w:t>
      </w:r>
    </w:p>
    <w:p w14:paraId="5F704DAF" w14:textId="77777777" w:rsidR="0062069B" w:rsidRDefault="0062069B" w:rsidP="00195A99">
      <w:pPr>
        <w:numPr>
          <w:ilvl w:val="2"/>
          <w:numId w:val="2"/>
        </w:numPr>
        <w:autoSpaceDE w:val="0"/>
        <w:spacing w:before="240" w:after="240"/>
        <w:jc w:val="both"/>
      </w:pPr>
      <w:r>
        <w:t xml:space="preserve">The application to admit new evidence was made extremely late. </w:t>
      </w:r>
      <w:r w:rsidR="00C97E5B">
        <w:t xml:space="preserve">Mr Fordham very frankly explained the suspicions that existed in relation to the 1948 letters and described how Radley’s views were informally obtained </w:t>
      </w:r>
      <w:r w:rsidR="005D4ACA">
        <w:t xml:space="preserve">in December 2018. There was no reason why an application to admit this </w:t>
      </w:r>
      <w:r w:rsidR="005D4ACA">
        <w:lastRenderedPageBreak/>
        <w:t>evidence could not have been made some months before trial. Indeed, it is clear that Pakistan considered this course, and decided against it</w:t>
      </w:r>
      <w:r w:rsidR="00783A56">
        <w:t xml:space="preserve">. I do not consider – even leaving aside the prejudice to the Princes and India </w:t>
      </w:r>
      <w:r w:rsidR="007E21F1">
        <w:t>–</w:t>
      </w:r>
      <w:r w:rsidR="00783A56">
        <w:t xml:space="preserve"> </w:t>
      </w:r>
      <w:r w:rsidR="007E21F1">
        <w:t>that it would be appropriate to permit Pakistan to change her mind on this point mid-trial.</w:t>
      </w:r>
    </w:p>
    <w:p w14:paraId="726123B7" w14:textId="77777777" w:rsidR="007E21F1" w:rsidRPr="004B18A9" w:rsidRDefault="00EF3313" w:rsidP="00195A99">
      <w:pPr>
        <w:numPr>
          <w:ilvl w:val="2"/>
          <w:numId w:val="2"/>
        </w:numPr>
        <w:autoSpaceDE w:val="0"/>
        <w:spacing w:before="240" w:after="240"/>
        <w:jc w:val="both"/>
      </w:pPr>
      <w:r>
        <w:t xml:space="preserve">The Princes and India made quite clear in their submissions to me that they would want to instruct their own </w:t>
      </w:r>
      <w:r w:rsidR="00E562B8">
        <w:t xml:space="preserve">forensic examiners to consider the 1948 letters. They made clear that this might involve disclosure by Pakistan of other documentary evidence </w:t>
      </w:r>
      <w:r w:rsidR="00061EDF">
        <w:t>(</w:t>
      </w:r>
      <w:r w:rsidR="00E562B8">
        <w:t>from 1977</w:t>
      </w:r>
      <w:r w:rsidR="00061EDF">
        <w:t xml:space="preserve"> and 1948)</w:t>
      </w:r>
      <w:r w:rsidR="00E562B8">
        <w:t xml:space="preserve"> </w:t>
      </w:r>
      <w:r w:rsidR="00061EDF">
        <w:t xml:space="preserve">to </w:t>
      </w:r>
      <w:r w:rsidR="00DE0F06">
        <w:t>test</w:t>
      </w:r>
      <w:r w:rsidR="00061EDF">
        <w:t xml:space="preserve"> the point Radley was making about the same typewriter being used</w:t>
      </w:r>
      <w:r w:rsidR="00DB09F6">
        <w:t xml:space="preserve">. Inevitably, such evidence in response would take time to produce and – depending on that evidence </w:t>
      </w:r>
      <w:r w:rsidR="00A51993">
        <w:t>–</w:t>
      </w:r>
      <w:r w:rsidR="00DB09F6">
        <w:t xml:space="preserve"> </w:t>
      </w:r>
      <w:r w:rsidR="00A51993">
        <w:t xml:space="preserve">there might have to be cross-examination of the experts. I entirely accept that, were the evidence of Radley to be admitted, </w:t>
      </w:r>
      <w:r w:rsidR="007D1265">
        <w:t>the Princes and India would be fully entitled to take such steps</w:t>
      </w:r>
      <w:r w:rsidR="00030467">
        <w:t>. To enable the Princes and India to obtain such evidence would inevitably require an adjournment of the trial</w:t>
      </w:r>
      <w:r w:rsidR="00E7121A">
        <w:t xml:space="preserve">, probably at least until the beginning of October 2019. </w:t>
      </w:r>
      <w:r w:rsidR="004934F5">
        <w:t xml:space="preserve">Given the nature of the evidence Pakistan </w:t>
      </w:r>
      <w:r w:rsidR="00250AFD">
        <w:t>seeks to adduce, and the fact that the application was made extremely late in the day with no justification for this</w:t>
      </w:r>
      <w:r w:rsidR="00927CB6">
        <w:t>, an adjournment would plainly have been inappropriate.</w:t>
      </w:r>
    </w:p>
    <w:p w14:paraId="13A407F6" w14:textId="77777777" w:rsidR="006C1F38" w:rsidRPr="00C462DB" w:rsidRDefault="00C1648B" w:rsidP="008A21F4">
      <w:pPr>
        <w:keepNext/>
        <w:tabs>
          <w:tab w:val="left" w:pos="567"/>
        </w:tabs>
        <w:autoSpaceDE w:val="0"/>
        <w:spacing w:before="240" w:after="240"/>
        <w:jc w:val="both"/>
        <w:rPr>
          <w:i/>
          <w:iCs/>
        </w:rPr>
      </w:pPr>
      <w:r w:rsidRPr="00E74F9D">
        <w:rPr>
          <w:i/>
          <w:iCs/>
        </w:rPr>
        <w:t>(</w:t>
      </w:r>
      <w:r w:rsidR="00E74F9D">
        <w:rPr>
          <w:i/>
          <w:iCs/>
        </w:rPr>
        <w:t>iv</w:t>
      </w:r>
      <w:r w:rsidRPr="00E74F9D">
        <w:rPr>
          <w:i/>
          <w:iCs/>
        </w:rPr>
        <w:t>)</w:t>
      </w:r>
      <w:r w:rsidRPr="00E74F9D">
        <w:rPr>
          <w:i/>
          <w:iCs/>
        </w:rPr>
        <w:tab/>
      </w:r>
      <w:r w:rsidR="00E74F9D" w:rsidRPr="00C462DB">
        <w:rPr>
          <w:i/>
          <w:iCs/>
        </w:rPr>
        <w:t>My conclusions on the evidence</w:t>
      </w:r>
    </w:p>
    <w:p w14:paraId="16D2322D" w14:textId="77777777" w:rsidR="002C0312" w:rsidRPr="00C462DB" w:rsidRDefault="005F46F1" w:rsidP="00CA3D9D">
      <w:pPr>
        <w:numPr>
          <w:ilvl w:val="0"/>
          <w:numId w:val="2"/>
        </w:numPr>
        <w:autoSpaceDE w:val="0"/>
        <w:spacing w:before="240" w:after="240"/>
        <w:jc w:val="both"/>
        <w:rPr>
          <w:b/>
          <w:bCs/>
        </w:rPr>
      </w:pPr>
      <w:r w:rsidRPr="00C462DB">
        <w:t xml:space="preserve">I find that </w:t>
      </w:r>
      <w:r w:rsidR="002B64D0" w:rsidRPr="00C462DB">
        <w:t xml:space="preserve">Moin and Mir </w:t>
      </w:r>
      <w:r w:rsidR="005F241B" w:rsidRPr="00C462DB">
        <w:t xml:space="preserve">formed the intention </w:t>
      </w:r>
      <w:r w:rsidR="00017BF1" w:rsidRPr="00C462DB">
        <w:t xml:space="preserve">of transferring the sums standing </w:t>
      </w:r>
      <w:r w:rsidR="00933EE0" w:rsidRPr="00C462DB">
        <w:t xml:space="preserve">to the account of Hyderabad </w:t>
      </w:r>
      <w:r w:rsidR="00D06202" w:rsidRPr="00C462DB">
        <w:t xml:space="preserve">in the Second Account to Rahimtoola </w:t>
      </w:r>
      <w:r w:rsidR="0056052C" w:rsidRPr="00C462DB">
        <w:t xml:space="preserve">in September 1948. </w:t>
      </w:r>
    </w:p>
    <w:p w14:paraId="18DB989B" w14:textId="77777777" w:rsidR="00EB718D" w:rsidRPr="00C462DB" w:rsidRDefault="00FF5BC4" w:rsidP="00CA3D9D">
      <w:pPr>
        <w:numPr>
          <w:ilvl w:val="0"/>
          <w:numId w:val="2"/>
        </w:numPr>
        <w:autoSpaceDE w:val="0"/>
        <w:spacing w:before="240" w:after="240"/>
        <w:jc w:val="both"/>
        <w:rPr>
          <w:b/>
          <w:bCs/>
        </w:rPr>
      </w:pPr>
      <w:r>
        <w:t xml:space="preserve">It is </w:t>
      </w:r>
      <w:r w:rsidR="002C0312" w:rsidRPr="00C462DB">
        <w:t xml:space="preserve">significant </w:t>
      </w:r>
      <w:r w:rsidR="002F6942" w:rsidRPr="00C462DB">
        <w:t xml:space="preserve">that </w:t>
      </w:r>
      <w:r w:rsidR="002A3741" w:rsidRPr="00C462DB">
        <w:t xml:space="preserve">the </w:t>
      </w:r>
      <w:r>
        <w:t>T</w:t>
      </w:r>
      <w:r w:rsidR="002A3741" w:rsidRPr="00C462DB">
        <w:t xml:space="preserve">ransfer </w:t>
      </w:r>
      <w:r w:rsidR="002A3741" w:rsidRPr="00C462DB">
        <w:rPr>
          <w:u w:val="single"/>
        </w:rPr>
        <w:t>actually</w:t>
      </w:r>
      <w:r w:rsidR="002A3741" w:rsidRPr="00C462DB">
        <w:t xml:space="preserve"> occurred on 20 September </w:t>
      </w:r>
      <w:r w:rsidR="00EC00A8" w:rsidRPr="00C462DB">
        <w:t>1948</w:t>
      </w:r>
      <w:r w:rsidR="0010725D" w:rsidRPr="00C462DB">
        <w:rPr>
          <w:rStyle w:val="FootnoteReference"/>
        </w:rPr>
        <w:footnoteReference w:id="90"/>
      </w:r>
      <w:r w:rsidR="00EC00A8" w:rsidRPr="00C462DB">
        <w:t xml:space="preserve"> (after Operation Polo had succeeded</w:t>
      </w:r>
      <w:r w:rsidR="002D2C54" w:rsidRPr="00C462DB">
        <w:rPr>
          <w:rStyle w:val="FootnoteReference"/>
        </w:rPr>
        <w:footnoteReference w:id="91"/>
      </w:r>
      <w:r w:rsidR="00EC00A8" w:rsidRPr="00C462DB">
        <w:t xml:space="preserve"> and after </w:t>
      </w:r>
      <w:r w:rsidR="00C24839" w:rsidRPr="00C462DB">
        <w:t>Nizam VII</w:t>
      </w:r>
      <w:r w:rsidR="00F3642C" w:rsidRPr="00C462DB">
        <w:t xml:space="preserve"> had </w:t>
      </w:r>
      <w:r w:rsidR="000710AF" w:rsidRPr="00C462DB">
        <w:t xml:space="preserve">made his </w:t>
      </w:r>
      <w:r w:rsidR="004547B5" w:rsidRPr="00C462DB">
        <w:t>speech on 17 September 1948</w:t>
      </w:r>
      <w:r w:rsidR="004A372F" w:rsidRPr="00C462DB">
        <w:t xml:space="preserve">, </w:t>
      </w:r>
      <w:r w:rsidR="0030375F" w:rsidRPr="00C462DB">
        <w:t xml:space="preserve">accepting the resignation of his </w:t>
      </w:r>
      <w:r>
        <w:t>G</w:t>
      </w:r>
      <w:r w:rsidR="0030375F" w:rsidRPr="00C462DB">
        <w:t>overnment</w:t>
      </w:r>
      <w:r w:rsidR="007026C2" w:rsidRPr="00C462DB">
        <w:rPr>
          <w:rStyle w:val="FootnoteReference"/>
        </w:rPr>
        <w:footnoteReference w:id="92"/>
      </w:r>
      <w:r w:rsidR="0030375F" w:rsidRPr="00C462DB">
        <w:t>)</w:t>
      </w:r>
      <w:r w:rsidR="00B74360" w:rsidRPr="00C462DB">
        <w:t>, whereas Moin wrote to Mir on 14 September</w:t>
      </w:r>
      <w:r w:rsidR="00C037DB" w:rsidRPr="00C462DB">
        <w:t xml:space="preserve"> 1948</w:t>
      </w:r>
      <w:r w:rsidR="00B74360" w:rsidRPr="00C462DB">
        <w:t xml:space="preserve"> (</w:t>
      </w:r>
      <w:r w:rsidR="00676CE6" w:rsidRPr="00C462DB">
        <w:t xml:space="preserve">just after Operation Polo began, on </w:t>
      </w:r>
      <w:r w:rsidR="00C037DB" w:rsidRPr="00C462DB">
        <w:t>13 September 1948</w:t>
      </w:r>
      <w:r w:rsidR="00C037DB" w:rsidRPr="00C462DB">
        <w:rPr>
          <w:rStyle w:val="FootnoteReference"/>
        </w:rPr>
        <w:footnoteReference w:id="93"/>
      </w:r>
      <w:r w:rsidR="00C037DB" w:rsidRPr="00C462DB">
        <w:t>)</w:t>
      </w:r>
      <w:r w:rsidR="003A308D" w:rsidRPr="00C462DB">
        <w:t xml:space="preserve"> to say that the </w:t>
      </w:r>
      <w:r w:rsidR="003C7B93" w:rsidRPr="00C462DB">
        <w:t>Transfer ha</w:t>
      </w:r>
      <w:r w:rsidR="005E13BF">
        <w:t>d</w:t>
      </w:r>
      <w:r w:rsidR="003C7B93" w:rsidRPr="00C462DB">
        <w:t xml:space="preserve"> occurred </w:t>
      </w:r>
      <w:r w:rsidR="003C7B93" w:rsidRPr="00C462DB">
        <w:rPr>
          <w:u w:val="single"/>
        </w:rPr>
        <w:t>on that day</w:t>
      </w:r>
      <w:r w:rsidR="005C6816" w:rsidRPr="00C462DB">
        <w:t xml:space="preserve"> “under instructions </w:t>
      </w:r>
      <w:r w:rsidR="002C0312" w:rsidRPr="00C462DB">
        <w:t>from HEH the Nizam’s Govt”.</w:t>
      </w:r>
    </w:p>
    <w:p w14:paraId="3B7A24E3" w14:textId="77777777" w:rsidR="003C7B93" w:rsidRPr="00C462DB" w:rsidRDefault="00BF025A" w:rsidP="00CA3D9D">
      <w:pPr>
        <w:numPr>
          <w:ilvl w:val="0"/>
          <w:numId w:val="2"/>
        </w:numPr>
        <w:autoSpaceDE w:val="0"/>
        <w:spacing w:before="240" w:after="240"/>
        <w:jc w:val="both"/>
        <w:rPr>
          <w:b/>
          <w:bCs/>
        </w:rPr>
      </w:pPr>
      <w:r>
        <w:t>Plainly, the Transfer did not occur on that day</w:t>
      </w:r>
      <w:r w:rsidR="00F82F30">
        <w:t>.</w:t>
      </w:r>
      <w:r>
        <w:t xml:space="preserve"> Moin had no justification in saying so</w:t>
      </w:r>
      <w:r w:rsidR="002B02A2">
        <w:t>:</w:t>
      </w:r>
      <w:r>
        <w:t xml:space="preserve"> the letter of instruction to the Bank is dated 16 </w:t>
      </w:r>
      <w:r w:rsidR="00906451">
        <w:t>September 1948</w:t>
      </w:r>
      <w:r w:rsidR="00BD0C82">
        <w:t xml:space="preserve">, and the transfer </w:t>
      </w:r>
      <w:r w:rsidR="00056B8C">
        <w:t>was in fact only effected on 20 September 1948</w:t>
      </w:r>
      <w:r w:rsidR="00906451">
        <w:t xml:space="preserve">. </w:t>
      </w:r>
      <w:r w:rsidR="00056B8C">
        <w:t>There is no record of any instructions from Nizam VII</w:t>
      </w:r>
      <w:r w:rsidR="000A42C1">
        <w:t>, although (given what I have said about the documentary record</w:t>
      </w:r>
      <w:r w:rsidR="000A42C1">
        <w:rPr>
          <w:rStyle w:val="FootnoteReference"/>
        </w:rPr>
        <w:footnoteReference w:id="94"/>
      </w:r>
      <w:r w:rsidR="000A42C1">
        <w:t>)</w:t>
      </w:r>
      <w:r w:rsidR="002B02A2">
        <w:t xml:space="preserve"> </w:t>
      </w:r>
      <w:r w:rsidR="000031AE">
        <w:t xml:space="preserve">it is possible </w:t>
      </w:r>
      <w:r w:rsidR="002B02A2">
        <w:t>such a communication existed</w:t>
      </w:r>
      <w:r w:rsidR="002F3893">
        <w:t>.</w:t>
      </w:r>
      <w:r w:rsidR="000A42C1">
        <w:t xml:space="preserve"> </w:t>
      </w:r>
      <w:r w:rsidR="000031AE">
        <w:t>T</w:t>
      </w:r>
      <w:r w:rsidR="00906451">
        <w:t>here is, on the face of the record, a</w:t>
      </w:r>
      <w:r w:rsidR="00A824AF">
        <w:t>n</w:t>
      </w:r>
      <w:r w:rsidR="00906451">
        <w:t xml:space="preserve"> inconsistency</w:t>
      </w:r>
      <w:r w:rsidR="00A25A8C">
        <w:t xml:space="preserve"> between when Moin </w:t>
      </w:r>
      <w:r w:rsidR="00A824AF">
        <w:rPr>
          <w:u w:val="single"/>
        </w:rPr>
        <w:t>told Mir</w:t>
      </w:r>
      <w:r w:rsidR="00A25A8C" w:rsidRPr="00A25A8C">
        <w:t xml:space="preserve"> </w:t>
      </w:r>
      <w:r w:rsidR="00A25A8C">
        <w:t xml:space="preserve">the transfer took place and when </w:t>
      </w:r>
      <w:r w:rsidR="000031AE">
        <w:t>Moin</w:t>
      </w:r>
      <w:r w:rsidR="00A25A8C">
        <w:t xml:space="preserve"> </w:t>
      </w:r>
      <w:r w:rsidR="00A25A8C">
        <w:rPr>
          <w:u w:val="single"/>
        </w:rPr>
        <w:t>actually effected it</w:t>
      </w:r>
      <w:r w:rsidR="00906451">
        <w:t xml:space="preserve">. </w:t>
      </w:r>
      <w:r w:rsidR="009A4E5B" w:rsidRPr="00C462DB">
        <w:t xml:space="preserve">I consider the fact that Moin </w:t>
      </w:r>
      <w:r w:rsidR="009A4E5B" w:rsidRPr="00C462DB">
        <w:rPr>
          <w:u w:val="single"/>
        </w:rPr>
        <w:t>stated</w:t>
      </w:r>
      <w:r w:rsidR="009A4E5B" w:rsidRPr="00C462DB">
        <w:t xml:space="preserve"> that the Transfer had occurred on </w:t>
      </w:r>
      <w:r w:rsidR="005F791F" w:rsidRPr="00C462DB">
        <w:t xml:space="preserve">14 September 1948, when it </w:t>
      </w:r>
      <w:r w:rsidR="005F791F" w:rsidRPr="00C462DB">
        <w:rPr>
          <w:u w:val="single"/>
        </w:rPr>
        <w:t>in fact</w:t>
      </w:r>
      <w:r w:rsidR="005F791F" w:rsidRPr="00C462DB">
        <w:t xml:space="preserve"> took place on 20 September 1948, to be </w:t>
      </w:r>
      <w:r w:rsidR="003935F2" w:rsidRPr="00C462DB">
        <w:t>significant. I consider that Moin waited until it was clear that Operation Polo had succeeded and that Nizam VII was in thrall to India</w:t>
      </w:r>
      <w:r w:rsidR="00B84693" w:rsidRPr="00C462DB">
        <w:t xml:space="preserve"> before effecting the Transfer</w:t>
      </w:r>
      <w:r w:rsidR="00091FC4" w:rsidRPr="00C462DB">
        <w:t>. I</w:t>
      </w:r>
      <w:r w:rsidR="00B84693" w:rsidRPr="00C462DB">
        <w:t xml:space="preserve">n short, Moin only wanted to </w:t>
      </w:r>
      <w:r w:rsidR="00F6021C" w:rsidRPr="00C462DB">
        <w:t xml:space="preserve">take the drastic step of divesting Hyderabad of this money when it was clear that </w:t>
      </w:r>
      <w:r w:rsidR="00091FC4" w:rsidRPr="00C462DB">
        <w:t xml:space="preserve">India </w:t>
      </w:r>
      <w:r w:rsidR="00091FC4" w:rsidRPr="00C462DB">
        <w:lastRenderedPageBreak/>
        <w:t>was in control of Hyderabad. Of course, by this time</w:t>
      </w:r>
      <w:r w:rsidR="00B25EA5" w:rsidRPr="00C462DB">
        <w:t xml:space="preserve">, Nizam VII had accepted his Government’s resignation, and Moin could no longer </w:t>
      </w:r>
      <w:r w:rsidR="001A5536" w:rsidRPr="00C462DB">
        <w:t xml:space="preserve">uncontroversially </w:t>
      </w:r>
      <w:r w:rsidR="00B25EA5" w:rsidRPr="00C462DB">
        <w:t xml:space="preserve">be said to have the </w:t>
      </w:r>
      <w:r w:rsidR="001A5536" w:rsidRPr="00C462DB">
        <w:t xml:space="preserve">power and </w:t>
      </w:r>
      <w:r w:rsidR="00B25EA5" w:rsidRPr="00C462DB">
        <w:t xml:space="preserve">authority of </w:t>
      </w:r>
      <w:r w:rsidR="005462A3" w:rsidRPr="00C462DB">
        <w:t>Finance Minister and Minister</w:t>
      </w:r>
      <w:r w:rsidR="0024369A">
        <w:t xml:space="preserve"> for External Affairs</w:t>
      </w:r>
      <w:r w:rsidR="005462A3" w:rsidRPr="00C462DB">
        <w:t xml:space="preserve"> </w:t>
      </w:r>
      <w:r w:rsidR="00112DDC" w:rsidRPr="00C462DB">
        <w:t>–</w:t>
      </w:r>
      <w:r w:rsidR="005462A3" w:rsidRPr="00C462DB">
        <w:t xml:space="preserve"> </w:t>
      </w:r>
      <w:r w:rsidR="00112DDC" w:rsidRPr="00C462DB">
        <w:t xml:space="preserve">although he claimed to retain office. Hence, I find, the </w:t>
      </w:r>
      <w:r w:rsidR="00495E45">
        <w:t xml:space="preserve">attempt to establish the </w:t>
      </w:r>
      <w:r w:rsidR="00112DDC" w:rsidRPr="00C462DB">
        <w:t>dat</w:t>
      </w:r>
      <w:r w:rsidR="00495E45">
        <w:t>e</w:t>
      </w:r>
      <w:r w:rsidR="00112DDC" w:rsidRPr="00C462DB">
        <w:t xml:space="preserve"> of the </w:t>
      </w:r>
      <w:r w:rsidR="00367640" w:rsidRPr="00C462DB">
        <w:t xml:space="preserve">Transfer </w:t>
      </w:r>
      <w:r w:rsidR="00495E45">
        <w:t>as</w:t>
      </w:r>
      <w:r w:rsidR="00367640" w:rsidRPr="00C462DB">
        <w:t xml:space="preserve"> 14 September 1948. In short, I find that th</w:t>
      </w:r>
      <w:r w:rsidR="001C3A1B" w:rsidRPr="00C462DB">
        <w:t>e</w:t>
      </w:r>
      <w:r w:rsidR="00367640" w:rsidRPr="00C462DB">
        <w:t xml:space="preserve"> letter</w:t>
      </w:r>
      <w:r w:rsidR="001C3A1B" w:rsidRPr="00C462DB">
        <w:t xml:space="preserve"> dated 14 September 1948</w:t>
      </w:r>
      <w:r w:rsidR="00367640" w:rsidRPr="00C462DB">
        <w:t xml:space="preserve"> is mis-dated: whereas it bears the date 14 September 1948, I find that it was in fact written on or </w:t>
      </w:r>
      <w:r w:rsidR="003B224D">
        <w:t xml:space="preserve">shortly before </w:t>
      </w:r>
      <w:r w:rsidR="00367640" w:rsidRPr="00C462DB">
        <w:t>20 September 1948.</w:t>
      </w:r>
      <w:r w:rsidR="006F270E">
        <w:t xml:space="preserve"> </w:t>
      </w:r>
      <w:r w:rsidR="00C51BA5">
        <w:t>I consider what Moin might have meant by “</w:t>
      </w:r>
      <w:r w:rsidR="00C51BA5" w:rsidRPr="00C462DB">
        <w:t>instructions from HEH the Nizam’s Govt”</w:t>
      </w:r>
      <w:r w:rsidR="00C51BA5">
        <w:t xml:space="preserve"> and the question of authority </w:t>
      </w:r>
      <w:r w:rsidR="00E32E7D">
        <w:t>from Nizam VII in due course. For the present I will only say that a</w:t>
      </w:r>
      <w:r w:rsidR="006F270E">
        <w:t xml:space="preserve">lthough I have had regard to the </w:t>
      </w:r>
      <w:r w:rsidR="00126A2E">
        <w:t>possibility</w:t>
      </w:r>
      <w:r w:rsidR="006F270E">
        <w:t xml:space="preserve"> that </w:t>
      </w:r>
      <w:r w:rsidR="00126A2E">
        <w:t>there may have been a written authorisation of the Transfer by Nizam VII</w:t>
      </w:r>
      <w:r w:rsidR="00DF4066">
        <w:t>, which has been lost</w:t>
      </w:r>
      <w:r w:rsidR="00E32E7D">
        <w:t xml:space="preserve"> in the course of time</w:t>
      </w:r>
      <w:r w:rsidR="00DF4066">
        <w:t xml:space="preserve">, I consider on balance that there was no such </w:t>
      </w:r>
      <w:r w:rsidR="00DF4066" w:rsidRPr="0045181C">
        <w:rPr>
          <w:u w:val="single"/>
        </w:rPr>
        <w:t>written</w:t>
      </w:r>
      <w:r w:rsidR="00E32E7D">
        <w:t xml:space="preserve"> authorisation</w:t>
      </w:r>
      <w:r w:rsidR="0045181C">
        <w:t xml:space="preserve"> and that is the basis upon which I proceed.</w:t>
      </w:r>
    </w:p>
    <w:p w14:paraId="57E5E33E" w14:textId="77777777" w:rsidR="00E7500D" w:rsidRPr="00C462DB" w:rsidRDefault="00E7500D" w:rsidP="00CA3D9D">
      <w:pPr>
        <w:numPr>
          <w:ilvl w:val="0"/>
          <w:numId w:val="2"/>
        </w:numPr>
        <w:autoSpaceDE w:val="0"/>
        <w:spacing w:before="240" w:after="240"/>
        <w:jc w:val="both"/>
        <w:rPr>
          <w:b/>
          <w:bCs/>
        </w:rPr>
      </w:pPr>
      <w:r w:rsidRPr="00C462DB">
        <w:t xml:space="preserve">Obviously, </w:t>
      </w:r>
      <w:r w:rsidR="003731E6" w:rsidRPr="00C462DB">
        <w:t xml:space="preserve">in order for </w:t>
      </w:r>
      <w:r w:rsidRPr="00C462DB">
        <w:t xml:space="preserve">the Transfer </w:t>
      </w:r>
      <w:r w:rsidR="00822BE3" w:rsidRPr="00C462DB">
        <w:t>to</w:t>
      </w:r>
      <w:r w:rsidRPr="00C462DB">
        <w:t xml:space="preserve"> be effective, </w:t>
      </w:r>
      <w:r w:rsidR="003731E6" w:rsidRPr="00C462DB">
        <w:t xml:space="preserve">both the Bank and the holder of the new account with the Bank needed to be approached. </w:t>
      </w:r>
      <w:r w:rsidR="009A4EA0" w:rsidRPr="00C462DB">
        <w:t xml:space="preserve">Although the letter to the Bank was dated 16 September 1948 – again, conveniently pre-dating Nizam VII’s </w:t>
      </w:r>
      <w:r w:rsidR="00E430D9" w:rsidRPr="00C462DB">
        <w:t>17 September 1948 speech – it was only delivered to the Bank on 20 September 1948.</w:t>
      </w:r>
      <w:r w:rsidR="00E430D9" w:rsidRPr="00C462DB">
        <w:rPr>
          <w:rStyle w:val="FootnoteReference"/>
        </w:rPr>
        <w:footnoteReference w:id="95"/>
      </w:r>
      <w:r w:rsidR="0014366D" w:rsidRPr="00C462DB">
        <w:t xml:space="preserve"> </w:t>
      </w:r>
      <w:r w:rsidR="001C3B78" w:rsidRPr="00C462DB">
        <w:t>I find that this letter could have been written at any time between mid-September and 20 September 1948.</w:t>
      </w:r>
    </w:p>
    <w:p w14:paraId="294BA601" w14:textId="77777777" w:rsidR="000429E9" w:rsidRPr="00C462DB" w:rsidRDefault="00283170" w:rsidP="00CA3D9D">
      <w:pPr>
        <w:numPr>
          <w:ilvl w:val="0"/>
          <w:numId w:val="2"/>
        </w:numPr>
        <w:autoSpaceDE w:val="0"/>
        <w:spacing w:before="240" w:after="240"/>
        <w:jc w:val="both"/>
      </w:pPr>
      <w:r w:rsidRPr="00C462DB">
        <w:t>In terms of the approach to Rahimtoola:</w:t>
      </w:r>
    </w:p>
    <w:p w14:paraId="562C3E17" w14:textId="77777777" w:rsidR="00283170" w:rsidRPr="00C462DB" w:rsidRDefault="00283170" w:rsidP="00283170">
      <w:pPr>
        <w:numPr>
          <w:ilvl w:val="1"/>
          <w:numId w:val="2"/>
        </w:numPr>
        <w:autoSpaceDE w:val="0"/>
        <w:spacing w:before="240" w:after="240"/>
        <w:jc w:val="both"/>
      </w:pPr>
      <w:r w:rsidRPr="00C462DB">
        <w:t xml:space="preserve">I find that </w:t>
      </w:r>
      <w:r w:rsidR="00AC6C33" w:rsidRPr="00C462DB">
        <w:t>it was Moin – and not some other Hyderabad official – who made the approach. This is consistent with the authorship of most of the relevant letters relating to the Transfer</w:t>
      </w:r>
      <w:r w:rsidR="0066392A" w:rsidRPr="00C462DB">
        <w:t xml:space="preserve"> and fits with Rahimtoola’s evidence.</w:t>
      </w:r>
      <w:r w:rsidR="0066392A" w:rsidRPr="00C462DB">
        <w:rPr>
          <w:rStyle w:val="FootnoteReference"/>
        </w:rPr>
        <w:footnoteReference w:id="96"/>
      </w:r>
    </w:p>
    <w:p w14:paraId="7A56EE5D" w14:textId="77777777" w:rsidR="00A74FBA" w:rsidRPr="00C462DB" w:rsidRDefault="00CA4C34" w:rsidP="00283170">
      <w:pPr>
        <w:numPr>
          <w:ilvl w:val="1"/>
          <w:numId w:val="2"/>
        </w:numPr>
        <w:autoSpaceDE w:val="0"/>
        <w:spacing w:before="240" w:after="240"/>
        <w:jc w:val="both"/>
      </w:pPr>
      <w:r w:rsidRPr="00C462DB">
        <w:t xml:space="preserve">I find that Moin had a meeting with </w:t>
      </w:r>
      <w:r w:rsidR="00557A74" w:rsidRPr="00C462DB">
        <w:t>Rahimtoola</w:t>
      </w:r>
      <w:r w:rsidR="00954B69" w:rsidRPr="00C462DB">
        <w:t xml:space="preserve">. Rahimtoola is </w:t>
      </w:r>
      <w:r w:rsidR="00522137">
        <w:t>too</w:t>
      </w:r>
      <w:r w:rsidR="00954B69" w:rsidRPr="00C462DB">
        <w:t xml:space="preserve"> over-emphatic in say</w:t>
      </w:r>
      <w:r w:rsidR="00014E53" w:rsidRPr="00C462DB">
        <w:t>ing how little he knew Moin</w:t>
      </w:r>
      <w:r w:rsidR="006772AE" w:rsidRPr="00C462DB">
        <w:t>.</w:t>
      </w:r>
      <w:r w:rsidR="00014E53" w:rsidRPr="00C462DB">
        <w:rPr>
          <w:rStyle w:val="FootnoteReference"/>
        </w:rPr>
        <w:footnoteReference w:id="97"/>
      </w:r>
      <w:r w:rsidR="005245D6" w:rsidRPr="00C462DB">
        <w:t xml:space="preserve"> I find that they knew </w:t>
      </w:r>
      <w:r w:rsidR="005245D6" w:rsidRPr="00C462DB">
        <w:rPr>
          <w:u w:val="single"/>
        </w:rPr>
        <w:t>of</w:t>
      </w:r>
      <w:r w:rsidR="005245D6" w:rsidRPr="00C462DB">
        <w:t xml:space="preserve"> one-another and </w:t>
      </w:r>
      <w:r w:rsidR="006772AE" w:rsidRPr="00C462DB">
        <w:t xml:space="preserve">would have inter-acted in an official capacity prior to September </w:t>
      </w:r>
      <w:r w:rsidR="00484F5F" w:rsidRPr="00C462DB">
        <w:t>1948. That inter-action may have been slight, but it was enough to secure a meeting.</w:t>
      </w:r>
      <w:r w:rsidR="00C440DB">
        <w:t xml:space="preserve"> </w:t>
      </w:r>
      <w:r w:rsidR="00344C3D">
        <w:t xml:space="preserve">This connection is further evidenced by </w:t>
      </w:r>
      <w:r w:rsidR="00441A02">
        <w:t>the fact that Moin was prepared to contemplate the High Commissioner of Pakistan – Rahimtoola – as a signatory on the Second Account.</w:t>
      </w:r>
      <w:r w:rsidR="00441A02">
        <w:rPr>
          <w:rStyle w:val="FootnoteReference"/>
        </w:rPr>
        <w:footnoteReference w:id="98"/>
      </w:r>
    </w:p>
    <w:p w14:paraId="74036935" w14:textId="77777777" w:rsidR="005D7029" w:rsidRPr="00C462DB" w:rsidRDefault="00A74FBA" w:rsidP="00283170">
      <w:pPr>
        <w:numPr>
          <w:ilvl w:val="1"/>
          <w:numId w:val="2"/>
        </w:numPr>
        <w:autoSpaceDE w:val="0"/>
        <w:spacing w:before="240" w:after="240"/>
        <w:jc w:val="both"/>
      </w:pPr>
      <w:r w:rsidRPr="00C462DB">
        <w:t xml:space="preserve">The contemporaneous documentation does not </w:t>
      </w:r>
      <w:r w:rsidR="00231668">
        <w:t>evidence</w:t>
      </w:r>
      <w:r w:rsidRPr="00C462DB">
        <w:t xml:space="preserve"> a meeting</w:t>
      </w:r>
      <w:r w:rsidR="00231668">
        <w:t xml:space="preserve"> between Moin and Rahimtoola.</w:t>
      </w:r>
      <w:r w:rsidRPr="00C462DB">
        <w:t xml:space="preserve"> </w:t>
      </w:r>
      <w:r w:rsidR="00231668">
        <w:t>T</w:t>
      </w:r>
      <w:r w:rsidRPr="00C462DB">
        <w:t xml:space="preserve">he only evidence in support of </w:t>
      </w:r>
      <w:r w:rsidR="00231668">
        <w:t xml:space="preserve">a meeting </w:t>
      </w:r>
      <w:r w:rsidR="00673E15" w:rsidRPr="00C462DB">
        <w:t xml:space="preserve">is Rahimtoola 2. However, I consider that Rahimtoola’s evidence is </w:t>
      </w:r>
      <w:r w:rsidR="00860FF5" w:rsidRPr="00C462DB">
        <w:t>– broadly speaking – reliable and I find that there was a meeting between Moin, Zafrulla</w:t>
      </w:r>
      <w:r w:rsidR="00E87A39" w:rsidRPr="00C462DB">
        <w:t>h</w:t>
      </w:r>
      <w:r w:rsidR="00860FF5" w:rsidRPr="00C462DB">
        <w:t xml:space="preserve"> and </w:t>
      </w:r>
      <w:r w:rsidR="001F64EA" w:rsidRPr="00C462DB">
        <w:t xml:space="preserve">Rahimtoola at Rahimtoola’s home at 56 Avenue Road, Hampstead. </w:t>
      </w:r>
    </w:p>
    <w:p w14:paraId="41E8072C" w14:textId="77777777" w:rsidR="00CA4C34" w:rsidRPr="00C462DB" w:rsidRDefault="00764933" w:rsidP="00283170">
      <w:pPr>
        <w:numPr>
          <w:ilvl w:val="1"/>
          <w:numId w:val="2"/>
        </w:numPr>
        <w:autoSpaceDE w:val="0"/>
        <w:spacing w:before="240" w:after="240"/>
        <w:jc w:val="both"/>
      </w:pPr>
      <w:r w:rsidRPr="00C462DB">
        <w:t xml:space="preserve">Precisely what was discussed </w:t>
      </w:r>
      <w:r w:rsidR="00231668">
        <w:t xml:space="preserve">at that meeting </w:t>
      </w:r>
      <w:r w:rsidR="005D7029" w:rsidRPr="00C462DB">
        <w:t xml:space="preserve">is harder to make out. I consider </w:t>
      </w:r>
      <w:r w:rsidR="00DB3332" w:rsidRPr="00C462DB">
        <w:t xml:space="preserve">the description of the conversation in paragraph 4 of Rahimtoola 2 to be </w:t>
      </w:r>
      <w:r w:rsidR="00677832" w:rsidRPr="00C462DB">
        <w:t xml:space="preserve">somewhat </w:t>
      </w:r>
      <w:r w:rsidR="00677832" w:rsidRPr="00C462DB">
        <w:lastRenderedPageBreak/>
        <w:t>over-emphatic in terms of the capacity in which Rahimtoola was acting</w:t>
      </w:r>
      <w:r w:rsidR="00A116D4" w:rsidRPr="00C462DB">
        <w:t xml:space="preserve">: since the question of capacity is a central one that I must resolve in this Judgment, I am reluctant to base myself </w:t>
      </w:r>
      <w:r w:rsidR="00F45DA3" w:rsidRPr="00C462DB">
        <w:t xml:space="preserve">on what I find to be a partisan </w:t>
      </w:r>
      <w:r w:rsidR="00893026">
        <w:t xml:space="preserve">– although I accept honestly intended – </w:t>
      </w:r>
      <w:r w:rsidR="00F45DA3" w:rsidRPr="00C462DB">
        <w:t xml:space="preserve">statement made some years after the event </w:t>
      </w:r>
      <w:r w:rsidR="001718EB" w:rsidRPr="00C462DB">
        <w:t xml:space="preserve">that was never tested in cross-examination. Whilst, therefore, </w:t>
      </w:r>
      <w:r w:rsidR="00633028">
        <w:t xml:space="preserve">I find that there </w:t>
      </w:r>
      <w:r w:rsidR="001718EB" w:rsidRPr="00C462DB">
        <w:t xml:space="preserve">was </w:t>
      </w:r>
      <w:r w:rsidR="00E87A39" w:rsidRPr="00C462DB">
        <w:t xml:space="preserve">a conversation between Moin, Zafrullah </w:t>
      </w:r>
      <w:r w:rsidR="00BE1E1F" w:rsidRPr="00C462DB">
        <w:t xml:space="preserve">and Rahimtoola, I am only prepared to find that the substance of that conversation was in accordance with the </w:t>
      </w:r>
      <w:r w:rsidR="00F352A4">
        <w:t xml:space="preserve">tenor of the </w:t>
      </w:r>
      <w:r w:rsidR="00BE1E1F" w:rsidRPr="00C462DB">
        <w:t xml:space="preserve">15 September 1948 letters set out in paragraphs </w:t>
      </w:r>
      <w:r w:rsidR="00356EBF">
        <w:t>108 to 109</w:t>
      </w:r>
      <w:r w:rsidR="00812A1D" w:rsidRPr="00C462DB">
        <w:t xml:space="preserve"> above.</w:t>
      </w:r>
      <w:r w:rsidR="00DF79AA">
        <w:t xml:space="preserve"> It would, in my judgment, be wrong to </w:t>
      </w:r>
      <w:r w:rsidR="00B95485">
        <w:t>find that anything more of substance was said.</w:t>
      </w:r>
    </w:p>
    <w:p w14:paraId="7D67F2A1" w14:textId="77777777" w:rsidR="00812A1D" w:rsidRPr="00C462DB" w:rsidRDefault="00812A1D" w:rsidP="00283170">
      <w:pPr>
        <w:numPr>
          <w:ilvl w:val="1"/>
          <w:numId w:val="2"/>
        </w:numPr>
        <w:autoSpaceDE w:val="0"/>
        <w:spacing w:before="240" w:after="240"/>
        <w:jc w:val="both"/>
      </w:pPr>
      <w:r w:rsidRPr="00C462DB">
        <w:t xml:space="preserve">I find that the </w:t>
      </w:r>
      <w:r w:rsidR="00B13671" w:rsidRPr="00C462DB">
        <w:t>15 September 1948 letters were exchanged at this meeting.</w:t>
      </w:r>
      <w:r w:rsidR="00356EBF">
        <w:rPr>
          <w:rStyle w:val="FootnoteReference"/>
        </w:rPr>
        <w:footnoteReference w:id="99"/>
      </w:r>
      <w:r w:rsidR="00B13671" w:rsidRPr="00C462DB">
        <w:t xml:space="preserve"> Given that Pakistan had these on file</w:t>
      </w:r>
      <w:r w:rsidR="00006F37" w:rsidRPr="00C462DB">
        <w:t>, obviously Rahimtoola would have received and retained copies of both</w:t>
      </w:r>
      <w:r w:rsidR="00B95485">
        <w:t xml:space="preserve">, which would have gone into the High Commission files and then </w:t>
      </w:r>
      <w:r w:rsidR="006E2E45">
        <w:t xml:space="preserve">been </w:t>
      </w:r>
      <w:r w:rsidR="00B95485">
        <w:t xml:space="preserve">copied to </w:t>
      </w:r>
      <w:r w:rsidR="00F51128">
        <w:t>Pakistan</w:t>
      </w:r>
      <w:r w:rsidR="00331011">
        <w:t>’s Ministry of Foreign Affairs</w:t>
      </w:r>
      <w:r w:rsidR="00006F37" w:rsidRPr="00C462DB">
        <w:t>.</w:t>
      </w:r>
      <w:r w:rsidR="00331011">
        <w:rPr>
          <w:rStyle w:val="FootnoteReference"/>
        </w:rPr>
        <w:footnoteReference w:id="100"/>
      </w:r>
      <w:r w:rsidR="00006F37" w:rsidRPr="00C462DB">
        <w:t xml:space="preserve"> Although the letters have not survived, I find it inconceivable that Moin himself did not also retain copies. </w:t>
      </w:r>
      <w:r w:rsidR="007E0E21" w:rsidRPr="00C462DB">
        <w:t xml:space="preserve">Given that </w:t>
      </w:r>
      <w:r w:rsidR="007B2DCD">
        <w:t>both letters bear the same date and that time was extremely short, given events in Hyderabad</w:t>
      </w:r>
      <w:r w:rsidR="007E0E21" w:rsidRPr="00C462DB">
        <w:t>, an exchange of communications at the meeting seems the most likely manner in which these letters were delivered.</w:t>
      </w:r>
    </w:p>
    <w:p w14:paraId="17D40DEA" w14:textId="77777777" w:rsidR="00C83898" w:rsidRPr="00C462DB" w:rsidRDefault="00C83898" w:rsidP="00283170">
      <w:pPr>
        <w:numPr>
          <w:ilvl w:val="1"/>
          <w:numId w:val="2"/>
        </w:numPr>
        <w:autoSpaceDE w:val="0"/>
        <w:spacing w:before="240" w:after="240"/>
        <w:jc w:val="both"/>
      </w:pPr>
      <w:r w:rsidRPr="00C462DB">
        <w:t xml:space="preserve">Although the precise date of the letters may not matter, the date of </w:t>
      </w:r>
      <w:r w:rsidR="003D5BC0">
        <w:t xml:space="preserve">around </w:t>
      </w:r>
      <w:r w:rsidRPr="00C462DB">
        <w:t>15 September 1948</w:t>
      </w:r>
      <w:r w:rsidR="003D5BC0">
        <w:t xml:space="preserve"> for the letters </w:t>
      </w:r>
      <w:r w:rsidRPr="00C462DB">
        <w:t xml:space="preserve">is </w:t>
      </w:r>
      <w:r w:rsidR="004F15E9" w:rsidRPr="00C462DB">
        <w:t>plausible, particularly given the reference to “the situation that is now developing in Hyderabad”</w:t>
      </w:r>
      <w:r w:rsidR="00D91F1F" w:rsidRPr="00C462DB">
        <w:t xml:space="preserve">. Certainly, the letters would have been exchanged in the period between 14 September and 19 September 1948: </w:t>
      </w:r>
      <w:r w:rsidR="00046C69" w:rsidRPr="00C462DB">
        <w:t>I do not consider that Moin would have authorised Khan to approach the Bank without Rahimtoola having been approach</w:t>
      </w:r>
      <w:r w:rsidR="00E54316">
        <w:t>ed</w:t>
      </w:r>
      <w:r w:rsidR="00046C69" w:rsidRPr="00C462DB">
        <w:t xml:space="preserve"> and </w:t>
      </w:r>
      <w:r w:rsidR="00E54316">
        <w:t xml:space="preserve">having </w:t>
      </w:r>
      <w:r w:rsidR="00046C69" w:rsidRPr="00C462DB">
        <w:t>approved the Transfer in terms of the 15 September 1948 letters.</w:t>
      </w:r>
    </w:p>
    <w:p w14:paraId="3D269490" w14:textId="77777777" w:rsidR="00ED17DD" w:rsidRPr="00C462DB" w:rsidRDefault="00ED17DD" w:rsidP="001E4CC6">
      <w:pPr>
        <w:keepNext/>
        <w:tabs>
          <w:tab w:val="left" w:pos="567"/>
        </w:tabs>
        <w:autoSpaceDE w:val="0"/>
        <w:spacing w:before="240" w:after="240"/>
        <w:jc w:val="both"/>
      </w:pPr>
      <w:r w:rsidRPr="00C462DB">
        <w:rPr>
          <w:b/>
          <w:bCs/>
        </w:rPr>
        <w:t>(</w:t>
      </w:r>
      <w:r w:rsidR="00E8612C" w:rsidRPr="00C462DB">
        <w:rPr>
          <w:b/>
          <w:bCs/>
        </w:rPr>
        <w:t>6</w:t>
      </w:r>
      <w:r w:rsidRPr="00C462DB">
        <w:rPr>
          <w:b/>
          <w:bCs/>
        </w:rPr>
        <w:t>)</w:t>
      </w:r>
      <w:r w:rsidRPr="00C462DB">
        <w:rPr>
          <w:b/>
          <w:bCs/>
        </w:rPr>
        <w:tab/>
        <w:t>Attempts to freeze the accounts</w:t>
      </w:r>
    </w:p>
    <w:p w14:paraId="0C1E27E4" w14:textId="77777777" w:rsidR="00961120" w:rsidRPr="00C462DB" w:rsidRDefault="00235BD6" w:rsidP="00E0004C">
      <w:pPr>
        <w:numPr>
          <w:ilvl w:val="0"/>
          <w:numId w:val="2"/>
        </w:numPr>
        <w:autoSpaceDE w:val="0"/>
        <w:spacing w:before="240" w:after="240"/>
        <w:jc w:val="both"/>
      </w:pPr>
      <w:r w:rsidRPr="00C462DB">
        <w:t xml:space="preserve">By a cable dated </w:t>
      </w:r>
      <w:r w:rsidR="00961120" w:rsidRPr="00C462DB">
        <w:t xml:space="preserve">22 September 1948, Gupta instructed </w:t>
      </w:r>
      <w:r w:rsidR="0038783E">
        <w:t>the</w:t>
      </w:r>
      <w:r w:rsidR="00961120" w:rsidRPr="00C462DB">
        <w:t xml:space="preserve"> Bank</w:t>
      </w:r>
      <w:r w:rsidR="0038783E">
        <w:t xml:space="preserve"> as follows</w:t>
      </w:r>
      <w:r w:rsidR="00961120" w:rsidRPr="00C462DB">
        <w:t>:</w:t>
      </w:r>
    </w:p>
    <w:p w14:paraId="7BED058E" w14:textId="77777777" w:rsidR="00961120" w:rsidRPr="00AF1AD0" w:rsidRDefault="009C2A0F" w:rsidP="00961120">
      <w:pPr>
        <w:autoSpaceDE w:val="0"/>
        <w:spacing w:before="240" w:after="240"/>
        <w:ind w:left="567"/>
        <w:jc w:val="both"/>
        <w:rPr>
          <w:sz w:val="22"/>
          <w:szCs w:val="22"/>
        </w:rPr>
      </w:pPr>
      <w:r>
        <w:rPr>
          <w:sz w:val="22"/>
          <w:szCs w:val="22"/>
        </w:rPr>
        <w:t>“Reference your letter…dated 30 October 1947</w:t>
      </w:r>
      <w:r>
        <w:rPr>
          <w:rStyle w:val="FootnoteReference"/>
          <w:sz w:val="22"/>
          <w:szCs w:val="22"/>
        </w:rPr>
        <w:footnoteReference w:id="101"/>
      </w:r>
      <w:r>
        <w:rPr>
          <w:sz w:val="22"/>
          <w:szCs w:val="22"/>
        </w:rPr>
        <w:t xml:space="preserve"> regarding</w:t>
      </w:r>
      <w:r w:rsidR="009568E1">
        <w:rPr>
          <w:sz w:val="22"/>
          <w:szCs w:val="22"/>
        </w:rPr>
        <w:t xml:space="preserve"> two million pounds in fourteen days notice account operated by the Agent General for </w:t>
      </w:r>
      <w:r w:rsidR="00D41FAD">
        <w:rPr>
          <w:sz w:val="22"/>
          <w:szCs w:val="22"/>
        </w:rPr>
        <w:t xml:space="preserve">Hyderabad in London [i.e. Mir] or by </w:t>
      </w:r>
      <w:r w:rsidR="004006DE">
        <w:rPr>
          <w:sz w:val="22"/>
          <w:szCs w:val="22"/>
        </w:rPr>
        <w:t>the Finance Minister Nizam’s Government</w:t>
      </w:r>
      <w:r w:rsidR="00266CE9">
        <w:rPr>
          <w:sz w:val="22"/>
          <w:szCs w:val="22"/>
        </w:rPr>
        <w:t xml:space="preserve"> [i.e. </w:t>
      </w:r>
      <w:r w:rsidR="00101F51">
        <w:rPr>
          <w:sz w:val="22"/>
          <w:szCs w:val="22"/>
        </w:rPr>
        <w:t>Moin</w:t>
      </w:r>
      <w:r w:rsidR="00266CE9">
        <w:rPr>
          <w:sz w:val="22"/>
          <w:szCs w:val="22"/>
        </w:rPr>
        <w:t>]</w:t>
      </w:r>
      <w:r w:rsidR="004006DE">
        <w:rPr>
          <w:sz w:val="22"/>
          <w:szCs w:val="22"/>
        </w:rPr>
        <w:t xml:space="preserve">. Kindly arrange that no withdrawals </w:t>
      </w:r>
      <w:r w:rsidR="00266CE9">
        <w:rPr>
          <w:sz w:val="22"/>
          <w:szCs w:val="22"/>
        </w:rPr>
        <w:t xml:space="preserve">are permitted from this account until further instructions from the </w:t>
      </w:r>
      <w:r w:rsidR="0035460A">
        <w:rPr>
          <w:sz w:val="22"/>
          <w:szCs w:val="22"/>
        </w:rPr>
        <w:t>Financial Secretary Nizam’s Government</w:t>
      </w:r>
      <w:r w:rsidR="00101F51">
        <w:rPr>
          <w:sz w:val="22"/>
          <w:szCs w:val="22"/>
        </w:rPr>
        <w:t xml:space="preserve"> [i.e. Gupta]</w:t>
      </w:r>
      <w:r w:rsidR="0035460A">
        <w:rPr>
          <w:sz w:val="22"/>
          <w:szCs w:val="22"/>
        </w:rPr>
        <w:t>. Letter follows.”</w:t>
      </w:r>
    </w:p>
    <w:p w14:paraId="4EFB0D79" w14:textId="77777777" w:rsidR="00AC117E" w:rsidRDefault="00AC117E" w:rsidP="00E0004C">
      <w:pPr>
        <w:numPr>
          <w:ilvl w:val="0"/>
          <w:numId w:val="2"/>
        </w:numPr>
        <w:autoSpaceDE w:val="0"/>
        <w:spacing w:before="240" w:after="240"/>
        <w:jc w:val="both"/>
      </w:pPr>
      <w:r>
        <w:t xml:space="preserve">Given that </w:t>
      </w:r>
      <w:r w:rsidR="004144BF">
        <w:t xml:space="preserve">Nizam VII’s </w:t>
      </w:r>
      <w:r w:rsidR="00391838">
        <w:t>G</w:t>
      </w:r>
      <w:r w:rsidR="004144BF">
        <w:t>overnment had resigned, it is unclear whether Gupta had the authority to write in these terms</w:t>
      </w:r>
      <w:r w:rsidR="00391838">
        <w:t>, a point made by Mr Qureshi, QC</w:t>
      </w:r>
      <w:r w:rsidR="004144BF">
        <w:t xml:space="preserve">. </w:t>
      </w:r>
      <w:r w:rsidR="00C34CA9">
        <w:t xml:space="preserve">That is a point that I do not have to decide: Gupta’s authority – or otherwise – is not relevant to the issues in these proceedings. What </w:t>
      </w:r>
      <w:r w:rsidR="00C34CA9">
        <w:rPr>
          <w:u w:val="single"/>
        </w:rPr>
        <w:t>is</w:t>
      </w:r>
      <w:r w:rsidR="00C34CA9">
        <w:t xml:space="preserve"> relevant is the fact that Gupta’s actions had the effect of causing the Bank to freeze the </w:t>
      </w:r>
      <w:r w:rsidR="00FB32DA">
        <w:t xml:space="preserve">Rahimtoola </w:t>
      </w:r>
      <w:r w:rsidR="00AC7B8D">
        <w:t>A</w:t>
      </w:r>
      <w:r w:rsidR="00FB32DA">
        <w:t>ccount, as I shall describe.</w:t>
      </w:r>
    </w:p>
    <w:p w14:paraId="1040C296" w14:textId="77777777" w:rsidR="00F222CE" w:rsidRDefault="0021433A" w:rsidP="00E0004C">
      <w:pPr>
        <w:numPr>
          <w:ilvl w:val="0"/>
          <w:numId w:val="2"/>
        </w:numPr>
        <w:autoSpaceDE w:val="0"/>
        <w:spacing w:before="240" w:after="240"/>
        <w:jc w:val="both"/>
      </w:pPr>
      <w:r>
        <w:t xml:space="preserve">On the next day (23 September 1948), </w:t>
      </w:r>
      <w:r w:rsidR="00AC7B8D">
        <w:t>the</w:t>
      </w:r>
      <w:r>
        <w:t xml:space="preserve"> Bank cabled in response:</w:t>
      </w:r>
    </w:p>
    <w:p w14:paraId="1F75AFFD" w14:textId="77777777" w:rsidR="00F222CE" w:rsidRPr="00F222CE" w:rsidRDefault="00F222CE" w:rsidP="00F222CE">
      <w:pPr>
        <w:autoSpaceDE w:val="0"/>
        <w:spacing w:before="240" w:after="240"/>
        <w:ind w:left="567"/>
        <w:jc w:val="both"/>
        <w:rPr>
          <w:sz w:val="22"/>
          <w:szCs w:val="22"/>
        </w:rPr>
      </w:pPr>
      <w:r>
        <w:rPr>
          <w:sz w:val="22"/>
          <w:szCs w:val="22"/>
        </w:rPr>
        <w:t>“Your cable 22</w:t>
      </w:r>
      <w:r w:rsidRPr="00F222CE">
        <w:rPr>
          <w:sz w:val="22"/>
          <w:szCs w:val="22"/>
          <w:vertAlign w:val="superscript"/>
        </w:rPr>
        <w:t>nd</w:t>
      </w:r>
      <w:r>
        <w:rPr>
          <w:sz w:val="22"/>
          <w:szCs w:val="22"/>
        </w:rPr>
        <w:t xml:space="preserve"> received. </w:t>
      </w:r>
      <w:r w:rsidR="001D2225">
        <w:rPr>
          <w:sz w:val="22"/>
          <w:szCs w:val="22"/>
        </w:rPr>
        <w:t xml:space="preserve">On the instructions dated sixteenth September of [Moin] </w:t>
      </w:r>
      <w:r w:rsidR="00814F62">
        <w:rPr>
          <w:sz w:val="22"/>
          <w:szCs w:val="22"/>
        </w:rPr>
        <w:t xml:space="preserve">Finance Minister the balance of the account amounting to 1,007,940 pounds nine shillings (one million </w:t>
      </w:r>
      <w:r w:rsidR="00814F62">
        <w:rPr>
          <w:sz w:val="22"/>
          <w:szCs w:val="22"/>
        </w:rPr>
        <w:lastRenderedPageBreak/>
        <w:t>and seven thousand</w:t>
      </w:r>
      <w:r w:rsidR="008742B3">
        <w:rPr>
          <w:sz w:val="22"/>
          <w:szCs w:val="22"/>
        </w:rPr>
        <w:t xml:space="preserve"> nine hundred and forty poun</w:t>
      </w:r>
      <w:r w:rsidR="00A2429F">
        <w:rPr>
          <w:sz w:val="22"/>
          <w:szCs w:val="22"/>
        </w:rPr>
        <w:t>ds nine shillings)</w:t>
      </w:r>
      <w:r w:rsidR="002C4C7E">
        <w:rPr>
          <w:sz w:val="22"/>
          <w:szCs w:val="22"/>
        </w:rPr>
        <w:t xml:space="preserve"> was transferred </w:t>
      </w:r>
      <w:r w:rsidR="006C2EA2">
        <w:rPr>
          <w:sz w:val="22"/>
          <w:szCs w:val="22"/>
        </w:rPr>
        <w:t xml:space="preserve">on the twentieth September to an account with this bank in the name of Habib </w:t>
      </w:r>
      <w:r w:rsidR="00C54C1E">
        <w:rPr>
          <w:sz w:val="22"/>
          <w:szCs w:val="22"/>
        </w:rPr>
        <w:t>Ibrahim Rahimtoola High Commissioner for Pakistan in London.”</w:t>
      </w:r>
    </w:p>
    <w:p w14:paraId="00ED38EF" w14:textId="77777777" w:rsidR="00E31955" w:rsidRDefault="00F06E98" w:rsidP="00E0004C">
      <w:pPr>
        <w:numPr>
          <w:ilvl w:val="0"/>
          <w:numId w:val="2"/>
        </w:numPr>
        <w:autoSpaceDE w:val="0"/>
        <w:spacing w:before="240" w:after="240"/>
        <w:jc w:val="both"/>
      </w:pPr>
      <w:r>
        <w:t xml:space="preserve">Gupta’s letter – which </w:t>
      </w:r>
      <w:r w:rsidR="007C7234">
        <w:t xml:space="preserve">was dated 23 September 1948, and which must have crossed with </w:t>
      </w:r>
      <w:r w:rsidR="00AC7B8D">
        <w:t>the</w:t>
      </w:r>
      <w:r w:rsidR="007C7234">
        <w:t xml:space="preserve"> Bank’s cable referred to in paragraph </w:t>
      </w:r>
      <w:r w:rsidR="007F0517">
        <w:t>137</w:t>
      </w:r>
      <w:r w:rsidR="007C7234">
        <w:t xml:space="preserve"> above </w:t>
      </w:r>
      <w:r w:rsidR="00651B34">
        <w:t>–</w:t>
      </w:r>
      <w:r w:rsidR="007C7234">
        <w:t xml:space="preserve"> </w:t>
      </w:r>
      <w:r w:rsidR="00651B34">
        <w:t>stated:</w:t>
      </w:r>
    </w:p>
    <w:p w14:paraId="27ADC8E5" w14:textId="77777777" w:rsidR="00E31955" w:rsidRDefault="003528C2" w:rsidP="00E31955">
      <w:pPr>
        <w:autoSpaceDE w:val="0"/>
        <w:spacing w:before="240" w:after="240"/>
        <w:ind w:left="567"/>
        <w:jc w:val="both"/>
        <w:rPr>
          <w:sz w:val="22"/>
          <w:szCs w:val="22"/>
        </w:rPr>
      </w:pPr>
      <w:r>
        <w:rPr>
          <w:sz w:val="22"/>
          <w:szCs w:val="22"/>
        </w:rPr>
        <w:t>“Kindly refer to your letter…dated 30 October 1947,</w:t>
      </w:r>
      <w:r>
        <w:rPr>
          <w:rStyle w:val="FootnoteReference"/>
          <w:sz w:val="22"/>
          <w:szCs w:val="22"/>
        </w:rPr>
        <w:footnoteReference w:id="102"/>
      </w:r>
      <w:r>
        <w:rPr>
          <w:sz w:val="22"/>
          <w:szCs w:val="22"/>
        </w:rPr>
        <w:t xml:space="preserve"> </w:t>
      </w:r>
      <w:r w:rsidR="0037219C">
        <w:rPr>
          <w:sz w:val="22"/>
          <w:szCs w:val="22"/>
        </w:rPr>
        <w:t xml:space="preserve">through which you had acknowledged receipt of instructions to place a sum of £2,000,000 (Two </w:t>
      </w:r>
      <w:r w:rsidR="00380462">
        <w:rPr>
          <w:sz w:val="22"/>
          <w:szCs w:val="22"/>
        </w:rPr>
        <w:t>M</w:t>
      </w:r>
      <w:r w:rsidR="0037219C">
        <w:rPr>
          <w:sz w:val="22"/>
          <w:szCs w:val="22"/>
        </w:rPr>
        <w:t xml:space="preserve">illion </w:t>
      </w:r>
      <w:r w:rsidR="00380462">
        <w:rPr>
          <w:sz w:val="22"/>
          <w:szCs w:val="22"/>
        </w:rPr>
        <w:t>P</w:t>
      </w:r>
      <w:r w:rsidR="0037219C">
        <w:rPr>
          <w:sz w:val="22"/>
          <w:szCs w:val="22"/>
        </w:rPr>
        <w:t>ounds)</w:t>
      </w:r>
      <w:r w:rsidR="00380462">
        <w:rPr>
          <w:sz w:val="22"/>
          <w:szCs w:val="22"/>
        </w:rPr>
        <w:t xml:space="preserve"> which you had received from the Imperial Bank of India, on a deposit account subject to 14 days’ notice of withdrawal</w:t>
      </w:r>
      <w:r w:rsidR="00F4742D">
        <w:rPr>
          <w:sz w:val="22"/>
          <w:szCs w:val="22"/>
        </w:rPr>
        <w:t xml:space="preserve"> and bearing interest at the rate of ½ per cent per annum. It was originally to be operated by [Allan], Managing Director, Hyderabad State Bank. But subsequently </w:t>
      </w:r>
      <w:r w:rsidR="007C577C">
        <w:rPr>
          <w:sz w:val="22"/>
          <w:szCs w:val="22"/>
        </w:rPr>
        <w:t xml:space="preserve">you were instructed by [Allan] to transfer it to a new account opened in the name of H.E.H. the Nizam’s Government </w:t>
      </w:r>
      <w:r w:rsidR="00EF043C">
        <w:rPr>
          <w:sz w:val="22"/>
          <w:szCs w:val="22"/>
        </w:rPr>
        <w:t>to be operated upon either by the Agent General for Hyderabad in London [i.e. Mir]</w:t>
      </w:r>
      <w:r w:rsidR="00BA3413">
        <w:rPr>
          <w:sz w:val="22"/>
          <w:szCs w:val="22"/>
        </w:rPr>
        <w:t xml:space="preserve"> or by the Hon’ble Finance Minister of H.E.H. the Nizam’s Government [i.e. </w:t>
      </w:r>
      <w:r w:rsidR="008C2B8D">
        <w:rPr>
          <w:sz w:val="22"/>
          <w:szCs w:val="22"/>
        </w:rPr>
        <w:t>Moin].</w:t>
      </w:r>
    </w:p>
    <w:p w14:paraId="5100C924" w14:textId="77777777" w:rsidR="008C2B8D" w:rsidRPr="003528C2" w:rsidRDefault="008C2B8D" w:rsidP="00E31955">
      <w:pPr>
        <w:autoSpaceDE w:val="0"/>
        <w:spacing w:before="240" w:after="240"/>
        <w:ind w:left="567"/>
        <w:jc w:val="both"/>
        <w:rPr>
          <w:sz w:val="22"/>
          <w:szCs w:val="22"/>
        </w:rPr>
      </w:pPr>
      <w:r>
        <w:rPr>
          <w:sz w:val="22"/>
          <w:szCs w:val="22"/>
        </w:rPr>
        <w:t xml:space="preserve">I am now to request you kindly to arrange that no further withdrawals </w:t>
      </w:r>
      <w:r w:rsidR="006F3F12">
        <w:rPr>
          <w:sz w:val="22"/>
          <w:szCs w:val="22"/>
        </w:rPr>
        <w:t>are permitted from the above account until further instructions from me.”</w:t>
      </w:r>
    </w:p>
    <w:p w14:paraId="26314827" w14:textId="77777777" w:rsidR="004F146C" w:rsidRPr="004F146C" w:rsidRDefault="004F146C" w:rsidP="00314960">
      <w:pPr>
        <w:numPr>
          <w:ilvl w:val="0"/>
          <w:numId w:val="2"/>
        </w:numPr>
        <w:autoSpaceDE w:val="0"/>
        <w:spacing w:before="240" w:after="240"/>
        <w:jc w:val="both"/>
      </w:pPr>
      <w:r>
        <w:t>It</w:t>
      </w:r>
      <w:r w:rsidR="009F4490">
        <w:t xml:space="preserve"> appears from these communications that </w:t>
      </w:r>
      <w:r w:rsidR="00A813DC">
        <w:t xml:space="preserve">whilst Gupta knew about the Hyderabad Account and </w:t>
      </w:r>
      <w:r w:rsidR="00127736">
        <w:t xml:space="preserve">the transfers to </w:t>
      </w:r>
      <w:r w:rsidR="00A813DC">
        <w:t xml:space="preserve">the Second Account, he </w:t>
      </w:r>
      <w:r>
        <w:t xml:space="preserve">did </w:t>
      </w:r>
      <w:r w:rsidRPr="00127736">
        <w:rPr>
          <w:u w:val="single"/>
        </w:rPr>
        <w:t>not</w:t>
      </w:r>
      <w:r>
        <w:t xml:space="preserve"> know</w:t>
      </w:r>
      <w:r w:rsidR="00A813DC">
        <w:t xml:space="preserve"> a</w:t>
      </w:r>
      <w:r>
        <w:t xml:space="preserve">bout the Transfer to the Rahimtoola </w:t>
      </w:r>
      <w:r w:rsidR="001C1AB0">
        <w:t>A</w:t>
      </w:r>
      <w:r>
        <w:t>ccount</w:t>
      </w:r>
      <w:r w:rsidR="001C1AB0">
        <w:t>. Also, his continued reference to the sum of £2 million strongly suggests that he</w:t>
      </w:r>
      <w:r w:rsidR="00C46F15">
        <w:t xml:space="preserve"> did not know about </w:t>
      </w:r>
      <w:r w:rsidR="001C1AB0">
        <w:t xml:space="preserve">certain payments </w:t>
      </w:r>
      <w:r w:rsidR="00C46F15">
        <w:t>out of the Second Account</w:t>
      </w:r>
      <w:r w:rsidR="003C5F54">
        <w:t>,</w:t>
      </w:r>
      <w:r w:rsidR="001C1AB0">
        <w:t xml:space="preserve"> amounting to nearly £1 million</w:t>
      </w:r>
      <w:r w:rsidR="003C5F54">
        <w:t>. These are the transactions identified in Annex 3 as</w:t>
      </w:r>
      <w:r w:rsidR="003B15C9">
        <w:t xml:space="preserve"> Transactions </w:t>
      </w:r>
      <w:r w:rsidR="00856AD8">
        <w:t xml:space="preserve">3, 4, 6, 7 and </w:t>
      </w:r>
      <w:r w:rsidR="003C5F54">
        <w:t>8, which I consider in greater detail below</w:t>
      </w:r>
      <w:r w:rsidR="001C1AB0">
        <w:t>.</w:t>
      </w:r>
    </w:p>
    <w:p w14:paraId="4BA9C8B3" w14:textId="77777777" w:rsidR="00D811AF" w:rsidRDefault="002B5B89" w:rsidP="00E0004C">
      <w:pPr>
        <w:numPr>
          <w:ilvl w:val="0"/>
          <w:numId w:val="2"/>
        </w:numPr>
        <w:autoSpaceDE w:val="0"/>
        <w:spacing w:before="240" w:after="240"/>
        <w:jc w:val="both"/>
      </w:pPr>
      <w:r>
        <w:t xml:space="preserve">On 27 September 1948, </w:t>
      </w:r>
      <w:r w:rsidR="00871307">
        <w:t xml:space="preserve">a telegram signed by Nizam VII was sent to the Governor General of India </w:t>
      </w:r>
      <w:r w:rsidR="00D811AF">
        <w:t>and the Deputy Prime Minister of India:</w:t>
      </w:r>
    </w:p>
    <w:p w14:paraId="4B854E46" w14:textId="77777777" w:rsidR="00D811AF" w:rsidRDefault="00D811AF" w:rsidP="00D811AF">
      <w:pPr>
        <w:autoSpaceDE w:val="0"/>
        <w:spacing w:before="240" w:after="240"/>
        <w:ind w:left="567"/>
        <w:jc w:val="both"/>
        <w:rPr>
          <w:sz w:val="22"/>
          <w:szCs w:val="22"/>
        </w:rPr>
      </w:pPr>
      <w:r>
        <w:rPr>
          <w:sz w:val="22"/>
          <w:szCs w:val="22"/>
        </w:rPr>
        <w:t>“</w:t>
      </w:r>
      <w:r w:rsidR="001503A1">
        <w:rPr>
          <w:sz w:val="22"/>
          <w:szCs w:val="22"/>
        </w:rPr>
        <w:t xml:space="preserve">Westminster Bank London informs that my ex-Finance Minister [Moin] has unauthorizedly </w:t>
      </w:r>
      <w:r w:rsidR="00275498">
        <w:rPr>
          <w:sz w:val="22"/>
          <w:szCs w:val="22"/>
        </w:rPr>
        <w:t>transferred a sum of rupees [sic: £ sterling is obviously meant] one million and seven thousand nine hundred and forty pounds</w:t>
      </w:r>
      <w:r w:rsidR="006E0BDA">
        <w:rPr>
          <w:sz w:val="22"/>
          <w:szCs w:val="22"/>
        </w:rPr>
        <w:t xml:space="preserve"> nine shillings standing in the bank in the account of the State </w:t>
      </w:r>
      <w:r w:rsidR="000D021F">
        <w:rPr>
          <w:sz w:val="22"/>
          <w:szCs w:val="22"/>
        </w:rPr>
        <w:t xml:space="preserve">to the account of [Rahimtoola] High Commissioner for Pakistan in London in the same bank. Will be grateful </w:t>
      </w:r>
      <w:r w:rsidR="00915FC5">
        <w:rPr>
          <w:sz w:val="22"/>
          <w:szCs w:val="22"/>
        </w:rPr>
        <w:t xml:space="preserve">if you will ask HMG to use their good offices to have the money re-transferred into the account </w:t>
      </w:r>
      <w:r w:rsidR="00242DCC">
        <w:rPr>
          <w:sz w:val="22"/>
          <w:szCs w:val="22"/>
        </w:rPr>
        <w:t>of Hyderabad State in the Bank and if necessary freeze the amount.”</w:t>
      </w:r>
    </w:p>
    <w:p w14:paraId="5418A5B3" w14:textId="77777777" w:rsidR="00242DCC" w:rsidRPr="00242DCC" w:rsidRDefault="00242DCC" w:rsidP="00D811AF">
      <w:pPr>
        <w:autoSpaceDE w:val="0"/>
        <w:spacing w:before="240" w:after="240"/>
        <w:ind w:left="567"/>
        <w:jc w:val="both"/>
      </w:pPr>
      <w:r>
        <w:t>The reference to “HMG” was a reference to Her Majesty’s Government of the U</w:t>
      </w:r>
      <w:r w:rsidR="00DE4667">
        <w:t xml:space="preserve">nited </w:t>
      </w:r>
      <w:r>
        <w:t>K</w:t>
      </w:r>
      <w:r w:rsidR="00DE4667">
        <w:t>ingdom</w:t>
      </w:r>
      <w:r>
        <w:t>.</w:t>
      </w:r>
      <w:r w:rsidR="00E164B1">
        <w:t xml:space="preserve"> The </w:t>
      </w:r>
      <w:r w:rsidR="004649BF">
        <w:t>Governor General – in a cable of the same date (27 September 1948) – requested confirmation of the facts and a cop</w:t>
      </w:r>
      <w:r w:rsidR="003C5567">
        <w:t>y</w:t>
      </w:r>
      <w:r w:rsidR="004649BF">
        <w:t xml:space="preserve"> </w:t>
      </w:r>
      <w:r w:rsidR="002A1909">
        <w:t>of the communication received from Westminster Bank.</w:t>
      </w:r>
      <w:r w:rsidR="003C5567">
        <w:t xml:space="preserve"> Nizam VII replied</w:t>
      </w:r>
      <w:r w:rsidR="002E64DF">
        <w:t xml:space="preserve"> on 28 September 1948.</w:t>
      </w:r>
    </w:p>
    <w:p w14:paraId="5099AECD" w14:textId="77777777" w:rsidR="00B53BF1" w:rsidRDefault="00EF7B42" w:rsidP="00B53BF1">
      <w:pPr>
        <w:numPr>
          <w:ilvl w:val="0"/>
          <w:numId w:val="2"/>
        </w:numPr>
        <w:autoSpaceDE w:val="0"/>
        <w:spacing w:before="240" w:after="240"/>
        <w:jc w:val="both"/>
      </w:pPr>
      <w:r>
        <w:t>At the same time</w:t>
      </w:r>
      <w:r w:rsidR="00344107">
        <w:t>, Nizam VII told Moin to reinstate the money.</w:t>
      </w:r>
      <w:r w:rsidR="005E7448">
        <w:t xml:space="preserve"> That request was made repeatedly.</w:t>
      </w:r>
      <w:r w:rsidR="005E7448">
        <w:rPr>
          <w:rStyle w:val="FootnoteReference"/>
        </w:rPr>
        <w:footnoteReference w:id="103"/>
      </w:r>
    </w:p>
    <w:p w14:paraId="32D3C218" w14:textId="77777777" w:rsidR="00ED17DD" w:rsidRDefault="00B10835" w:rsidP="00E0004C">
      <w:pPr>
        <w:numPr>
          <w:ilvl w:val="0"/>
          <w:numId w:val="2"/>
        </w:numPr>
        <w:autoSpaceDE w:val="0"/>
        <w:spacing w:before="240" w:after="240"/>
        <w:jc w:val="both"/>
      </w:pPr>
      <w:r>
        <w:t>On 28 September 1948, Nizam VII</w:t>
      </w:r>
      <w:r w:rsidR="000B2B7D">
        <w:t xml:space="preserve"> authorised “Mr VK Krishna Menon, High Commissioner for India in London UK to institute </w:t>
      </w:r>
      <w:r w:rsidR="00E11FD4">
        <w:t xml:space="preserve">and conduct legal proceedings on behalf of myself and in any competent court in respect of Rupees [sic] one million and seven thousand </w:t>
      </w:r>
      <w:r w:rsidR="0096678B">
        <w:t>nine hundred and forty pounds nine shillings which was standing in the name of Hyderabad State in the Westminster Bank</w:t>
      </w:r>
      <w:r w:rsidR="003C5567">
        <w:t>, London.”</w:t>
      </w:r>
      <w:r w:rsidR="003D0C75">
        <w:t xml:space="preserve"> This authority was </w:t>
      </w:r>
      <w:r w:rsidR="00786240">
        <w:t xml:space="preserve">set out </w:t>
      </w:r>
      <w:r w:rsidR="00786240">
        <w:lastRenderedPageBreak/>
        <w:t xml:space="preserve">in a formal power of attorney made on 1 October 1948, signed by Nizam VII, and explicitly stating that </w:t>
      </w:r>
      <w:r w:rsidR="00E672C5">
        <w:t>the monies had wrongly been transferred out of the Second Account.</w:t>
      </w:r>
      <w:r w:rsidR="003A25F3">
        <w:rPr>
          <w:rStyle w:val="FootnoteReference"/>
        </w:rPr>
        <w:footnoteReference w:id="104"/>
      </w:r>
    </w:p>
    <w:p w14:paraId="00C9E179" w14:textId="77777777" w:rsidR="00CB5258" w:rsidRDefault="00CB5258" w:rsidP="00E0004C">
      <w:pPr>
        <w:numPr>
          <w:ilvl w:val="0"/>
          <w:numId w:val="2"/>
        </w:numPr>
        <w:autoSpaceDE w:val="0"/>
        <w:spacing w:before="240" w:after="240"/>
        <w:jc w:val="both"/>
      </w:pPr>
      <w:r>
        <w:t xml:space="preserve">Also on 28 September 1948, </w:t>
      </w:r>
      <w:r w:rsidR="0021008B">
        <w:t xml:space="preserve">the following exchange occurred between Gupta and </w:t>
      </w:r>
      <w:r w:rsidR="00BC60E5">
        <w:t>the</w:t>
      </w:r>
      <w:r w:rsidR="0021008B">
        <w:t xml:space="preserve"> Bank. The cable from Gupta to </w:t>
      </w:r>
      <w:r w:rsidR="00BC60E5">
        <w:t>the</w:t>
      </w:r>
      <w:r w:rsidR="0021008B">
        <w:t xml:space="preserve"> Bank read:</w:t>
      </w:r>
    </w:p>
    <w:p w14:paraId="5BDB8EC3" w14:textId="77777777" w:rsidR="00575BB2" w:rsidRPr="00575BB2" w:rsidRDefault="00575BB2" w:rsidP="00575BB2">
      <w:pPr>
        <w:autoSpaceDE w:val="0"/>
        <w:spacing w:before="240" w:after="240"/>
        <w:ind w:left="567"/>
        <w:jc w:val="both"/>
        <w:rPr>
          <w:sz w:val="22"/>
          <w:szCs w:val="22"/>
        </w:rPr>
      </w:pPr>
      <w:r>
        <w:rPr>
          <w:sz w:val="22"/>
          <w:szCs w:val="22"/>
        </w:rPr>
        <w:t>“</w:t>
      </w:r>
      <w:r w:rsidR="00564972">
        <w:rPr>
          <w:sz w:val="22"/>
          <w:szCs w:val="22"/>
        </w:rPr>
        <w:t>Received cable dated 23 September.</w:t>
      </w:r>
      <w:r w:rsidR="00564972">
        <w:rPr>
          <w:rStyle w:val="FootnoteReference"/>
          <w:sz w:val="22"/>
          <w:szCs w:val="22"/>
        </w:rPr>
        <w:footnoteReference w:id="105"/>
      </w:r>
      <w:r w:rsidR="00564972">
        <w:rPr>
          <w:sz w:val="22"/>
          <w:szCs w:val="22"/>
        </w:rPr>
        <w:t xml:space="preserve"> [Moin] </w:t>
      </w:r>
      <w:r w:rsidR="00E70C44">
        <w:rPr>
          <w:sz w:val="22"/>
          <w:szCs w:val="22"/>
        </w:rPr>
        <w:t xml:space="preserve">ex-Finance Minister Hyderabad State had no authority to transfer the amount Nizam Government </w:t>
      </w:r>
      <w:r w:rsidR="00A852E1">
        <w:rPr>
          <w:sz w:val="22"/>
          <w:szCs w:val="22"/>
        </w:rPr>
        <w:t xml:space="preserve">in your bank to be account of Pakistan High Commissioner. Kindly arrange to re-transfer the amount to </w:t>
      </w:r>
      <w:r w:rsidR="00022BCC">
        <w:rPr>
          <w:sz w:val="22"/>
          <w:szCs w:val="22"/>
        </w:rPr>
        <w:t xml:space="preserve">the account of Nizam’s Government. In any case, no operations should kindly be allowed on the above said amount </w:t>
      </w:r>
      <w:r w:rsidR="00222128">
        <w:rPr>
          <w:sz w:val="22"/>
          <w:szCs w:val="22"/>
        </w:rPr>
        <w:t xml:space="preserve">by the Pakistan High Commissioner. If unable for any reasons to retransfer the amount to Nizam’s Government account the amount </w:t>
      </w:r>
      <w:r w:rsidR="00B03ACB">
        <w:rPr>
          <w:sz w:val="22"/>
          <w:szCs w:val="22"/>
        </w:rPr>
        <w:t>may be held in suspense with you pending further action.”</w:t>
      </w:r>
    </w:p>
    <w:p w14:paraId="1100A456" w14:textId="77777777" w:rsidR="001A729D" w:rsidRDefault="00C17637" w:rsidP="00746510">
      <w:pPr>
        <w:autoSpaceDE w:val="0"/>
        <w:spacing w:before="240" w:after="240"/>
        <w:ind w:left="567"/>
        <w:jc w:val="both"/>
      </w:pPr>
      <w:r>
        <w:t>The</w:t>
      </w:r>
      <w:r w:rsidR="00B03ACB">
        <w:t xml:space="preserve"> Bank’s reply was as follows:</w:t>
      </w:r>
    </w:p>
    <w:p w14:paraId="60AD3FD9" w14:textId="77777777" w:rsidR="00746510" w:rsidRDefault="00746510" w:rsidP="00746510">
      <w:pPr>
        <w:autoSpaceDE w:val="0"/>
        <w:spacing w:before="240" w:after="240"/>
        <w:ind w:left="567"/>
        <w:jc w:val="both"/>
        <w:rPr>
          <w:sz w:val="22"/>
          <w:szCs w:val="22"/>
        </w:rPr>
      </w:pPr>
      <w:r>
        <w:rPr>
          <w:sz w:val="22"/>
          <w:szCs w:val="22"/>
        </w:rPr>
        <w:t xml:space="preserve">“Your cable 28 September received. Transfer to account </w:t>
      </w:r>
      <w:r w:rsidR="00417203">
        <w:rPr>
          <w:sz w:val="22"/>
          <w:szCs w:val="22"/>
        </w:rPr>
        <w:t>of Agent General of Pakistan [</w:t>
      </w:r>
      <w:r w:rsidR="00101F51" w:rsidRPr="00101F51">
        <w:rPr>
          <w:i/>
          <w:iCs/>
          <w:sz w:val="22"/>
          <w:szCs w:val="22"/>
        </w:rPr>
        <w:t>sic</w:t>
      </w:r>
      <w:r w:rsidR="00101F51">
        <w:rPr>
          <w:sz w:val="22"/>
          <w:szCs w:val="22"/>
        </w:rPr>
        <w:t xml:space="preserve"> </w:t>
      </w:r>
      <w:r w:rsidR="00417203">
        <w:rPr>
          <w:sz w:val="22"/>
          <w:szCs w:val="22"/>
        </w:rPr>
        <w:t xml:space="preserve">i.e. </w:t>
      </w:r>
      <w:r w:rsidR="00101F51">
        <w:rPr>
          <w:sz w:val="22"/>
          <w:szCs w:val="22"/>
        </w:rPr>
        <w:t>Rahimtoola</w:t>
      </w:r>
      <w:r w:rsidR="00417203">
        <w:rPr>
          <w:sz w:val="22"/>
          <w:szCs w:val="22"/>
        </w:rPr>
        <w:t>] was made by authority of authorised signatory and cannot be re-transferred</w:t>
      </w:r>
      <w:r w:rsidR="006648F0">
        <w:rPr>
          <w:sz w:val="22"/>
          <w:szCs w:val="22"/>
        </w:rPr>
        <w:t xml:space="preserve"> by bank at your request. Amount transferred must remain at disposition </w:t>
      </w:r>
      <w:r w:rsidR="00C50184">
        <w:rPr>
          <w:sz w:val="22"/>
          <w:szCs w:val="22"/>
        </w:rPr>
        <w:t>of Agent General of Pakistan [</w:t>
      </w:r>
      <w:r w:rsidR="00C50184" w:rsidRPr="006C4651">
        <w:rPr>
          <w:i/>
          <w:iCs/>
          <w:sz w:val="22"/>
          <w:szCs w:val="22"/>
        </w:rPr>
        <w:t>sic</w:t>
      </w:r>
      <w:r w:rsidR="00C50184">
        <w:rPr>
          <w:sz w:val="22"/>
          <w:szCs w:val="22"/>
        </w:rPr>
        <w:t>] unless an order is made by British court restraining b</w:t>
      </w:r>
      <w:r w:rsidR="006C4651">
        <w:rPr>
          <w:sz w:val="22"/>
          <w:szCs w:val="22"/>
        </w:rPr>
        <w:t>a</w:t>
      </w:r>
      <w:r w:rsidR="00C50184">
        <w:rPr>
          <w:sz w:val="22"/>
          <w:szCs w:val="22"/>
        </w:rPr>
        <w:t xml:space="preserve">nk </w:t>
      </w:r>
      <w:r w:rsidR="009F6D05">
        <w:rPr>
          <w:sz w:val="22"/>
          <w:szCs w:val="22"/>
        </w:rPr>
        <w:t xml:space="preserve">from parting with the money. It is open to Hyderabad Government to make immediate application to British court </w:t>
      </w:r>
      <w:r w:rsidR="00070856">
        <w:rPr>
          <w:sz w:val="22"/>
          <w:szCs w:val="22"/>
        </w:rPr>
        <w:t>for such an order if they consider such action desirable.”</w:t>
      </w:r>
    </w:p>
    <w:p w14:paraId="7177420B" w14:textId="77777777" w:rsidR="0000710C" w:rsidRPr="00617758" w:rsidRDefault="00421BC4" w:rsidP="0000710C">
      <w:pPr>
        <w:numPr>
          <w:ilvl w:val="0"/>
          <w:numId w:val="2"/>
        </w:numPr>
        <w:autoSpaceDE w:val="0"/>
        <w:spacing w:before="240" w:after="240"/>
        <w:jc w:val="both"/>
        <w:rPr>
          <w:sz w:val="22"/>
          <w:szCs w:val="22"/>
        </w:rPr>
      </w:pPr>
      <w:r>
        <w:t>Pursuant to the request Nizam VII had made to India</w:t>
      </w:r>
      <w:r w:rsidR="00135A08">
        <w:t xml:space="preserve">, India wrote (in a letter </w:t>
      </w:r>
      <w:r w:rsidR="00264C24">
        <w:t xml:space="preserve">dated 29 September 1948, </w:t>
      </w:r>
      <w:r w:rsidR="00135A08">
        <w:t>marked “top secret”</w:t>
      </w:r>
      <w:r w:rsidR="0062554F">
        <w:t>) to the Prime Minister, Mr Attlee, requesting assistance in obtaining the return of the monies transferred to Hyderabad.</w:t>
      </w:r>
      <w:r w:rsidR="005C150F">
        <w:t xml:space="preserve"> The Prime Minister received advice from the Commonwealth Relations Office in Downing Street</w:t>
      </w:r>
      <w:r w:rsidR="0062554F">
        <w:t xml:space="preserve"> </w:t>
      </w:r>
      <w:r w:rsidR="00745E38">
        <w:t xml:space="preserve">on 1 October 1948, and a reply </w:t>
      </w:r>
      <w:r w:rsidR="002150E9">
        <w:t xml:space="preserve">was sent on the same day (1 October 1948) indicating that </w:t>
      </w:r>
      <w:r w:rsidR="0047541E">
        <w:t xml:space="preserve">the United Kingdom Government </w:t>
      </w:r>
      <w:r w:rsidR="002150E9">
        <w:t>was unable to assist.</w:t>
      </w:r>
    </w:p>
    <w:p w14:paraId="072D9483" w14:textId="77777777" w:rsidR="00617758" w:rsidRPr="000F4DB3" w:rsidRDefault="008071C6" w:rsidP="000F4DB3">
      <w:pPr>
        <w:numPr>
          <w:ilvl w:val="0"/>
          <w:numId w:val="2"/>
        </w:numPr>
        <w:autoSpaceDE w:val="0"/>
        <w:spacing w:before="240" w:after="240"/>
        <w:jc w:val="both"/>
      </w:pPr>
      <w:r w:rsidRPr="00462B04">
        <w:t>It is quite clear that</w:t>
      </w:r>
      <w:r w:rsidR="00222AAC" w:rsidRPr="00462B04">
        <w:t xml:space="preserve"> these actions by and on behalf of Nizam VII were being directed by India. </w:t>
      </w:r>
      <w:r w:rsidR="00685F9B" w:rsidRPr="00462B04">
        <w:t xml:space="preserve">I was shown various internal communications of India considering what steps the Nizam should take </w:t>
      </w:r>
      <w:r w:rsidR="00F21A73" w:rsidRPr="00462B04">
        <w:t>in order to recover the Fund.</w:t>
      </w:r>
      <w:r w:rsidR="00FA35D5">
        <w:t xml:space="preserve"> </w:t>
      </w:r>
      <w:r w:rsidR="00162AC5">
        <w:t xml:space="preserve">I consider later whether Nizam VII was acting willingly in seeking recovery of the Fund or whether – as Pakistan </w:t>
      </w:r>
      <w:r w:rsidR="004D38D3">
        <w:t xml:space="preserve">contended – he was acting under duress. What is clear is that whether he was doing so willingly or not, Nizam VII was </w:t>
      </w:r>
      <w:r w:rsidR="00657B6D">
        <w:t>prepared to be directed by India in what he did.</w:t>
      </w:r>
    </w:p>
    <w:p w14:paraId="7AA72A72" w14:textId="77777777" w:rsidR="00E11D08" w:rsidRPr="00731246" w:rsidRDefault="00EA1737" w:rsidP="00731246">
      <w:pPr>
        <w:numPr>
          <w:ilvl w:val="0"/>
          <w:numId w:val="2"/>
        </w:numPr>
        <w:autoSpaceDE w:val="0"/>
        <w:spacing w:before="240" w:after="240"/>
        <w:jc w:val="both"/>
        <w:rPr>
          <w:sz w:val="22"/>
          <w:szCs w:val="22"/>
        </w:rPr>
      </w:pPr>
      <w:r>
        <w:t xml:space="preserve">As I have described, Nizam VII’s efforts to recover the monies were unsuccessful. </w:t>
      </w:r>
      <w:r w:rsidR="00BC1BF9">
        <w:t xml:space="preserve">However, </w:t>
      </w:r>
      <w:r w:rsidR="006C4651">
        <w:t>his</w:t>
      </w:r>
      <w:r w:rsidR="00BC1BF9">
        <w:t xml:space="preserve"> efforts</w:t>
      </w:r>
      <w:r w:rsidR="006C4651">
        <w:t xml:space="preserve"> (and those of others, like Gupta and India itself)</w:t>
      </w:r>
      <w:r w:rsidR="00BC1BF9">
        <w:t xml:space="preserve"> were sufficient to </w:t>
      </w:r>
      <w:r w:rsidR="00956347">
        <w:t xml:space="preserve">cause the Bank to </w:t>
      </w:r>
      <w:r w:rsidR="00BC1BF9">
        <w:t>freeze the Rahimtoola Account</w:t>
      </w:r>
      <w:r w:rsidR="004A2AB2">
        <w:t xml:space="preserve"> and to adopt the position of an interpleader or stakeholder</w:t>
      </w:r>
      <w:r w:rsidR="00822EEB">
        <w:t>, so that neither Rahimtoola himself – nor anybody else – could deal with the Fund</w:t>
      </w:r>
      <w:r w:rsidR="004A2AB2">
        <w:t xml:space="preserve"> without an order of the Court</w:t>
      </w:r>
      <w:r w:rsidR="00822EEB">
        <w:t>.</w:t>
      </w:r>
    </w:p>
    <w:p w14:paraId="7A1454D7" w14:textId="77777777" w:rsidR="004F5854" w:rsidRPr="004F5854" w:rsidRDefault="00904F14" w:rsidP="0047541E">
      <w:pPr>
        <w:keepNext/>
        <w:tabs>
          <w:tab w:val="left" w:pos="567"/>
        </w:tabs>
        <w:autoSpaceDE w:val="0"/>
        <w:spacing w:before="240" w:after="240"/>
        <w:jc w:val="both"/>
        <w:rPr>
          <w:b/>
          <w:bCs/>
        </w:rPr>
      </w:pPr>
      <w:r>
        <w:rPr>
          <w:b/>
          <w:bCs/>
        </w:rPr>
        <w:t>E</w:t>
      </w:r>
      <w:r w:rsidR="00C120A6">
        <w:rPr>
          <w:b/>
          <w:bCs/>
        </w:rPr>
        <w:t>.</w:t>
      </w:r>
      <w:r w:rsidR="0057191B">
        <w:rPr>
          <w:b/>
          <w:bCs/>
        </w:rPr>
        <w:tab/>
      </w:r>
      <w:r w:rsidR="00C120A6">
        <w:rPr>
          <w:b/>
          <w:bCs/>
        </w:rPr>
        <w:t>EVENTS POST-DATING THE TRANSFER</w:t>
      </w:r>
    </w:p>
    <w:p w14:paraId="7907BF01" w14:textId="77777777" w:rsidR="002617DD" w:rsidRPr="002617DD" w:rsidRDefault="002617DD" w:rsidP="0047541E">
      <w:pPr>
        <w:keepNext/>
        <w:tabs>
          <w:tab w:val="left" w:pos="567"/>
        </w:tabs>
        <w:autoSpaceDE w:val="0"/>
        <w:spacing w:before="240" w:after="240"/>
        <w:jc w:val="both"/>
        <w:rPr>
          <w:b/>
          <w:bCs/>
        </w:rPr>
      </w:pPr>
      <w:r>
        <w:rPr>
          <w:b/>
          <w:bCs/>
        </w:rPr>
        <w:t>(</w:t>
      </w:r>
      <w:r w:rsidR="00454247">
        <w:rPr>
          <w:b/>
          <w:bCs/>
        </w:rPr>
        <w:t>1</w:t>
      </w:r>
      <w:r>
        <w:rPr>
          <w:b/>
          <w:bCs/>
        </w:rPr>
        <w:t>)</w:t>
      </w:r>
      <w:r>
        <w:rPr>
          <w:b/>
          <w:bCs/>
        </w:rPr>
        <w:tab/>
      </w:r>
      <w:r w:rsidR="006907A6">
        <w:rPr>
          <w:b/>
          <w:bCs/>
        </w:rPr>
        <w:t>Introduction</w:t>
      </w:r>
    </w:p>
    <w:p w14:paraId="39376FCA" w14:textId="77777777" w:rsidR="0057191B" w:rsidRDefault="006907A6" w:rsidP="00FD717C">
      <w:pPr>
        <w:numPr>
          <w:ilvl w:val="0"/>
          <w:numId w:val="2"/>
        </w:numPr>
        <w:autoSpaceDE w:val="0"/>
        <w:spacing w:before="240" w:after="240"/>
        <w:jc w:val="both"/>
      </w:pPr>
      <w:r>
        <w:t xml:space="preserve">The following is not intended to be a comprehensive statement of what happened after the Transfer. </w:t>
      </w:r>
      <w:r w:rsidR="001F2612">
        <w:t xml:space="preserve">Essentially, </w:t>
      </w:r>
      <w:r w:rsidR="00DF1C33">
        <w:t xml:space="preserve">for </w:t>
      </w:r>
      <w:r w:rsidR="00632E4F">
        <w:t xml:space="preserve">nearly seven decades, there was a </w:t>
      </w:r>
      <w:r w:rsidR="00C120A6">
        <w:t>stalemate</w:t>
      </w:r>
      <w:r w:rsidR="00632E4F">
        <w:t xml:space="preserve"> regarding the </w:t>
      </w:r>
      <w:r w:rsidR="00632E4F">
        <w:lastRenderedPageBreak/>
        <w:t>Fund</w:t>
      </w:r>
      <w:r w:rsidR="00C569F3">
        <w:t>, which only ended in 2013, when Pakistan commenced the present proceedings.</w:t>
      </w:r>
      <w:r w:rsidR="00E92793">
        <w:t xml:space="preserve"> However, there are some matters that do need to be described, notably:</w:t>
      </w:r>
    </w:p>
    <w:p w14:paraId="1EC87DEA" w14:textId="77777777" w:rsidR="00E92793" w:rsidRDefault="00BA166B" w:rsidP="00E92793">
      <w:pPr>
        <w:numPr>
          <w:ilvl w:val="1"/>
          <w:numId w:val="2"/>
        </w:numPr>
        <w:autoSpaceDE w:val="0"/>
        <w:spacing w:before="240" w:after="240"/>
        <w:jc w:val="both"/>
      </w:pPr>
      <w:r>
        <w:t>The significance of the appointment of a new High Commissioner for Pakistan</w:t>
      </w:r>
      <w:r w:rsidR="00C629ED">
        <w:t>,</w:t>
      </w:r>
      <w:r w:rsidR="005B548D">
        <w:t xml:space="preserve"> M</w:t>
      </w:r>
      <w:r w:rsidR="00401F97">
        <w:t xml:space="preserve">irza </w:t>
      </w:r>
      <w:r w:rsidR="005E13BF">
        <w:t xml:space="preserve">Abol </w:t>
      </w:r>
      <w:r w:rsidR="005B548D">
        <w:t>H</w:t>
      </w:r>
      <w:r w:rsidR="00E322FE">
        <w:t>assan</w:t>
      </w:r>
      <w:r w:rsidR="005B548D">
        <w:t xml:space="preserve"> Ispahani</w:t>
      </w:r>
      <w:r w:rsidR="00155FA3">
        <w:t xml:space="preserve"> (</w:t>
      </w:r>
      <w:r w:rsidR="00155FA3">
        <w:rPr>
          <w:b/>
          <w:bCs/>
        </w:rPr>
        <w:t>Ispahani</w:t>
      </w:r>
      <w:r w:rsidR="00155FA3">
        <w:t>)</w:t>
      </w:r>
      <w:r w:rsidR="005B548D">
        <w:t>,</w:t>
      </w:r>
      <w:r w:rsidR="007019C7">
        <w:t xml:space="preserve"> in succession to Rahimtoola: Section </w:t>
      </w:r>
      <w:r w:rsidR="0026703C">
        <w:t>E</w:t>
      </w:r>
      <w:r w:rsidR="007019C7">
        <w:t>(2) below.</w:t>
      </w:r>
    </w:p>
    <w:p w14:paraId="0C933235" w14:textId="77777777" w:rsidR="007019C7" w:rsidRDefault="00F35E0F" w:rsidP="00E92793">
      <w:pPr>
        <w:numPr>
          <w:ilvl w:val="1"/>
          <w:numId w:val="2"/>
        </w:numPr>
        <w:autoSpaceDE w:val="0"/>
        <w:spacing w:before="240" w:after="240"/>
        <w:jc w:val="both"/>
      </w:pPr>
      <w:r>
        <w:t xml:space="preserve">The 23 May </w:t>
      </w:r>
      <w:r w:rsidR="00120109">
        <w:t xml:space="preserve">1953 letter to Ispahani (the </w:t>
      </w:r>
      <w:r w:rsidR="00120109">
        <w:rPr>
          <w:b/>
          <w:bCs/>
        </w:rPr>
        <w:t>Ispahani letter</w:t>
      </w:r>
      <w:r w:rsidR="00120109">
        <w:t>)</w:t>
      </w:r>
      <w:r w:rsidR="009B57AD">
        <w:t xml:space="preserve">: Section </w:t>
      </w:r>
      <w:r w:rsidR="00ED1ED2">
        <w:t>E</w:t>
      </w:r>
      <w:r w:rsidR="009B57AD">
        <w:t>(3) below.</w:t>
      </w:r>
    </w:p>
    <w:p w14:paraId="05F9D793" w14:textId="77777777" w:rsidR="00F023E2" w:rsidRDefault="00F023E2" w:rsidP="00E92793">
      <w:pPr>
        <w:numPr>
          <w:ilvl w:val="1"/>
          <w:numId w:val="2"/>
        </w:numPr>
        <w:autoSpaceDE w:val="0"/>
        <w:spacing w:before="240" w:after="240"/>
        <w:jc w:val="both"/>
      </w:pPr>
      <w:r>
        <w:t xml:space="preserve">The 1954 Proceedings: Section </w:t>
      </w:r>
      <w:r w:rsidR="00ED1ED2">
        <w:t>E</w:t>
      </w:r>
      <w:r>
        <w:t>(4) below.</w:t>
      </w:r>
    </w:p>
    <w:p w14:paraId="5CCFDE58" w14:textId="77777777" w:rsidR="00F023E2" w:rsidRDefault="00E61C25" w:rsidP="00E92793">
      <w:pPr>
        <w:numPr>
          <w:ilvl w:val="1"/>
          <w:numId w:val="2"/>
        </w:numPr>
        <w:autoSpaceDE w:val="0"/>
        <w:spacing w:before="240" w:after="240"/>
        <w:jc w:val="both"/>
      </w:pPr>
      <w:r>
        <w:t xml:space="preserve">An assignment, by way of a </w:t>
      </w:r>
      <w:r w:rsidR="00E70332">
        <w:t xml:space="preserve">deed dated 27 October 1956, </w:t>
      </w:r>
      <w:r>
        <w:t xml:space="preserve">whereby </w:t>
      </w:r>
      <w:r w:rsidR="00E70332">
        <w:t xml:space="preserve">the State of Hyderabad assigned to Nizam VII all of its interest in the Fund (the </w:t>
      </w:r>
      <w:r w:rsidR="00E70332">
        <w:rPr>
          <w:b/>
          <w:bCs/>
        </w:rPr>
        <w:t>1956 Assignment</w:t>
      </w:r>
      <w:r w:rsidR="00E70332">
        <w:t>)</w:t>
      </w:r>
      <w:r>
        <w:t xml:space="preserve">: Section </w:t>
      </w:r>
      <w:r w:rsidR="00ED1ED2">
        <w:t>E</w:t>
      </w:r>
      <w:r>
        <w:t>(5) below.</w:t>
      </w:r>
    </w:p>
    <w:p w14:paraId="2D91BBCC" w14:textId="77777777" w:rsidR="00405A7A" w:rsidRDefault="00405A7A" w:rsidP="00E92793">
      <w:pPr>
        <w:numPr>
          <w:ilvl w:val="1"/>
          <w:numId w:val="2"/>
        </w:numPr>
        <w:autoSpaceDE w:val="0"/>
        <w:spacing w:before="240" w:after="240"/>
        <w:jc w:val="both"/>
      </w:pPr>
      <w:r>
        <w:t>Various subsequent deal</w:t>
      </w:r>
      <w:r w:rsidR="00DC3983">
        <w:t>ing</w:t>
      </w:r>
      <w:r>
        <w:t xml:space="preserve">s </w:t>
      </w:r>
      <w:r w:rsidR="00DC3983">
        <w:t xml:space="preserve">(or purported dealings) </w:t>
      </w:r>
      <w:r>
        <w:t xml:space="preserve">with the equitable interest </w:t>
      </w:r>
      <w:r w:rsidR="00DC3983">
        <w:t xml:space="preserve">in the Fund: Section </w:t>
      </w:r>
      <w:r w:rsidR="00ED1ED2">
        <w:t>E</w:t>
      </w:r>
      <w:r w:rsidR="00DC3983">
        <w:t>(6) below</w:t>
      </w:r>
      <w:r w:rsidR="000D054D">
        <w:t>.</w:t>
      </w:r>
    </w:p>
    <w:p w14:paraId="4ADE552E" w14:textId="77777777" w:rsidR="0057191B" w:rsidRDefault="0057191B" w:rsidP="00B03EAC">
      <w:pPr>
        <w:keepNext/>
        <w:tabs>
          <w:tab w:val="left" w:pos="567"/>
        </w:tabs>
        <w:autoSpaceDE w:val="0"/>
        <w:spacing w:before="240" w:after="240"/>
        <w:jc w:val="both"/>
      </w:pPr>
      <w:r>
        <w:rPr>
          <w:b/>
          <w:bCs/>
        </w:rPr>
        <w:t>(</w:t>
      </w:r>
      <w:r w:rsidR="00454247">
        <w:rPr>
          <w:b/>
          <w:bCs/>
        </w:rPr>
        <w:t>2</w:t>
      </w:r>
      <w:r>
        <w:rPr>
          <w:b/>
          <w:bCs/>
        </w:rPr>
        <w:t>)</w:t>
      </w:r>
      <w:r>
        <w:rPr>
          <w:b/>
          <w:bCs/>
        </w:rPr>
        <w:tab/>
        <w:t>Appointment of a new High Commissioner for Pakistan</w:t>
      </w:r>
    </w:p>
    <w:p w14:paraId="4E7697E8" w14:textId="77777777" w:rsidR="00AC6C2D" w:rsidRDefault="004F5854" w:rsidP="00D44E32">
      <w:pPr>
        <w:numPr>
          <w:ilvl w:val="0"/>
          <w:numId w:val="2"/>
        </w:numPr>
        <w:autoSpaceDE w:val="0"/>
        <w:spacing w:before="240" w:after="240"/>
        <w:jc w:val="both"/>
      </w:pPr>
      <w:r>
        <w:t>In 1952</w:t>
      </w:r>
      <w:r w:rsidR="00A950F6">
        <w:t xml:space="preserve">, </w:t>
      </w:r>
      <w:r w:rsidR="007C00EC">
        <w:t>Isp</w:t>
      </w:r>
      <w:r w:rsidR="009308D3">
        <w:t>a</w:t>
      </w:r>
      <w:r w:rsidR="007B30D3">
        <w:t xml:space="preserve">hani </w:t>
      </w:r>
      <w:r w:rsidR="009308D3">
        <w:t>was appointed High Commissioner for Pakistan in succession to Rahimtoola.</w:t>
      </w:r>
      <w:r w:rsidR="00056888">
        <w:t xml:space="preserve"> </w:t>
      </w:r>
      <w:r w:rsidR="006C7624">
        <w:t>The</w:t>
      </w:r>
      <w:r w:rsidR="00056888">
        <w:t xml:space="preserve"> Bank was naturally </w:t>
      </w:r>
      <w:r w:rsidR="003A536A">
        <w:t xml:space="preserve">concerned </w:t>
      </w:r>
      <w:r w:rsidR="005750D3">
        <w:t>how this might affect the Rahimtoola Account</w:t>
      </w:r>
      <w:r w:rsidR="002E6844">
        <w:t xml:space="preserve">. In a letter dated 2 January 1952, </w:t>
      </w:r>
      <w:r w:rsidR="004D2F74">
        <w:t xml:space="preserve">the </w:t>
      </w:r>
      <w:r w:rsidR="00891F01">
        <w:t>B</w:t>
      </w:r>
      <w:r w:rsidR="004D2F74">
        <w:t xml:space="preserve">ank </w:t>
      </w:r>
      <w:r w:rsidR="009F4B93" w:rsidRPr="006C7B19">
        <w:t>note</w:t>
      </w:r>
      <w:r w:rsidR="003B398A" w:rsidRPr="006C7B19">
        <w:t>d</w:t>
      </w:r>
      <w:r w:rsidR="004D2F74" w:rsidRPr="006C7B19">
        <w:t>:</w:t>
      </w:r>
    </w:p>
    <w:p w14:paraId="36AE8316" w14:textId="77777777" w:rsidR="00A37DF2" w:rsidRPr="00B36B5B" w:rsidRDefault="00A37DF2" w:rsidP="00A37DF2">
      <w:pPr>
        <w:autoSpaceDE w:val="0"/>
        <w:spacing w:before="240" w:after="240"/>
        <w:ind w:left="567"/>
        <w:jc w:val="both"/>
        <w:rPr>
          <w:sz w:val="22"/>
          <w:szCs w:val="22"/>
        </w:rPr>
      </w:pPr>
      <w:r>
        <w:rPr>
          <w:sz w:val="22"/>
          <w:szCs w:val="22"/>
        </w:rPr>
        <w:t>“</w:t>
      </w:r>
      <w:r w:rsidR="004B0A16">
        <w:rPr>
          <w:sz w:val="22"/>
          <w:szCs w:val="22"/>
        </w:rPr>
        <w:t xml:space="preserve">According </w:t>
      </w:r>
      <w:r w:rsidR="00B36B5B">
        <w:rPr>
          <w:sz w:val="22"/>
          <w:szCs w:val="22"/>
        </w:rPr>
        <w:t xml:space="preserve">to a report in yesterday’s </w:t>
      </w:r>
      <w:r w:rsidR="00B36B5B">
        <w:rPr>
          <w:i/>
          <w:iCs/>
          <w:sz w:val="22"/>
          <w:szCs w:val="22"/>
        </w:rPr>
        <w:t>Daily Telegraph</w:t>
      </w:r>
      <w:r w:rsidR="00DA1F2B">
        <w:rPr>
          <w:sz w:val="22"/>
          <w:szCs w:val="22"/>
        </w:rPr>
        <w:t>, Mr Ispa</w:t>
      </w:r>
      <w:r w:rsidR="006F4CC2">
        <w:rPr>
          <w:sz w:val="22"/>
          <w:szCs w:val="22"/>
        </w:rPr>
        <w:t xml:space="preserve">hani, who has been Pakistani Ambassador to the United States for the past four years, has been appointed High Commissioner in London. This means </w:t>
      </w:r>
      <w:r w:rsidR="00487558">
        <w:rPr>
          <w:sz w:val="22"/>
          <w:szCs w:val="22"/>
        </w:rPr>
        <w:t xml:space="preserve">that he will be taking the place </w:t>
      </w:r>
      <w:r w:rsidR="002A22CA">
        <w:rPr>
          <w:sz w:val="22"/>
          <w:szCs w:val="22"/>
        </w:rPr>
        <w:t xml:space="preserve">of Mr HI Rahimtoola, in whose name as High Commissioner </w:t>
      </w:r>
      <w:r w:rsidR="008E795B">
        <w:rPr>
          <w:sz w:val="22"/>
          <w:szCs w:val="22"/>
        </w:rPr>
        <w:t xml:space="preserve">we have a very important deposit account here, which however is conducted under legal guidance </w:t>
      </w:r>
      <w:r w:rsidR="00A27997">
        <w:rPr>
          <w:sz w:val="22"/>
          <w:szCs w:val="22"/>
        </w:rPr>
        <w:t xml:space="preserve">owing to the possibility </w:t>
      </w:r>
      <w:r w:rsidR="00FF3553">
        <w:rPr>
          <w:sz w:val="22"/>
          <w:szCs w:val="22"/>
        </w:rPr>
        <w:t xml:space="preserve">of a dispute </w:t>
      </w:r>
      <w:r w:rsidR="007D550A">
        <w:rPr>
          <w:sz w:val="22"/>
          <w:szCs w:val="22"/>
        </w:rPr>
        <w:t>between Pakistan and India which might affect it.”</w:t>
      </w:r>
    </w:p>
    <w:p w14:paraId="5FE7BABB" w14:textId="77777777" w:rsidR="00A37DF2" w:rsidRDefault="009F4B93" w:rsidP="00D44E32">
      <w:pPr>
        <w:numPr>
          <w:ilvl w:val="0"/>
          <w:numId w:val="2"/>
        </w:numPr>
        <w:autoSpaceDE w:val="0"/>
        <w:spacing w:before="240" w:after="240"/>
        <w:jc w:val="both"/>
      </w:pPr>
      <w:r>
        <w:t>The</w:t>
      </w:r>
      <w:r w:rsidR="00BA1FBB">
        <w:t xml:space="preserve"> Bank </w:t>
      </w:r>
      <w:r w:rsidR="00DE6E2C">
        <w:t xml:space="preserve">considered that </w:t>
      </w:r>
      <w:r w:rsidR="00323196">
        <w:t>if time allowed</w:t>
      </w:r>
      <w:r w:rsidR="002B13B3">
        <w:t xml:space="preserve"> before his departure</w:t>
      </w:r>
      <w:r w:rsidR="00323196">
        <w:t xml:space="preserve">, </w:t>
      </w:r>
      <w:r w:rsidR="00D3793F">
        <w:t>the Chairman of the Bank</w:t>
      </w:r>
      <w:r w:rsidR="002B13B3">
        <w:t xml:space="preserve"> </w:t>
      </w:r>
      <w:r w:rsidR="009E0172">
        <w:t xml:space="preserve">(Lord Aldenham) </w:t>
      </w:r>
      <w:r w:rsidR="002B13B3">
        <w:t>should seek to hav</w:t>
      </w:r>
      <w:r w:rsidR="00011E8A">
        <w:t>e</w:t>
      </w:r>
      <w:r w:rsidR="002B13B3">
        <w:t xml:space="preserve"> lunch with Rahimtoola</w:t>
      </w:r>
      <w:r w:rsidR="00011E8A">
        <w:t>.</w:t>
      </w:r>
      <w:r w:rsidR="00011E8A">
        <w:rPr>
          <w:rStyle w:val="FootnoteReference"/>
        </w:rPr>
        <w:footnoteReference w:id="106"/>
      </w:r>
      <w:r w:rsidR="009E0172">
        <w:t xml:space="preserve"> </w:t>
      </w:r>
      <w:r w:rsidR="00D2008B">
        <w:t>The lunchtime meeting took place</w:t>
      </w:r>
      <w:r w:rsidR="007044C3">
        <w:t>, and the following memorandum recorded part of what was said:</w:t>
      </w:r>
    </w:p>
    <w:p w14:paraId="57F38CAC" w14:textId="77777777" w:rsidR="00631633" w:rsidRDefault="007044C3" w:rsidP="007044C3">
      <w:pPr>
        <w:autoSpaceDE w:val="0"/>
        <w:spacing w:before="240" w:after="240"/>
        <w:ind w:left="567"/>
        <w:jc w:val="both"/>
        <w:rPr>
          <w:sz w:val="22"/>
          <w:szCs w:val="22"/>
        </w:rPr>
      </w:pPr>
      <w:r>
        <w:rPr>
          <w:sz w:val="22"/>
          <w:szCs w:val="22"/>
        </w:rPr>
        <w:t>“Mr Rahimtoola came to lunch with the Chairman last Thursday</w:t>
      </w:r>
      <w:r w:rsidR="00326925">
        <w:rPr>
          <w:sz w:val="22"/>
          <w:szCs w:val="22"/>
        </w:rPr>
        <w:t xml:space="preserve">, 24 instant. I asked Lord Aldenham today </w:t>
      </w:r>
      <w:r w:rsidR="00BC0DE0">
        <w:rPr>
          <w:sz w:val="22"/>
          <w:szCs w:val="22"/>
        </w:rPr>
        <w:t xml:space="preserve">whether any reference had been made </w:t>
      </w:r>
      <w:r w:rsidR="0088674F">
        <w:rPr>
          <w:sz w:val="22"/>
          <w:szCs w:val="22"/>
        </w:rPr>
        <w:t xml:space="preserve">to the account of over £1 million opened by H.E.H. The Nizam’s Government </w:t>
      </w:r>
      <w:r w:rsidR="005E7E71">
        <w:rPr>
          <w:sz w:val="22"/>
          <w:szCs w:val="22"/>
        </w:rPr>
        <w:t>in favour of HI Rahimtoola</w:t>
      </w:r>
      <w:r w:rsidR="00DD4683">
        <w:rPr>
          <w:sz w:val="22"/>
          <w:szCs w:val="22"/>
        </w:rPr>
        <w:t>.</w:t>
      </w:r>
      <w:r w:rsidR="00A87D47">
        <w:rPr>
          <w:sz w:val="22"/>
          <w:szCs w:val="22"/>
        </w:rPr>
        <w:t xml:space="preserve"> He said </w:t>
      </w:r>
      <w:r w:rsidR="00CC0368">
        <w:rPr>
          <w:sz w:val="22"/>
          <w:szCs w:val="22"/>
        </w:rPr>
        <w:t>that Mr Rahi</w:t>
      </w:r>
      <w:r w:rsidR="0099131C">
        <w:rPr>
          <w:sz w:val="22"/>
          <w:szCs w:val="22"/>
        </w:rPr>
        <w:t>m</w:t>
      </w:r>
      <w:r w:rsidR="00CC0368">
        <w:rPr>
          <w:sz w:val="22"/>
          <w:szCs w:val="22"/>
        </w:rPr>
        <w:t>toola had referred to it quite casually</w:t>
      </w:r>
      <w:r w:rsidR="008D37EE">
        <w:rPr>
          <w:sz w:val="22"/>
          <w:szCs w:val="22"/>
        </w:rPr>
        <w:t xml:space="preserve"> and seemed to regard it</w:t>
      </w:r>
      <w:r w:rsidR="00C22692">
        <w:rPr>
          <w:sz w:val="22"/>
          <w:szCs w:val="22"/>
        </w:rPr>
        <w:t xml:space="preserve"> at </w:t>
      </w:r>
      <w:r w:rsidR="0009391C">
        <w:rPr>
          <w:sz w:val="22"/>
          <w:szCs w:val="22"/>
        </w:rPr>
        <w:t>his own personal</w:t>
      </w:r>
      <w:r w:rsidR="00060D7F">
        <w:rPr>
          <w:sz w:val="22"/>
          <w:szCs w:val="22"/>
        </w:rPr>
        <w:t xml:space="preserve"> disposition</w:t>
      </w:r>
      <w:r w:rsidR="007568D5">
        <w:rPr>
          <w:sz w:val="22"/>
          <w:szCs w:val="22"/>
        </w:rPr>
        <w:t xml:space="preserve"> because he said that</w:t>
      </w:r>
      <w:r w:rsidR="00711DFA">
        <w:rPr>
          <w:sz w:val="22"/>
          <w:szCs w:val="22"/>
        </w:rPr>
        <w:t xml:space="preserve">, now that </w:t>
      </w:r>
      <w:r w:rsidR="009E5BED">
        <w:rPr>
          <w:sz w:val="22"/>
          <w:szCs w:val="22"/>
        </w:rPr>
        <w:t xml:space="preserve">he was going to Paris, he did not think that anyone </w:t>
      </w:r>
      <w:r w:rsidR="00AF14D8">
        <w:rPr>
          <w:sz w:val="22"/>
          <w:szCs w:val="22"/>
        </w:rPr>
        <w:t>would be able to “extradite” him in connection with it.”</w:t>
      </w:r>
    </w:p>
    <w:p w14:paraId="35687C2D" w14:textId="77777777" w:rsidR="007044C3" w:rsidRPr="009F28BD" w:rsidRDefault="00631633" w:rsidP="00D92700">
      <w:pPr>
        <w:keepNext/>
        <w:tabs>
          <w:tab w:val="left" w:pos="567"/>
        </w:tabs>
        <w:autoSpaceDE w:val="0"/>
        <w:spacing w:before="240" w:after="240"/>
        <w:jc w:val="both"/>
      </w:pPr>
      <w:r w:rsidRPr="009F28BD">
        <w:rPr>
          <w:b/>
          <w:bCs/>
        </w:rPr>
        <w:t>(</w:t>
      </w:r>
      <w:r w:rsidR="00405A7A">
        <w:rPr>
          <w:b/>
          <w:bCs/>
        </w:rPr>
        <w:t>3</w:t>
      </w:r>
      <w:r w:rsidRPr="009F28BD">
        <w:rPr>
          <w:b/>
          <w:bCs/>
        </w:rPr>
        <w:t>)</w:t>
      </w:r>
      <w:r w:rsidRPr="009F28BD">
        <w:rPr>
          <w:b/>
          <w:bCs/>
        </w:rPr>
        <w:tab/>
      </w:r>
      <w:r w:rsidR="002B365A" w:rsidRPr="009F28BD">
        <w:rPr>
          <w:b/>
          <w:bCs/>
        </w:rPr>
        <w:t xml:space="preserve">The </w:t>
      </w:r>
      <w:r w:rsidR="00521285" w:rsidRPr="009F28BD">
        <w:rPr>
          <w:b/>
          <w:bCs/>
        </w:rPr>
        <w:t>Ispahani</w:t>
      </w:r>
      <w:r w:rsidR="00F023E2">
        <w:rPr>
          <w:b/>
          <w:bCs/>
        </w:rPr>
        <w:t xml:space="preserve"> letter</w:t>
      </w:r>
    </w:p>
    <w:p w14:paraId="04708E16" w14:textId="77777777" w:rsidR="007044C3" w:rsidRDefault="00960CC6" w:rsidP="00D44E32">
      <w:pPr>
        <w:numPr>
          <w:ilvl w:val="0"/>
          <w:numId w:val="2"/>
        </w:numPr>
        <w:autoSpaceDE w:val="0"/>
        <w:spacing w:before="240" w:after="240"/>
        <w:jc w:val="both"/>
      </w:pPr>
      <w:r>
        <w:t xml:space="preserve">In a letter dated </w:t>
      </w:r>
      <w:r w:rsidR="00631633">
        <w:t>23 May 1953,</w:t>
      </w:r>
      <w:r w:rsidR="00E25493">
        <w:t xml:space="preserve"> the Secretary to the Government of Pakistan</w:t>
      </w:r>
      <w:r>
        <w:t xml:space="preserve">, Ministry of Foreign </w:t>
      </w:r>
      <w:r w:rsidR="009A6F85">
        <w:t xml:space="preserve">Affairs </w:t>
      </w:r>
      <w:r w:rsidR="00F023E2">
        <w:t>and</w:t>
      </w:r>
      <w:r w:rsidR="009A6F85">
        <w:t xml:space="preserve"> Commonwealth Relations</w:t>
      </w:r>
      <w:r w:rsidR="002C3273">
        <w:t xml:space="preserve"> </w:t>
      </w:r>
      <w:r w:rsidR="008E1926">
        <w:t xml:space="preserve">(a Mr Husain) </w:t>
      </w:r>
      <w:r w:rsidR="002C3273">
        <w:t>wrote</w:t>
      </w:r>
      <w:r w:rsidR="008E1926">
        <w:t xml:space="preserve"> to </w:t>
      </w:r>
      <w:r w:rsidR="00B864DD">
        <w:t>Ispahani in the following terms:</w:t>
      </w:r>
    </w:p>
    <w:p w14:paraId="6D079D42" w14:textId="77777777" w:rsidR="00B864DD" w:rsidRDefault="00B864DD" w:rsidP="00B864DD">
      <w:pPr>
        <w:autoSpaceDE w:val="0"/>
        <w:spacing w:before="240" w:after="240"/>
        <w:ind w:left="567"/>
        <w:jc w:val="both"/>
        <w:rPr>
          <w:sz w:val="22"/>
          <w:szCs w:val="22"/>
        </w:rPr>
      </w:pPr>
      <w:r>
        <w:rPr>
          <w:sz w:val="22"/>
          <w:szCs w:val="22"/>
        </w:rPr>
        <w:lastRenderedPageBreak/>
        <w:t>“</w:t>
      </w:r>
      <w:r w:rsidR="00812ED4">
        <w:rPr>
          <w:sz w:val="22"/>
          <w:szCs w:val="22"/>
        </w:rPr>
        <w:t xml:space="preserve">I am directed to write to you regarding the Hyderabad </w:t>
      </w:r>
      <w:r w:rsidR="000314C7">
        <w:rPr>
          <w:sz w:val="22"/>
          <w:szCs w:val="22"/>
        </w:rPr>
        <w:t xml:space="preserve">Fund </w:t>
      </w:r>
      <w:r w:rsidR="00C72471">
        <w:rPr>
          <w:sz w:val="22"/>
          <w:szCs w:val="22"/>
        </w:rPr>
        <w:t>transferred by [Moin] from the deposit account of the Nizam’s Government</w:t>
      </w:r>
      <w:r w:rsidR="00933C2E">
        <w:rPr>
          <w:sz w:val="22"/>
          <w:szCs w:val="22"/>
        </w:rPr>
        <w:t xml:space="preserve"> with the Westminster Bank</w:t>
      </w:r>
      <w:r w:rsidR="00E64BEB">
        <w:rPr>
          <w:sz w:val="22"/>
          <w:szCs w:val="22"/>
        </w:rPr>
        <w:t xml:space="preserve"> to a new account </w:t>
      </w:r>
      <w:r w:rsidR="00A976AD">
        <w:rPr>
          <w:sz w:val="22"/>
          <w:szCs w:val="22"/>
        </w:rPr>
        <w:t xml:space="preserve">in the name of [Rahimtoola], formerly </w:t>
      </w:r>
      <w:r w:rsidR="002B2E2D">
        <w:rPr>
          <w:sz w:val="22"/>
          <w:szCs w:val="22"/>
        </w:rPr>
        <w:t xml:space="preserve">High Commissioner </w:t>
      </w:r>
      <w:r w:rsidR="00A632B3">
        <w:rPr>
          <w:sz w:val="22"/>
          <w:szCs w:val="22"/>
        </w:rPr>
        <w:t>for Pakistan in the United Kingdom</w:t>
      </w:r>
      <w:r w:rsidR="00D924DD">
        <w:rPr>
          <w:sz w:val="22"/>
          <w:szCs w:val="22"/>
        </w:rPr>
        <w:t>.</w:t>
      </w:r>
    </w:p>
    <w:p w14:paraId="5828E0D1" w14:textId="77777777" w:rsidR="00582091" w:rsidRDefault="00582091" w:rsidP="00B864DD">
      <w:pPr>
        <w:autoSpaceDE w:val="0"/>
        <w:spacing w:before="240" w:after="240"/>
        <w:ind w:left="567"/>
        <w:jc w:val="both"/>
        <w:rPr>
          <w:sz w:val="22"/>
          <w:szCs w:val="22"/>
        </w:rPr>
      </w:pPr>
      <w:r>
        <w:rPr>
          <w:sz w:val="22"/>
          <w:szCs w:val="22"/>
        </w:rPr>
        <w:t>A meeting was held in Karachi on 16</w:t>
      </w:r>
      <w:r w:rsidRPr="00582091">
        <w:rPr>
          <w:sz w:val="22"/>
          <w:szCs w:val="22"/>
          <w:vertAlign w:val="superscript"/>
        </w:rPr>
        <w:t>th</w:t>
      </w:r>
      <w:r>
        <w:rPr>
          <w:sz w:val="22"/>
          <w:szCs w:val="22"/>
        </w:rPr>
        <w:t xml:space="preserve"> May 1953</w:t>
      </w:r>
      <w:r w:rsidR="000A4E1E">
        <w:rPr>
          <w:sz w:val="22"/>
          <w:szCs w:val="22"/>
        </w:rPr>
        <w:t>, at which, besides the Prime Minister, who presided, the following were present:</w:t>
      </w:r>
    </w:p>
    <w:p w14:paraId="334584DF" w14:textId="77777777" w:rsidR="000A4E1E" w:rsidRDefault="000A4E1E" w:rsidP="004B1FBD">
      <w:pPr>
        <w:autoSpaceDE w:val="0"/>
        <w:spacing w:before="240" w:after="240"/>
        <w:ind w:left="1287" w:hanging="720"/>
        <w:jc w:val="both"/>
        <w:rPr>
          <w:sz w:val="22"/>
          <w:szCs w:val="22"/>
        </w:rPr>
      </w:pPr>
      <w:r>
        <w:rPr>
          <w:sz w:val="22"/>
          <w:szCs w:val="22"/>
        </w:rPr>
        <w:t>1.</w:t>
      </w:r>
      <w:r>
        <w:rPr>
          <w:sz w:val="22"/>
          <w:szCs w:val="22"/>
        </w:rPr>
        <w:tab/>
      </w:r>
      <w:r w:rsidR="004B1FBD">
        <w:rPr>
          <w:sz w:val="22"/>
          <w:szCs w:val="22"/>
        </w:rPr>
        <w:t>The Minister for Foreign Affairs and Commonwealth Relations</w:t>
      </w:r>
    </w:p>
    <w:p w14:paraId="0D073BC7" w14:textId="77777777" w:rsidR="004B1FBD" w:rsidRDefault="00993A95" w:rsidP="004B1FBD">
      <w:pPr>
        <w:autoSpaceDE w:val="0"/>
        <w:spacing w:before="240" w:after="240"/>
        <w:ind w:left="1287" w:hanging="720"/>
        <w:jc w:val="both"/>
        <w:rPr>
          <w:sz w:val="22"/>
          <w:szCs w:val="22"/>
        </w:rPr>
      </w:pPr>
      <w:r>
        <w:rPr>
          <w:sz w:val="22"/>
          <w:szCs w:val="22"/>
        </w:rPr>
        <w:t>2.</w:t>
      </w:r>
      <w:r>
        <w:rPr>
          <w:sz w:val="22"/>
          <w:szCs w:val="22"/>
        </w:rPr>
        <w:tab/>
        <w:t>The Minister for Finance</w:t>
      </w:r>
    </w:p>
    <w:p w14:paraId="698CEFD2" w14:textId="77777777" w:rsidR="00993A95" w:rsidRDefault="00993A95" w:rsidP="004B1FBD">
      <w:pPr>
        <w:autoSpaceDE w:val="0"/>
        <w:spacing w:before="240" w:after="240"/>
        <w:ind w:left="1287" w:hanging="720"/>
        <w:jc w:val="both"/>
        <w:rPr>
          <w:sz w:val="22"/>
          <w:szCs w:val="22"/>
        </w:rPr>
      </w:pPr>
      <w:r>
        <w:rPr>
          <w:sz w:val="22"/>
          <w:szCs w:val="22"/>
        </w:rPr>
        <w:t>3.</w:t>
      </w:r>
      <w:r>
        <w:rPr>
          <w:sz w:val="22"/>
          <w:szCs w:val="22"/>
        </w:rPr>
        <w:tab/>
        <w:t>[Rahimtoola]</w:t>
      </w:r>
    </w:p>
    <w:p w14:paraId="5ED943C6" w14:textId="77777777" w:rsidR="00993A95" w:rsidRDefault="00993A95" w:rsidP="004B1FBD">
      <w:pPr>
        <w:autoSpaceDE w:val="0"/>
        <w:spacing w:before="240" w:after="240"/>
        <w:ind w:left="1287" w:hanging="720"/>
        <w:jc w:val="both"/>
        <w:rPr>
          <w:sz w:val="22"/>
          <w:szCs w:val="22"/>
        </w:rPr>
      </w:pPr>
      <w:r>
        <w:rPr>
          <w:sz w:val="22"/>
          <w:szCs w:val="22"/>
        </w:rPr>
        <w:t>4.</w:t>
      </w:r>
      <w:r>
        <w:rPr>
          <w:sz w:val="22"/>
          <w:szCs w:val="22"/>
        </w:rPr>
        <w:tab/>
        <w:t>The Cabinet Secretary</w:t>
      </w:r>
    </w:p>
    <w:p w14:paraId="5009DFC4" w14:textId="77777777" w:rsidR="00993A95" w:rsidRDefault="00993A95" w:rsidP="004B1FBD">
      <w:pPr>
        <w:autoSpaceDE w:val="0"/>
        <w:spacing w:before="240" w:after="240"/>
        <w:ind w:left="1287" w:hanging="720"/>
        <w:jc w:val="both"/>
        <w:rPr>
          <w:sz w:val="22"/>
          <w:szCs w:val="22"/>
        </w:rPr>
      </w:pPr>
      <w:r>
        <w:rPr>
          <w:sz w:val="22"/>
          <w:szCs w:val="22"/>
        </w:rPr>
        <w:t>5.</w:t>
      </w:r>
      <w:r>
        <w:rPr>
          <w:sz w:val="22"/>
          <w:szCs w:val="22"/>
        </w:rPr>
        <w:tab/>
        <w:t>The Private Secretary to the Prime Minister</w:t>
      </w:r>
    </w:p>
    <w:p w14:paraId="25DA3E11" w14:textId="77777777" w:rsidR="003C3B93" w:rsidRDefault="003C3B93" w:rsidP="003C3B93">
      <w:pPr>
        <w:autoSpaceDE w:val="0"/>
        <w:spacing w:before="240" w:after="240"/>
        <w:ind w:left="567"/>
        <w:jc w:val="both"/>
        <w:rPr>
          <w:sz w:val="22"/>
          <w:szCs w:val="22"/>
        </w:rPr>
      </w:pPr>
      <w:r>
        <w:rPr>
          <w:sz w:val="22"/>
          <w:szCs w:val="22"/>
        </w:rPr>
        <w:t xml:space="preserve">The position regarding the Hyderabad Fund mentioned above was discussed. It was pointed out </w:t>
      </w:r>
      <w:r w:rsidR="00FC2F00">
        <w:rPr>
          <w:sz w:val="22"/>
          <w:szCs w:val="22"/>
        </w:rPr>
        <w:t xml:space="preserve">that the amount stood in the name of [Rahimtoola] in his personal capacity without any reference to his position as High Commissioner of Pakistan. </w:t>
      </w:r>
      <w:r w:rsidR="00B142E4">
        <w:rPr>
          <w:sz w:val="22"/>
          <w:szCs w:val="22"/>
        </w:rPr>
        <w:t>If it was admitted that the Fund was transferred to [Rahimtoola’s] account</w:t>
      </w:r>
      <w:r w:rsidR="00907899">
        <w:rPr>
          <w:sz w:val="22"/>
          <w:szCs w:val="22"/>
        </w:rPr>
        <w:t xml:space="preserve"> in his personal capacity it was likely that the Government of India (claiming to be the Paramount Power of Government of Hyderabad)</w:t>
      </w:r>
      <w:r w:rsidR="00831CE2">
        <w:rPr>
          <w:sz w:val="22"/>
          <w:szCs w:val="22"/>
        </w:rPr>
        <w:t xml:space="preserve"> would file a suit in the British Court against him to recover the amount. Since the Government of Hyderabad </w:t>
      </w:r>
      <w:r w:rsidR="00A46261">
        <w:rPr>
          <w:sz w:val="22"/>
          <w:szCs w:val="22"/>
        </w:rPr>
        <w:t xml:space="preserve">had no international status, and the Government of India was the </w:t>
      </w:r>
      <w:r w:rsidR="00A46261">
        <w:rPr>
          <w:i/>
          <w:iCs/>
          <w:sz w:val="22"/>
          <w:szCs w:val="22"/>
        </w:rPr>
        <w:t xml:space="preserve">de facto </w:t>
      </w:r>
      <w:r w:rsidR="00A46261">
        <w:rPr>
          <w:sz w:val="22"/>
          <w:szCs w:val="22"/>
        </w:rPr>
        <w:t>Paramount Power, such a suit would create complications.</w:t>
      </w:r>
      <w:r w:rsidR="00BC778D">
        <w:rPr>
          <w:sz w:val="22"/>
          <w:szCs w:val="22"/>
        </w:rPr>
        <w:t xml:space="preserve"> The Bank was aware of the developments regarding Hyderabad and this Fund,</w:t>
      </w:r>
      <w:r w:rsidR="0016098C">
        <w:rPr>
          <w:sz w:val="22"/>
          <w:szCs w:val="22"/>
        </w:rPr>
        <w:t xml:space="preserve"> and might out of caution give a notice to India if any attempt was made to operate the account</w:t>
      </w:r>
      <w:r w:rsidR="00C76A74">
        <w:rPr>
          <w:sz w:val="22"/>
          <w:szCs w:val="22"/>
        </w:rPr>
        <w:t xml:space="preserve">. On the other hand, if the position was accepted that [Rahimtoola] </w:t>
      </w:r>
      <w:r w:rsidR="00C51616">
        <w:rPr>
          <w:sz w:val="22"/>
          <w:szCs w:val="22"/>
        </w:rPr>
        <w:t>in receiving the Fund had acted as an Agent of the Government of Pakistan, then no suit would lie against him personally</w:t>
      </w:r>
      <w:r w:rsidR="00B46B5F">
        <w:rPr>
          <w:sz w:val="22"/>
          <w:szCs w:val="22"/>
        </w:rPr>
        <w:t xml:space="preserve"> and the Government of Pakistan could not be sued in an English Court.</w:t>
      </w:r>
    </w:p>
    <w:p w14:paraId="408BE02D" w14:textId="77777777" w:rsidR="00B46B5F" w:rsidRDefault="00B46B5F" w:rsidP="003C3B93">
      <w:pPr>
        <w:autoSpaceDE w:val="0"/>
        <w:spacing w:before="240" w:after="240"/>
        <w:ind w:left="567"/>
        <w:jc w:val="both"/>
        <w:rPr>
          <w:sz w:val="22"/>
          <w:szCs w:val="22"/>
        </w:rPr>
      </w:pPr>
      <w:r>
        <w:rPr>
          <w:sz w:val="22"/>
          <w:szCs w:val="22"/>
        </w:rPr>
        <w:t>The point was raised also that in a suit against [Rahimtoola] in his personal capacity</w:t>
      </w:r>
      <w:r w:rsidR="00BE5F2A">
        <w:rPr>
          <w:sz w:val="22"/>
          <w:szCs w:val="22"/>
        </w:rPr>
        <w:t>, the Government of India</w:t>
      </w:r>
      <w:r w:rsidR="00775E2E">
        <w:rPr>
          <w:sz w:val="22"/>
          <w:szCs w:val="22"/>
        </w:rPr>
        <w:t xml:space="preserve"> would claim to be recognised in a British Court as the successor Government</w:t>
      </w:r>
      <w:r w:rsidR="008C2A4A">
        <w:rPr>
          <w:sz w:val="22"/>
          <w:szCs w:val="22"/>
        </w:rPr>
        <w:t xml:space="preserve"> to the Nizam’s Government. This would militate against the position we had taken up in the Security Council regarding Hyderabad. </w:t>
      </w:r>
      <w:r w:rsidR="002F520A">
        <w:rPr>
          <w:sz w:val="22"/>
          <w:szCs w:val="22"/>
        </w:rPr>
        <w:t xml:space="preserve">On the other hand, any instruction to the Bank that the Fund was held by [Rahimtoola] </w:t>
      </w:r>
      <w:r w:rsidR="00F361B1">
        <w:rPr>
          <w:sz w:val="22"/>
          <w:szCs w:val="22"/>
        </w:rPr>
        <w:t xml:space="preserve">as an Agent of the Government of Pakistan might be construed by India as an unfriendly act and might further vitiate </w:t>
      </w:r>
      <w:r w:rsidR="005D1E5F">
        <w:rPr>
          <w:sz w:val="22"/>
          <w:szCs w:val="22"/>
        </w:rPr>
        <w:t>the relations between the two countries.</w:t>
      </w:r>
    </w:p>
    <w:p w14:paraId="5123FB8F" w14:textId="77777777" w:rsidR="005D1E5F" w:rsidRDefault="005D1E5F" w:rsidP="003C3B93">
      <w:pPr>
        <w:autoSpaceDE w:val="0"/>
        <w:spacing w:before="240" w:after="240"/>
        <w:ind w:left="567"/>
        <w:jc w:val="both"/>
        <w:rPr>
          <w:sz w:val="22"/>
          <w:szCs w:val="22"/>
        </w:rPr>
      </w:pPr>
      <w:r>
        <w:rPr>
          <w:sz w:val="22"/>
          <w:szCs w:val="22"/>
        </w:rPr>
        <w:t xml:space="preserve">Weighing one political disadvantage </w:t>
      </w:r>
      <w:r w:rsidR="00B9380F">
        <w:rPr>
          <w:sz w:val="22"/>
          <w:szCs w:val="22"/>
        </w:rPr>
        <w:t xml:space="preserve">against another, the general opinion was that action should be taken forthwith to inform the Bank that [Rahimtoola] </w:t>
      </w:r>
      <w:r w:rsidR="00DF72FC">
        <w:rPr>
          <w:sz w:val="22"/>
          <w:szCs w:val="22"/>
        </w:rPr>
        <w:t>in accepting the amount transferr</w:t>
      </w:r>
      <w:r w:rsidR="00D92700">
        <w:rPr>
          <w:sz w:val="22"/>
          <w:szCs w:val="22"/>
        </w:rPr>
        <w:t>e</w:t>
      </w:r>
      <w:r w:rsidR="00DF72FC">
        <w:rPr>
          <w:sz w:val="22"/>
          <w:szCs w:val="22"/>
        </w:rPr>
        <w:t xml:space="preserve">d by [Moin] had acted in his capacity </w:t>
      </w:r>
      <w:r w:rsidR="006B0FAF">
        <w:rPr>
          <w:sz w:val="22"/>
          <w:szCs w:val="22"/>
        </w:rPr>
        <w:t>as an Agent of the Pakistan Government.</w:t>
      </w:r>
    </w:p>
    <w:p w14:paraId="6C76754A" w14:textId="77777777" w:rsidR="006B0FAF" w:rsidRDefault="006B0FAF" w:rsidP="003C3B93">
      <w:pPr>
        <w:autoSpaceDE w:val="0"/>
        <w:spacing w:before="240" w:after="240"/>
        <w:ind w:left="567"/>
        <w:jc w:val="both"/>
        <w:rPr>
          <w:sz w:val="22"/>
          <w:szCs w:val="22"/>
        </w:rPr>
      </w:pPr>
      <w:r>
        <w:rPr>
          <w:sz w:val="22"/>
          <w:szCs w:val="22"/>
        </w:rPr>
        <w:t xml:space="preserve">It was decided that [Rahimtoola] should send to the Westminster Bank </w:t>
      </w:r>
      <w:r w:rsidR="00A56DEE">
        <w:rPr>
          <w:sz w:val="22"/>
          <w:szCs w:val="22"/>
        </w:rPr>
        <w:t xml:space="preserve">a letter to the effect that the Hyderabad Fund held by [Rahimtoola] was held by him in his capacity </w:t>
      </w:r>
      <w:r w:rsidR="00287C51">
        <w:rPr>
          <w:sz w:val="22"/>
          <w:szCs w:val="22"/>
        </w:rPr>
        <w:t>as an Agent of the Pakistan Government and that this Fund should now be transferred in the name of [Ispahani]</w:t>
      </w:r>
      <w:r w:rsidR="0088182B">
        <w:rPr>
          <w:sz w:val="22"/>
          <w:szCs w:val="22"/>
        </w:rPr>
        <w:t xml:space="preserve">, the present High Commissioner of Pakistan in London. The letter should be drafted by HM Law in consultation with [Rahimtoola] </w:t>
      </w:r>
      <w:r w:rsidR="00D24152">
        <w:rPr>
          <w:sz w:val="22"/>
          <w:szCs w:val="22"/>
        </w:rPr>
        <w:t>who may show it to his solicitors in London before sending it to the Bank.</w:t>
      </w:r>
    </w:p>
    <w:p w14:paraId="177E77A5" w14:textId="77777777" w:rsidR="00D24152" w:rsidRPr="00A46261" w:rsidRDefault="00D24152" w:rsidP="003C3B93">
      <w:pPr>
        <w:autoSpaceDE w:val="0"/>
        <w:spacing w:before="240" w:after="240"/>
        <w:ind w:left="567"/>
        <w:jc w:val="both"/>
        <w:rPr>
          <w:sz w:val="22"/>
          <w:szCs w:val="22"/>
        </w:rPr>
      </w:pPr>
      <w:r>
        <w:rPr>
          <w:sz w:val="22"/>
          <w:szCs w:val="22"/>
        </w:rPr>
        <w:t>A copy of the letter drafted in pursuance of this decision is enclosed for your information</w:t>
      </w:r>
      <w:r w:rsidR="00A71E6F">
        <w:rPr>
          <w:sz w:val="22"/>
          <w:szCs w:val="22"/>
        </w:rPr>
        <w:t>. It is requested that your agreement to the arrangement proposed above regarding the transfer of this Fund in your name may kindly be communicated urgently to this Ministry.”</w:t>
      </w:r>
    </w:p>
    <w:p w14:paraId="69C0ADCF" w14:textId="77777777" w:rsidR="00B864DD" w:rsidRDefault="002A521F" w:rsidP="00D44E32">
      <w:pPr>
        <w:numPr>
          <w:ilvl w:val="0"/>
          <w:numId w:val="2"/>
        </w:numPr>
        <w:autoSpaceDE w:val="0"/>
        <w:spacing w:before="240" w:after="240"/>
        <w:jc w:val="both"/>
      </w:pPr>
      <w:r>
        <w:lastRenderedPageBreak/>
        <w:t>A letter in these terms</w:t>
      </w:r>
      <w:r w:rsidR="00DB0809">
        <w:t>, dated 27 July 1953,</w:t>
      </w:r>
      <w:r>
        <w:t xml:space="preserve"> was duly sent to </w:t>
      </w:r>
      <w:r w:rsidR="00D92700">
        <w:t>the</w:t>
      </w:r>
      <w:r w:rsidR="002B2A76">
        <w:t xml:space="preserve"> Bank:</w:t>
      </w:r>
      <w:r w:rsidR="005F3909">
        <w:rPr>
          <w:rStyle w:val="FootnoteReference"/>
        </w:rPr>
        <w:footnoteReference w:id="107"/>
      </w:r>
    </w:p>
    <w:p w14:paraId="1FD8D93C" w14:textId="77777777" w:rsidR="0020144B" w:rsidRDefault="002B2A76" w:rsidP="002B2A76">
      <w:pPr>
        <w:autoSpaceDE w:val="0"/>
        <w:spacing w:before="240" w:after="240"/>
        <w:ind w:left="567"/>
        <w:jc w:val="both"/>
        <w:rPr>
          <w:sz w:val="22"/>
          <w:szCs w:val="22"/>
        </w:rPr>
      </w:pPr>
      <w:r>
        <w:rPr>
          <w:sz w:val="22"/>
          <w:szCs w:val="22"/>
        </w:rPr>
        <w:t>“This is to inform you that the amount of £1,00</w:t>
      </w:r>
      <w:r w:rsidR="001952FE">
        <w:rPr>
          <w:sz w:val="22"/>
          <w:szCs w:val="22"/>
        </w:rPr>
        <w:t>7</w:t>
      </w:r>
      <w:r>
        <w:rPr>
          <w:sz w:val="22"/>
          <w:szCs w:val="22"/>
        </w:rPr>
        <w:t>,</w:t>
      </w:r>
      <w:r w:rsidR="001952FE">
        <w:rPr>
          <w:sz w:val="22"/>
          <w:szCs w:val="22"/>
        </w:rPr>
        <w:t>940/9/0d</w:t>
      </w:r>
      <w:r w:rsidR="00D82A9A">
        <w:rPr>
          <w:sz w:val="22"/>
          <w:szCs w:val="22"/>
        </w:rPr>
        <w:t xml:space="preserve"> which was transferred by [Moin] from the deposit account of the Nizam’s Government with the Westminster Bank to a new account in my name</w:t>
      </w:r>
      <w:r w:rsidR="00665A10">
        <w:rPr>
          <w:sz w:val="22"/>
          <w:szCs w:val="22"/>
        </w:rPr>
        <w:t>, i.e. Habib I Rahimtoola on 20</w:t>
      </w:r>
      <w:r w:rsidR="00665A10" w:rsidRPr="00665A10">
        <w:rPr>
          <w:sz w:val="22"/>
          <w:szCs w:val="22"/>
          <w:vertAlign w:val="superscript"/>
        </w:rPr>
        <w:t>th</w:t>
      </w:r>
      <w:r w:rsidR="00665A10">
        <w:rPr>
          <w:sz w:val="22"/>
          <w:szCs w:val="22"/>
        </w:rPr>
        <w:t xml:space="preserve"> September 1948</w:t>
      </w:r>
      <w:r w:rsidR="000304E9">
        <w:rPr>
          <w:sz w:val="22"/>
          <w:szCs w:val="22"/>
        </w:rPr>
        <w:t>, together with all interest which has accrued thereon since that date</w:t>
      </w:r>
      <w:r w:rsidR="00665A10">
        <w:rPr>
          <w:sz w:val="22"/>
          <w:szCs w:val="22"/>
        </w:rPr>
        <w:t xml:space="preserve"> may now please be transferred </w:t>
      </w:r>
      <w:r w:rsidR="001007A6">
        <w:rPr>
          <w:sz w:val="22"/>
          <w:szCs w:val="22"/>
        </w:rPr>
        <w:t>to the name of Mr MAH Ispahani</w:t>
      </w:r>
      <w:r w:rsidR="00036854">
        <w:rPr>
          <w:sz w:val="22"/>
          <w:szCs w:val="22"/>
        </w:rPr>
        <w:t>, the present High Commissioner for Pakistan in the United Kingdom.</w:t>
      </w:r>
      <w:r w:rsidR="00080C56">
        <w:rPr>
          <w:sz w:val="22"/>
          <w:szCs w:val="22"/>
        </w:rPr>
        <w:t xml:space="preserve"> This amount which has stood in my name so far was held by me not in my personal capacity</w:t>
      </w:r>
      <w:r w:rsidR="00454B79">
        <w:rPr>
          <w:sz w:val="22"/>
          <w:szCs w:val="22"/>
        </w:rPr>
        <w:t xml:space="preserve"> but as an agent of my Government, i.e. the Government of Pakistan at the time when I was acting as Pakistan’s High Commissioner in UK. I would be much obliged if</w:t>
      </w:r>
      <w:r w:rsidR="00537474">
        <w:rPr>
          <w:sz w:val="22"/>
          <w:szCs w:val="22"/>
        </w:rPr>
        <w:t xml:space="preserve">, after the amount is transferred in the name of </w:t>
      </w:r>
      <w:r w:rsidR="002B6639">
        <w:rPr>
          <w:sz w:val="22"/>
          <w:szCs w:val="22"/>
        </w:rPr>
        <w:t>m</w:t>
      </w:r>
      <w:r w:rsidR="00537474">
        <w:rPr>
          <w:sz w:val="22"/>
          <w:szCs w:val="22"/>
        </w:rPr>
        <w:t>y successor-in-office, i.e. [Ispahani], an intimation to that e</w:t>
      </w:r>
      <w:r w:rsidR="00AC3415">
        <w:rPr>
          <w:sz w:val="22"/>
          <w:szCs w:val="22"/>
        </w:rPr>
        <w:t>ffect is kindly sent to me so that it may be forwarded by me to my Government. This account will, in future, be operated upon by the present Pakistan High Commissioner in UK and his successors-in-office</w:t>
      </w:r>
      <w:r w:rsidR="0004506C">
        <w:rPr>
          <w:sz w:val="22"/>
          <w:szCs w:val="22"/>
        </w:rPr>
        <w:t xml:space="preserve"> acting as agents of the Government of Pakistan.</w:t>
      </w:r>
    </w:p>
    <w:p w14:paraId="5D129003" w14:textId="77777777" w:rsidR="002B2A76" w:rsidRPr="002B2A76" w:rsidRDefault="0020144B" w:rsidP="002B2A76">
      <w:pPr>
        <w:autoSpaceDE w:val="0"/>
        <w:spacing w:before="240" w:after="240"/>
        <w:ind w:left="567"/>
        <w:jc w:val="both"/>
        <w:rPr>
          <w:sz w:val="22"/>
          <w:szCs w:val="22"/>
        </w:rPr>
      </w:pPr>
      <w:r>
        <w:rPr>
          <w:sz w:val="22"/>
          <w:szCs w:val="22"/>
        </w:rPr>
        <w:t>I enclose specimens of [Ispahani’s] signature herewith.</w:t>
      </w:r>
      <w:r w:rsidR="0004506C">
        <w:rPr>
          <w:sz w:val="22"/>
          <w:szCs w:val="22"/>
        </w:rPr>
        <w:t>”</w:t>
      </w:r>
    </w:p>
    <w:p w14:paraId="2C2BAC4A" w14:textId="77777777" w:rsidR="002B2A76" w:rsidRDefault="00B4237E" w:rsidP="00D44E32">
      <w:pPr>
        <w:numPr>
          <w:ilvl w:val="0"/>
          <w:numId w:val="2"/>
        </w:numPr>
        <w:autoSpaceDE w:val="0"/>
        <w:spacing w:before="240" w:after="240"/>
        <w:jc w:val="both"/>
      </w:pPr>
      <w:r>
        <w:t>On</w:t>
      </w:r>
      <w:r w:rsidR="0085731B">
        <w:t xml:space="preserve"> 14 August 1953, </w:t>
      </w:r>
      <w:r w:rsidR="005D6588">
        <w:t>the</w:t>
      </w:r>
      <w:r w:rsidR="0085731B">
        <w:t xml:space="preserve"> Bank responded </w:t>
      </w:r>
      <w:r w:rsidR="00314C2D">
        <w:t xml:space="preserve">to Rahimtoola </w:t>
      </w:r>
      <w:r w:rsidR="0085731B">
        <w:t>in the following terms:</w:t>
      </w:r>
    </w:p>
    <w:p w14:paraId="227D6DA0" w14:textId="77777777" w:rsidR="00982AF8" w:rsidRDefault="005E5D74" w:rsidP="0085731B">
      <w:pPr>
        <w:autoSpaceDE w:val="0"/>
        <w:spacing w:before="240" w:after="240"/>
        <w:ind w:left="567"/>
        <w:jc w:val="both"/>
        <w:rPr>
          <w:sz w:val="22"/>
          <w:szCs w:val="22"/>
        </w:rPr>
      </w:pPr>
      <w:r>
        <w:rPr>
          <w:sz w:val="22"/>
          <w:szCs w:val="22"/>
        </w:rPr>
        <w:t xml:space="preserve">“We refer to your letter </w:t>
      </w:r>
      <w:r w:rsidR="00EC77AD">
        <w:rPr>
          <w:sz w:val="22"/>
          <w:szCs w:val="22"/>
        </w:rPr>
        <w:t xml:space="preserve">of the 27 July (a formal acknowledgement of which </w:t>
      </w:r>
      <w:r w:rsidR="00443302">
        <w:rPr>
          <w:sz w:val="22"/>
          <w:szCs w:val="22"/>
        </w:rPr>
        <w:t>and of the enclosure to which was given on 6 Augus</w:t>
      </w:r>
      <w:r w:rsidR="00EF39EE">
        <w:rPr>
          <w:sz w:val="22"/>
          <w:szCs w:val="22"/>
        </w:rPr>
        <w:t>t</w:t>
      </w:r>
      <w:r w:rsidR="00443302">
        <w:rPr>
          <w:sz w:val="22"/>
          <w:szCs w:val="22"/>
        </w:rPr>
        <w:t>) requesting us to transfer to [Ispahani]</w:t>
      </w:r>
      <w:r w:rsidR="00314C2D">
        <w:rPr>
          <w:sz w:val="22"/>
          <w:szCs w:val="22"/>
        </w:rPr>
        <w:t xml:space="preserve">, as your </w:t>
      </w:r>
      <w:r w:rsidR="00D54FF8">
        <w:rPr>
          <w:sz w:val="22"/>
          <w:szCs w:val="22"/>
        </w:rPr>
        <w:t xml:space="preserve">successor in office as Pakistan High Commissioner in the United Kingdom, the amount now standing </w:t>
      </w:r>
      <w:r w:rsidR="00982AF8">
        <w:rPr>
          <w:sz w:val="22"/>
          <w:szCs w:val="22"/>
        </w:rPr>
        <w:t>to the credit of a Deposit Account in your name in our books.</w:t>
      </w:r>
    </w:p>
    <w:p w14:paraId="40E34554" w14:textId="77777777" w:rsidR="00295CC9" w:rsidRDefault="00982AF8" w:rsidP="0085731B">
      <w:pPr>
        <w:autoSpaceDE w:val="0"/>
        <w:spacing w:before="240" w:after="240"/>
        <w:ind w:left="567"/>
        <w:jc w:val="both"/>
        <w:rPr>
          <w:sz w:val="22"/>
          <w:szCs w:val="22"/>
        </w:rPr>
      </w:pPr>
      <w:r>
        <w:rPr>
          <w:sz w:val="22"/>
          <w:szCs w:val="22"/>
        </w:rPr>
        <w:t>As you are aware a claim regarding the moneys in question has been put forward by the Nizam’s Government</w:t>
      </w:r>
      <w:r w:rsidR="005F3C16">
        <w:rPr>
          <w:sz w:val="22"/>
          <w:szCs w:val="22"/>
        </w:rPr>
        <w:t xml:space="preserve">, and in this connection on the 28 September 1948, [Gupta] </w:t>
      </w:r>
      <w:r w:rsidR="00AD0BEC">
        <w:rPr>
          <w:sz w:val="22"/>
          <w:szCs w:val="22"/>
        </w:rPr>
        <w:t xml:space="preserve">in the capacity of Financial Secretary Nizam’s Government, Hyderabad, cabled us </w:t>
      </w:r>
      <w:r w:rsidR="00951445">
        <w:rPr>
          <w:sz w:val="22"/>
          <w:szCs w:val="22"/>
        </w:rPr>
        <w:t>entering an objection to our action in complying with instructions dated 16 September 1948, of [Moin]</w:t>
      </w:r>
      <w:r w:rsidR="00295CC9">
        <w:rPr>
          <w:sz w:val="22"/>
          <w:szCs w:val="22"/>
        </w:rPr>
        <w:t xml:space="preserve"> (Finance Minister H.E.H.</w:t>
      </w:r>
      <w:r w:rsidR="00AD0BEC">
        <w:rPr>
          <w:sz w:val="22"/>
          <w:szCs w:val="22"/>
        </w:rPr>
        <w:t xml:space="preserve"> </w:t>
      </w:r>
      <w:r w:rsidR="00295CC9">
        <w:rPr>
          <w:sz w:val="22"/>
          <w:szCs w:val="22"/>
        </w:rPr>
        <w:t>The Nizam’s Government) by transferring under date of 20 September 1948 the amount of £1,007,940. 9s 0d to a Deposit Account in your name.</w:t>
      </w:r>
    </w:p>
    <w:p w14:paraId="69E775D0" w14:textId="77777777" w:rsidR="004D1E6B" w:rsidRDefault="00A032D9" w:rsidP="0085731B">
      <w:pPr>
        <w:autoSpaceDE w:val="0"/>
        <w:spacing w:before="240" w:after="240"/>
        <w:ind w:left="567"/>
        <w:jc w:val="both"/>
        <w:rPr>
          <w:sz w:val="22"/>
          <w:szCs w:val="22"/>
        </w:rPr>
      </w:pPr>
      <w:r>
        <w:rPr>
          <w:sz w:val="22"/>
          <w:szCs w:val="22"/>
        </w:rPr>
        <w:t xml:space="preserve">You will no doubt also be aware of the statement made in the Indian Parliament on 30 November </w:t>
      </w:r>
      <w:r w:rsidR="006A1357">
        <w:rPr>
          <w:sz w:val="22"/>
          <w:szCs w:val="22"/>
        </w:rPr>
        <w:t xml:space="preserve">1950 that the Indian Government proposed to file a suit for the recovery </w:t>
      </w:r>
      <w:r w:rsidR="004D1E6B">
        <w:rPr>
          <w:sz w:val="22"/>
          <w:szCs w:val="22"/>
        </w:rPr>
        <w:t>of the amount standing to the credit of such Deposit Account.</w:t>
      </w:r>
    </w:p>
    <w:p w14:paraId="6F9FA5A5" w14:textId="77777777" w:rsidR="00C35123" w:rsidRDefault="004D1E6B" w:rsidP="0085731B">
      <w:pPr>
        <w:autoSpaceDE w:val="0"/>
        <w:spacing w:before="240" w:after="240"/>
        <w:ind w:left="567"/>
        <w:jc w:val="both"/>
        <w:rPr>
          <w:sz w:val="22"/>
          <w:szCs w:val="22"/>
        </w:rPr>
      </w:pPr>
      <w:r>
        <w:rPr>
          <w:sz w:val="22"/>
          <w:szCs w:val="22"/>
        </w:rPr>
        <w:t xml:space="preserve">In the circumstances, we are advised that we should not act on the instructions contained in your letter of 27 ultimo without the written concurrence </w:t>
      </w:r>
      <w:r w:rsidR="00C35123">
        <w:rPr>
          <w:sz w:val="22"/>
          <w:szCs w:val="22"/>
        </w:rPr>
        <w:t>of the State of Hyderabad and of the Government of India.</w:t>
      </w:r>
    </w:p>
    <w:p w14:paraId="5AA29929" w14:textId="77777777" w:rsidR="00890BE1" w:rsidRPr="00890BE1" w:rsidRDefault="00C35123" w:rsidP="00890BE1">
      <w:pPr>
        <w:autoSpaceDE w:val="0"/>
        <w:spacing w:before="240" w:after="240"/>
        <w:ind w:left="567"/>
        <w:jc w:val="both"/>
        <w:rPr>
          <w:sz w:val="22"/>
          <w:szCs w:val="22"/>
        </w:rPr>
      </w:pPr>
      <w:r>
        <w:rPr>
          <w:sz w:val="22"/>
          <w:szCs w:val="22"/>
        </w:rPr>
        <w:t>We regret any inconvenience to which you may be put by reason of the terms of this letter.”</w:t>
      </w:r>
      <w:r w:rsidR="00443302">
        <w:rPr>
          <w:sz w:val="22"/>
          <w:szCs w:val="22"/>
        </w:rPr>
        <w:t xml:space="preserve"> </w:t>
      </w:r>
    </w:p>
    <w:p w14:paraId="2ADA9B3A" w14:textId="77777777" w:rsidR="00B444F2" w:rsidRPr="00B444F2" w:rsidRDefault="00B444F2" w:rsidP="00387FCC">
      <w:pPr>
        <w:keepNext/>
        <w:tabs>
          <w:tab w:val="left" w:pos="567"/>
        </w:tabs>
        <w:autoSpaceDE w:val="0"/>
        <w:spacing w:before="240" w:after="240"/>
        <w:ind w:left="567" w:hanging="567"/>
        <w:jc w:val="both"/>
        <w:rPr>
          <w:b/>
          <w:bCs/>
        </w:rPr>
      </w:pPr>
      <w:r>
        <w:rPr>
          <w:b/>
          <w:bCs/>
        </w:rPr>
        <w:t>(</w:t>
      </w:r>
      <w:r w:rsidR="00405A7A">
        <w:rPr>
          <w:b/>
          <w:bCs/>
        </w:rPr>
        <w:t>4</w:t>
      </w:r>
      <w:r>
        <w:rPr>
          <w:b/>
          <w:bCs/>
        </w:rPr>
        <w:t>)</w:t>
      </w:r>
      <w:r>
        <w:rPr>
          <w:b/>
          <w:bCs/>
        </w:rPr>
        <w:tab/>
      </w:r>
      <w:r w:rsidR="0013683C">
        <w:rPr>
          <w:b/>
          <w:bCs/>
        </w:rPr>
        <w:t>The 1954 Proceedings</w:t>
      </w:r>
    </w:p>
    <w:p w14:paraId="1F81D80A" w14:textId="77777777" w:rsidR="0085731B" w:rsidRDefault="00FD1369" w:rsidP="00D44E32">
      <w:pPr>
        <w:numPr>
          <w:ilvl w:val="0"/>
          <w:numId w:val="2"/>
        </w:numPr>
        <w:autoSpaceDE w:val="0"/>
        <w:spacing w:before="240" w:after="240"/>
        <w:jc w:val="both"/>
      </w:pPr>
      <w:r>
        <w:t xml:space="preserve">The </w:t>
      </w:r>
      <w:r w:rsidR="009923E2">
        <w:t>Bank’s letter of 14 August 1953</w:t>
      </w:r>
      <w:r w:rsidR="009923E2">
        <w:rPr>
          <w:rStyle w:val="FootnoteReference"/>
        </w:rPr>
        <w:footnoteReference w:id="108"/>
      </w:r>
      <w:r w:rsidR="009923E2">
        <w:t xml:space="preserve"> provoked the following </w:t>
      </w:r>
      <w:r w:rsidR="00ED4D35">
        <w:t xml:space="preserve">response (dated </w:t>
      </w:r>
      <w:r w:rsidR="00A652EC">
        <w:t>24 November 1953</w:t>
      </w:r>
      <w:r w:rsidR="00ED4D35">
        <w:t xml:space="preserve">) from Pakistan’s solicitors </w:t>
      </w:r>
      <w:r w:rsidR="005B2513">
        <w:t>in the 1954 Proceedings</w:t>
      </w:r>
      <w:r w:rsidR="00A24603">
        <w:t>:</w:t>
      </w:r>
    </w:p>
    <w:p w14:paraId="5349B48C" w14:textId="77777777" w:rsidR="00A24603" w:rsidRDefault="0039632C" w:rsidP="00A24603">
      <w:pPr>
        <w:autoSpaceDE w:val="0"/>
        <w:spacing w:before="240" w:after="240"/>
        <w:ind w:left="567"/>
        <w:jc w:val="both"/>
        <w:rPr>
          <w:sz w:val="22"/>
          <w:szCs w:val="22"/>
        </w:rPr>
      </w:pPr>
      <w:r>
        <w:rPr>
          <w:sz w:val="22"/>
          <w:szCs w:val="22"/>
        </w:rPr>
        <w:t>“</w:t>
      </w:r>
      <w:r w:rsidR="00A06CAD">
        <w:rPr>
          <w:sz w:val="22"/>
          <w:szCs w:val="22"/>
        </w:rPr>
        <w:t>We are Solicitors to the Government of Pakistan</w:t>
      </w:r>
      <w:r w:rsidR="00CA5A69">
        <w:rPr>
          <w:sz w:val="22"/>
          <w:szCs w:val="22"/>
        </w:rPr>
        <w:t xml:space="preserve">, and your letter to </w:t>
      </w:r>
      <w:r w:rsidR="00CC7630">
        <w:rPr>
          <w:sz w:val="22"/>
          <w:szCs w:val="22"/>
        </w:rPr>
        <w:t xml:space="preserve">[Rahimtoola] dated 14 August 1953 has been forwarded </w:t>
      </w:r>
      <w:r w:rsidR="005756FD">
        <w:rPr>
          <w:sz w:val="22"/>
          <w:szCs w:val="22"/>
        </w:rPr>
        <w:t>to us for attention.</w:t>
      </w:r>
    </w:p>
    <w:p w14:paraId="4DA0528C" w14:textId="77777777" w:rsidR="005756FD" w:rsidRDefault="005756FD" w:rsidP="00A24603">
      <w:pPr>
        <w:autoSpaceDE w:val="0"/>
        <w:spacing w:before="240" w:after="240"/>
        <w:ind w:left="567"/>
        <w:jc w:val="both"/>
        <w:rPr>
          <w:sz w:val="22"/>
          <w:szCs w:val="22"/>
        </w:rPr>
      </w:pPr>
      <w:r>
        <w:rPr>
          <w:sz w:val="22"/>
          <w:szCs w:val="22"/>
        </w:rPr>
        <w:t xml:space="preserve">The moneys </w:t>
      </w:r>
      <w:r w:rsidR="00DD044E">
        <w:rPr>
          <w:sz w:val="22"/>
          <w:szCs w:val="22"/>
        </w:rPr>
        <w:t xml:space="preserve">referred to in [Rahimtoola’s] </w:t>
      </w:r>
      <w:r w:rsidR="00442D6C">
        <w:rPr>
          <w:sz w:val="22"/>
          <w:szCs w:val="22"/>
        </w:rPr>
        <w:t>letter to you dated 27 July 1953 were held by him as agent for the Government of Pakistan at the time when</w:t>
      </w:r>
      <w:r w:rsidR="00797622">
        <w:rPr>
          <w:sz w:val="22"/>
          <w:szCs w:val="22"/>
        </w:rPr>
        <w:t xml:space="preserve"> he was High Commissioner for Pakistan </w:t>
      </w:r>
      <w:r w:rsidR="00797622">
        <w:rPr>
          <w:sz w:val="22"/>
          <w:szCs w:val="22"/>
        </w:rPr>
        <w:lastRenderedPageBreak/>
        <w:t xml:space="preserve">in the United Kingdom, and it is now desired that they should be transferred </w:t>
      </w:r>
      <w:r w:rsidR="00FA6B15">
        <w:rPr>
          <w:sz w:val="22"/>
          <w:szCs w:val="22"/>
        </w:rPr>
        <w:t xml:space="preserve">into the name of his successor-in-office, namely [Ispahani], the present High </w:t>
      </w:r>
      <w:r w:rsidR="00CA4C07">
        <w:rPr>
          <w:sz w:val="22"/>
          <w:szCs w:val="22"/>
        </w:rPr>
        <w:t xml:space="preserve">Commissioner for Pakistan in </w:t>
      </w:r>
      <w:r w:rsidR="002B6639">
        <w:rPr>
          <w:sz w:val="22"/>
          <w:szCs w:val="22"/>
        </w:rPr>
        <w:t xml:space="preserve">the </w:t>
      </w:r>
      <w:r w:rsidR="00CA4C07">
        <w:rPr>
          <w:sz w:val="22"/>
          <w:szCs w:val="22"/>
        </w:rPr>
        <w:t xml:space="preserve">United </w:t>
      </w:r>
      <w:r w:rsidR="00AB1ACB">
        <w:rPr>
          <w:sz w:val="22"/>
          <w:szCs w:val="22"/>
        </w:rPr>
        <w:t>Kingdom</w:t>
      </w:r>
      <w:r w:rsidR="00DD01D5">
        <w:rPr>
          <w:sz w:val="22"/>
          <w:szCs w:val="22"/>
        </w:rPr>
        <w:t>.</w:t>
      </w:r>
    </w:p>
    <w:p w14:paraId="1A8BB016" w14:textId="77777777" w:rsidR="00DD01D5" w:rsidRDefault="00DD01D5" w:rsidP="00A24603">
      <w:pPr>
        <w:autoSpaceDE w:val="0"/>
        <w:spacing w:before="240" w:after="240"/>
        <w:ind w:left="567"/>
        <w:jc w:val="both"/>
        <w:rPr>
          <w:sz w:val="22"/>
          <w:szCs w:val="22"/>
        </w:rPr>
      </w:pPr>
      <w:r>
        <w:rPr>
          <w:sz w:val="22"/>
          <w:szCs w:val="22"/>
        </w:rPr>
        <w:t xml:space="preserve">Our clients cannot </w:t>
      </w:r>
      <w:r w:rsidR="00BD1D47">
        <w:rPr>
          <w:sz w:val="22"/>
          <w:szCs w:val="22"/>
        </w:rPr>
        <w:t>agree that your letter disclosed any valid reason for failing to carry out the instructions given to you by [Rahimtoola] as their agent, and on behalf of our clients we reiterate those instructions</w:t>
      </w:r>
      <w:r w:rsidR="00DF7D34">
        <w:rPr>
          <w:sz w:val="22"/>
          <w:szCs w:val="22"/>
        </w:rPr>
        <w:t>.</w:t>
      </w:r>
    </w:p>
    <w:p w14:paraId="7BEEECB1" w14:textId="77777777" w:rsidR="00DF7D34" w:rsidRPr="00A24603" w:rsidRDefault="00DF7D34" w:rsidP="00A24603">
      <w:pPr>
        <w:autoSpaceDE w:val="0"/>
        <w:spacing w:before="240" w:after="240"/>
        <w:ind w:left="567"/>
        <w:jc w:val="both"/>
        <w:rPr>
          <w:sz w:val="22"/>
          <w:szCs w:val="22"/>
        </w:rPr>
      </w:pPr>
      <w:r>
        <w:rPr>
          <w:sz w:val="22"/>
          <w:szCs w:val="22"/>
        </w:rPr>
        <w:t>We have been instructed to inform you that if you wish to communicate either with the Government of Pakistan</w:t>
      </w:r>
      <w:r w:rsidR="002E7F35">
        <w:rPr>
          <w:sz w:val="22"/>
          <w:szCs w:val="22"/>
        </w:rPr>
        <w:t xml:space="preserve"> or with [Rahimtoola] in connection with this matter you should do so through us.”</w:t>
      </w:r>
    </w:p>
    <w:p w14:paraId="17FB450E" w14:textId="77777777" w:rsidR="00F9175C" w:rsidRDefault="00F9175C" w:rsidP="00D44E32">
      <w:pPr>
        <w:numPr>
          <w:ilvl w:val="0"/>
          <w:numId w:val="2"/>
        </w:numPr>
        <w:autoSpaceDE w:val="0"/>
        <w:spacing w:before="240" w:after="240"/>
        <w:jc w:val="both"/>
      </w:pPr>
      <w:r>
        <w:t xml:space="preserve">On 17 May 1954, the solicitors for </w:t>
      </w:r>
      <w:r w:rsidR="002E5532">
        <w:t>Nizam VII (Messrs Stanley, Johnson &amp; Allen</w:t>
      </w:r>
      <w:r w:rsidR="005B2513">
        <w:t xml:space="preserve">, </w:t>
      </w:r>
      <w:r w:rsidR="005B2513">
        <w:rPr>
          <w:b/>
          <w:bCs/>
        </w:rPr>
        <w:t>Nizam VII’s solicitors in the 1954 Proceedings</w:t>
      </w:r>
      <w:r w:rsidR="002E5532">
        <w:t>)</w:t>
      </w:r>
      <w:r w:rsidR="00FC4BE9">
        <w:t xml:space="preserve"> wrote to Rahimtoola in the following terms:</w:t>
      </w:r>
    </w:p>
    <w:p w14:paraId="1D94DC37" w14:textId="77777777" w:rsidR="001E0878" w:rsidRDefault="001E0878" w:rsidP="001E0878">
      <w:pPr>
        <w:autoSpaceDE w:val="0"/>
        <w:spacing w:before="240" w:after="240"/>
        <w:ind w:left="567"/>
        <w:jc w:val="both"/>
        <w:rPr>
          <w:sz w:val="22"/>
          <w:szCs w:val="22"/>
        </w:rPr>
      </w:pPr>
      <w:r>
        <w:rPr>
          <w:sz w:val="22"/>
          <w:szCs w:val="22"/>
        </w:rPr>
        <w:t>“</w:t>
      </w:r>
      <w:r w:rsidR="0005445A">
        <w:rPr>
          <w:sz w:val="22"/>
          <w:szCs w:val="22"/>
        </w:rPr>
        <w:t xml:space="preserve">We are instructed to act on behalf of [Nizam VII] and on behalf of the </w:t>
      </w:r>
      <w:r w:rsidR="00291A39">
        <w:rPr>
          <w:sz w:val="22"/>
          <w:szCs w:val="22"/>
        </w:rPr>
        <w:t>Government of the State of Hyderabad</w:t>
      </w:r>
      <w:r w:rsidR="00117292">
        <w:rPr>
          <w:sz w:val="22"/>
          <w:szCs w:val="22"/>
        </w:rPr>
        <w:t xml:space="preserve"> with reference to a sum amounting to £1,007,940.9.</w:t>
      </w:r>
      <w:r w:rsidR="00F53841">
        <w:rPr>
          <w:sz w:val="22"/>
          <w:szCs w:val="22"/>
        </w:rPr>
        <w:t>0 which, in the month of Septemb</w:t>
      </w:r>
      <w:r w:rsidR="00867895">
        <w:rPr>
          <w:sz w:val="22"/>
          <w:szCs w:val="22"/>
        </w:rPr>
        <w:t>e</w:t>
      </w:r>
      <w:r w:rsidR="00F53841">
        <w:rPr>
          <w:sz w:val="22"/>
          <w:szCs w:val="22"/>
        </w:rPr>
        <w:t>r 1948 was held by the Westminster Bank in London in a deposit account to the credit of the Hyderabad</w:t>
      </w:r>
      <w:r w:rsidR="00362375">
        <w:rPr>
          <w:sz w:val="22"/>
          <w:szCs w:val="22"/>
        </w:rPr>
        <w:t xml:space="preserve"> Government.</w:t>
      </w:r>
    </w:p>
    <w:p w14:paraId="72D0F14F" w14:textId="77777777" w:rsidR="00362375" w:rsidRDefault="00362375" w:rsidP="001E0878">
      <w:pPr>
        <w:autoSpaceDE w:val="0"/>
        <w:spacing w:before="240" w:after="240"/>
        <w:ind w:left="567"/>
        <w:jc w:val="both"/>
        <w:rPr>
          <w:sz w:val="22"/>
          <w:szCs w:val="22"/>
        </w:rPr>
      </w:pPr>
      <w:r>
        <w:rPr>
          <w:sz w:val="22"/>
          <w:szCs w:val="22"/>
        </w:rPr>
        <w:t xml:space="preserve">On or about the 30 September 1948, on the instructions of [Moin], the whole </w:t>
      </w:r>
      <w:r w:rsidR="00C670AE">
        <w:rPr>
          <w:sz w:val="22"/>
          <w:szCs w:val="22"/>
        </w:rPr>
        <w:t>of this sum together with the accrued interest thereon was withdrawn from the Hyderabad Government account</w:t>
      </w:r>
      <w:r w:rsidR="002D64C3">
        <w:rPr>
          <w:sz w:val="22"/>
          <w:szCs w:val="22"/>
        </w:rPr>
        <w:t xml:space="preserve"> and placed to the credit of another account </w:t>
      </w:r>
      <w:r w:rsidR="00964A4F">
        <w:rPr>
          <w:sz w:val="22"/>
          <w:szCs w:val="22"/>
        </w:rPr>
        <w:t>with the same Bank in [Rahimtoola’s] name.</w:t>
      </w:r>
    </w:p>
    <w:p w14:paraId="54C660E7" w14:textId="77777777" w:rsidR="0062727A" w:rsidRDefault="00964A4F" w:rsidP="001E0878">
      <w:pPr>
        <w:autoSpaceDE w:val="0"/>
        <w:spacing w:before="240" w:after="240"/>
        <w:ind w:left="567"/>
        <w:jc w:val="both"/>
        <w:rPr>
          <w:sz w:val="22"/>
          <w:szCs w:val="22"/>
        </w:rPr>
      </w:pPr>
      <w:r>
        <w:rPr>
          <w:sz w:val="22"/>
          <w:szCs w:val="22"/>
        </w:rPr>
        <w:t xml:space="preserve">[Moin] had no authority from the Nizam </w:t>
      </w:r>
      <w:r w:rsidR="00A51CE9">
        <w:rPr>
          <w:sz w:val="22"/>
          <w:szCs w:val="22"/>
        </w:rPr>
        <w:t xml:space="preserve">or his Government to effect this particular withdrawal and, as your Excellency </w:t>
      </w:r>
      <w:r w:rsidR="0067444C">
        <w:rPr>
          <w:sz w:val="22"/>
          <w:szCs w:val="22"/>
        </w:rPr>
        <w:t>is of course aware, the fund transferred to the account in your Excellency’s name, and all accrued interest theron</w:t>
      </w:r>
      <w:r w:rsidR="00BB33A4">
        <w:rPr>
          <w:sz w:val="22"/>
          <w:szCs w:val="22"/>
        </w:rPr>
        <w:t>, have at all times been and still are the property of [Nizam VII] and his Government.</w:t>
      </w:r>
      <w:r w:rsidR="0062727A">
        <w:rPr>
          <w:sz w:val="22"/>
          <w:szCs w:val="22"/>
        </w:rPr>
        <w:t xml:space="preserve"> We assume that your Excellency has safeguarded the fund and the interest thereon on that basis.</w:t>
      </w:r>
    </w:p>
    <w:p w14:paraId="59806BD6" w14:textId="77777777" w:rsidR="00964A4F" w:rsidRDefault="0062727A" w:rsidP="001E0878">
      <w:pPr>
        <w:autoSpaceDE w:val="0"/>
        <w:spacing w:before="240" w:after="240"/>
        <w:ind w:left="567"/>
        <w:jc w:val="both"/>
        <w:rPr>
          <w:sz w:val="22"/>
          <w:szCs w:val="22"/>
        </w:rPr>
      </w:pPr>
      <w:r>
        <w:rPr>
          <w:sz w:val="22"/>
          <w:szCs w:val="22"/>
        </w:rPr>
        <w:t>[Nizam VII] and his Government</w:t>
      </w:r>
      <w:r w:rsidR="00003614">
        <w:rPr>
          <w:sz w:val="22"/>
          <w:szCs w:val="22"/>
        </w:rPr>
        <w:t xml:space="preserve"> now require the sums in question</w:t>
      </w:r>
      <w:r w:rsidR="005F0F37">
        <w:rPr>
          <w:sz w:val="22"/>
          <w:szCs w:val="22"/>
        </w:rPr>
        <w:t xml:space="preserve"> to be paid </w:t>
      </w:r>
      <w:r w:rsidR="00115E07">
        <w:rPr>
          <w:sz w:val="22"/>
          <w:szCs w:val="22"/>
        </w:rPr>
        <w:t>to them or to their order</w:t>
      </w:r>
      <w:r w:rsidR="00381398">
        <w:rPr>
          <w:sz w:val="22"/>
          <w:szCs w:val="22"/>
        </w:rPr>
        <w:t>, but it is doubtful</w:t>
      </w:r>
      <w:r w:rsidR="000F3886">
        <w:rPr>
          <w:sz w:val="22"/>
          <w:szCs w:val="22"/>
        </w:rPr>
        <w:t xml:space="preserve"> whether the Bank will feel able to make such payment except in pursuant </w:t>
      </w:r>
      <w:r w:rsidR="00BD5919">
        <w:rPr>
          <w:sz w:val="22"/>
          <w:szCs w:val="22"/>
        </w:rPr>
        <w:t>of an order of the court. We have the authority of H.E.H. the Nizam and his Government</w:t>
      </w:r>
      <w:r w:rsidR="00D5768D">
        <w:rPr>
          <w:sz w:val="22"/>
          <w:szCs w:val="22"/>
        </w:rPr>
        <w:t xml:space="preserve"> to commence proceedings</w:t>
      </w:r>
      <w:r w:rsidR="001A3056">
        <w:rPr>
          <w:sz w:val="22"/>
          <w:szCs w:val="22"/>
        </w:rPr>
        <w:t xml:space="preserve"> to obtain such an Order, and, if such proceedings should prove requisite, it seems to us to b</w:t>
      </w:r>
      <w:r w:rsidR="003F6ECF">
        <w:rPr>
          <w:sz w:val="22"/>
          <w:szCs w:val="22"/>
        </w:rPr>
        <w:t>e</w:t>
      </w:r>
      <w:r w:rsidR="001A3056">
        <w:rPr>
          <w:sz w:val="22"/>
          <w:szCs w:val="22"/>
        </w:rPr>
        <w:t xml:space="preserve"> desirable and proper </w:t>
      </w:r>
      <w:r w:rsidR="003F6ECF">
        <w:rPr>
          <w:sz w:val="22"/>
          <w:szCs w:val="22"/>
        </w:rPr>
        <w:t>that your Excellency should be joined as a party.</w:t>
      </w:r>
      <w:r w:rsidR="001856E6">
        <w:rPr>
          <w:sz w:val="22"/>
          <w:szCs w:val="22"/>
        </w:rPr>
        <w:t xml:space="preserve"> We shall accordingly be grateful if you</w:t>
      </w:r>
      <w:r w:rsidR="002B6639" w:rsidRPr="00B019EE">
        <w:rPr>
          <w:sz w:val="22"/>
          <w:szCs w:val="22"/>
        </w:rPr>
        <w:t>r</w:t>
      </w:r>
      <w:r w:rsidR="001856E6">
        <w:rPr>
          <w:sz w:val="22"/>
          <w:szCs w:val="22"/>
        </w:rPr>
        <w:t xml:space="preserve"> Excellency will be good enough to nominate Solicitors in London</w:t>
      </w:r>
      <w:r w:rsidR="00997E89">
        <w:rPr>
          <w:sz w:val="22"/>
          <w:szCs w:val="22"/>
        </w:rPr>
        <w:t xml:space="preserve"> to accept service in London, on your Excellency’s behalf</w:t>
      </w:r>
      <w:r w:rsidR="00153722">
        <w:rPr>
          <w:sz w:val="22"/>
          <w:szCs w:val="22"/>
        </w:rPr>
        <w:t>, of any proceedings for the recovery of these sums which we may find it necessary to institute.</w:t>
      </w:r>
    </w:p>
    <w:p w14:paraId="2EB5DC7E" w14:textId="77777777" w:rsidR="00FE3B1A" w:rsidRPr="001E0878" w:rsidRDefault="0007243A" w:rsidP="001E0878">
      <w:pPr>
        <w:autoSpaceDE w:val="0"/>
        <w:spacing w:before="240" w:after="240"/>
        <w:ind w:left="567"/>
        <w:jc w:val="both"/>
        <w:rPr>
          <w:sz w:val="22"/>
          <w:szCs w:val="22"/>
        </w:rPr>
      </w:pPr>
      <w:r>
        <w:rPr>
          <w:sz w:val="22"/>
          <w:szCs w:val="22"/>
        </w:rPr>
        <w:t xml:space="preserve">We think we should add that the necessity </w:t>
      </w:r>
      <w:r w:rsidR="0020265B">
        <w:rPr>
          <w:sz w:val="22"/>
          <w:szCs w:val="22"/>
        </w:rPr>
        <w:t xml:space="preserve">for proceedings might well be obviated if your Excellency would be good enough </w:t>
      </w:r>
      <w:r w:rsidR="00C84E75">
        <w:rPr>
          <w:sz w:val="22"/>
          <w:szCs w:val="22"/>
        </w:rPr>
        <w:t xml:space="preserve">to authorise the Bank to pay over </w:t>
      </w:r>
      <w:r w:rsidR="008A7210">
        <w:rPr>
          <w:sz w:val="22"/>
          <w:szCs w:val="22"/>
        </w:rPr>
        <w:t xml:space="preserve">the sums in question to the Nizam and his Government, or to their order. We shall be very grateful </w:t>
      </w:r>
      <w:r w:rsidR="002B6639">
        <w:rPr>
          <w:sz w:val="22"/>
          <w:szCs w:val="22"/>
        </w:rPr>
        <w:t xml:space="preserve">indeed </w:t>
      </w:r>
      <w:r w:rsidR="008A7210">
        <w:rPr>
          <w:sz w:val="22"/>
          <w:szCs w:val="22"/>
        </w:rPr>
        <w:t>t</w:t>
      </w:r>
      <w:r w:rsidR="002C7BB3">
        <w:rPr>
          <w:sz w:val="22"/>
          <w:szCs w:val="22"/>
        </w:rPr>
        <w:t>o hear that your Excellency is prepared to give such authority.”</w:t>
      </w:r>
    </w:p>
    <w:p w14:paraId="11D888E5" w14:textId="77777777" w:rsidR="004D1DE4" w:rsidRDefault="00F51058" w:rsidP="004D1DE4">
      <w:pPr>
        <w:numPr>
          <w:ilvl w:val="0"/>
          <w:numId w:val="2"/>
        </w:numPr>
        <w:autoSpaceDE w:val="0"/>
        <w:spacing w:before="240" w:after="240"/>
        <w:jc w:val="both"/>
      </w:pPr>
      <w:r>
        <w:t xml:space="preserve">A letter before action was also written to </w:t>
      </w:r>
      <w:r w:rsidR="005B2513">
        <w:t xml:space="preserve">the </w:t>
      </w:r>
      <w:r>
        <w:t>Bank</w:t>
      </w:r>
      <w:r w:rsidR="00E833DD">
        <w:t xml:space="preserve">, seeking the </w:t>
      </w:r>
      <w:r w:rsidR="005B2513">
        <w:t>B</w:t>
      </w:r>
      <w:r w:rsidR="00E833DD">
        <w:t xml:space="preserve">ank’s assurance that it </w:t>
      </w:r>
      <w:r w:rsidR="004D1DE4">
        <w:t>would</w:t>
      </w:r>
      <w:r w:rsidR="00E833DD">
        <w:t xml:space="preserve"> not pay away </w:t>
      </w:r>
      <w:r w:rsidR="004D1DE4">
        <w:t>the sums in question or any part of them, except either</w:t>
      </w:r>
      <w:r w:rsidR="00432620">
        <w:t xml:space="preserve"> pursuant to a court </w:t>
      </w:r>
      <w:r w:rsidR="00432620" w:rsidRPr="00751778">
        <w:t xml:space="preserve">order </w:t>
      </w:r>
      <w:r w:rsidR="008E61F3" w:rsidRPr="00751778">
        <w:t>or</w:t>
      </w:r>
      <w:r w:rsidR="00432620" w:rsidRPr="00751778">
        <w:t xml:space="preserve"> to a person</w:t>
      </w:r>
      <w:r w:rsidR="00432620">
        <w:t xml:space="preserve"> nominated by Nizam VII’s government.</w:t>
      </w:r>
    </w:p>
    <w:p w14:paraId="3B0878BB" w14:textId="77777777" w:rsidR="004D1DE4" w:rsidRDefault="00EA1D55" w:rsidP="00D44E32">
      <w:pPr>
        <w:numPr>
          <w:ilvl w:val="0"/>
          <w:numId w:val="2"/>
        </w:numPr>
        <w:autoSpaceDE w:val="0"/>
        <w:spacing w:before="240" w:after="240"/>
        <w:jc w:val="both"/>
      </w:pPr>
      <w:r>
        <w:t>There appears to have been a letter from the Bank’s solicitors (Messrs Freshfields</w:t>
      </w:r>
      <w:r w:rsidR="005B2513">
        <w:t xml:space="preserve">, </w:t>
      </w:r>
      <w:r w:rsidR="00B322A6">
        <w:t xml:space="preserve">the </w:t>
      </w:r>
      <w:r w:rsidR="00B322A6">
        <w:rPr>
          <w:b/>
          <w:bCs/>
        </w:rPr>
        <w:t>Bank’s solicitors</w:t>
      </w:r>
      <w:r>
        <w:t xml:space="preserve">) </w:t>
      </w:r>
      <w:r w:rsidR="004D5C2E">
        <w:t xml:space="preserve">dated 8 June 1954, but that </w:t>
      </w:r>
      <w:r w:rsidR="004E34DE" w:rsidRPr="000F2E99">
        <w:t xml:space="preserve">was </w:t>
      </w:r>
      <w:r w:rsidR="004D5C2E" w:rsidRPr="000F2E99">
        <w:t>not</w:t>
      </w:r>
      <w:r w:rsidR="004E34DE" w:rsidRPr="000F2E99">
        <w:t xml:space="preserve"> before the court</w:t>
      </w:r>
      <w:r w:rsidR="004D5C2E" w:rsidRPr="000F2E99">
        <w:t>.</w:t>
      </w:r>
      <w:r w:rsidR="009B3870" w:rsidRPr="000F2E99">
        <w:t xml:space="preserve"> On 11 June 1954, </w:t>
      </w:r>
      <w:r w:rsidR="006465E0" w:rsidRPr="000F2E99">
        <w:t>Nizam VII’s solicitors</w:t>
      </w:r>
      <w:r w:rsidR="006465E0" w:rsidRPr="006465E0">
        <w:t xml:space="preserve"> in the 1954 Proceedings</w:t>
      </w:r>
      <w:r w:rsidR="006465E0">
        <w:t xml:space="preserve"> </w:t>
      </w:r>
      <w:r w:rsidR="0060236F">
        <w:t xml:space="preserve">wrote to the </w:t>
      </w:r>
      <w:r w:rsidR="006465E0">
        <w:t>B</w:t>
      </w:r>
      <w:r w:rsidR="0060236F">
        <w:t>ank as follows:</w:t>
      </w:r>
    </w:p>
    <w:p w14:paraId="4F0C78F9" w14:textId="77777777" w:rsidR="00B951AD" w:rsidRDefault="00B951AD" w:rsidP="00B951AD">
      <w:pPr>
        <w:autoSpaceDE w:val="0"/>
        <w:spacing w:before="240" w:after="240"/>
        <w:ind w:left="567"/>
        <w:jc w:val="both"/>
        <w:rPr>
          <w:sz w:val="22"/>
          <w:szCs w:val="22"/>
        </w:rPr>
      </w:pPr>
      <w:r>
        <w:rPr>
          <w:sz w:val="22"/>
          <w:szCs w:val="22"/>
        </w:rPr>
        <w:t>“We have to acknowledge receipt of your letter of the 8 inst</w:t>
      </w:r>
      <w:r w:rsidR="00FF0D67">
        <w:rPr>
          <w:sz w:val="22"/>
          <w:szCs w:val="22"/>
        </w:rPr>
        <w:t xml:space="preserve">, but we have received no communication either from Mr Rahimtoola or from </w:t>
      </w:r>
      <w:r w:rsidR="006465E0">
        <w:rPr>
          <w:sz w:val="22"/>
          <w:szCs w:val="22"/>
        </w:rPr>
        <w:t>[</w:t>
      </w:r>
      <w:r w:rsidR="00500EF5">
        <w:rPr>
          <w:sz w:val="22"/>
          <w:szCs w:val="22"/>
        </w:rPr>
        <w:t xml:space="preserve">Pakistan’s solicitors in the 1954 </w:t>
      </w:r>
      <w:r w:rsidR="00500EF5">
        <w:rPr>
          <w:sz w:val="22"/>
          <w:szCs w:val="22"/>
        </w:rPr>
        <w:lastRenderedPageBreak/>
        <w:t xml:space="preserve">Proceedings] </w:t>
      </w:r>
      <w:r w:rsidR="00BB1F80">
        <w:rPr>
          <w:sz w:val="22"/>
          <w:szCs w:val="22"/>
        </w:rPr>
        <w:t>on his behalf as to the attitude which they have adopted although we have written to Mr Rahimtoola on the matter.</w:t>
      </w:r>
    </w:p>
    <w:p w14:paraId="2C89B689" w14:textId="77777777" w:rsidR="00BB1F80" w:rsidRDefault="00BB1F80" w:rsidP="00B951AD">
      <w:pPr>
        <w:autoSpaceDE w:val="0"/>
        <w:spacing w:before="240" w:after="240"/>
        <w:ind w:left="567"/>
        <w:jc w:val="both"/>
        <w:rPr>
          <w:sz w:val="22"/>
          <w:szCs w:val="22"/>
        </w:rPr>
      </w:pPr>
      <w:r>
        <w:rPr>
          <w:sz w:val="22"/>
          <w:szCs w:val="22"/>
        </w:rPr>
        <w:t>We are obliged by the suggestion</w:t>
      </w:r>
      <w:r w:rsidR="002B4ED2">
        <w:rPr>
          <w:sz w:val="22"/>
          <w:szCs w:val="22"/>
        </w:rPr>
        <w:t xml:space="preserve"> you make regarding interpleader proceedings and when the attitude which is to be taken</w:t>
      </w:r>
      <w:r w:rsidR="00931F15">
        <w:rPr>
          <w:sz w:val="22"/>
          <w:szCs w:val="22"/>
        </w:rPr>
        <w:t xml:space="preserve"> by the other parties has been more fully ascertained we will take our Counsel’s view as to the suggested course.</w:t>
      </w:r>
    </w:p>
    <w:p w14:paraId="3A2C6396" w14:textId="77777777" w:rsidR="00931F15" w:rsidRPr="00B951AD" w:rsidRDefault="00931F15" w:rsidP="00B951AD">
      <w:pPr>
        <w:autoSpaceDE w:val="0"/>
        <w:spacing w:before="240" w:after="240"/>
        <w:ind w:left="567"/>
        <w:jc w:val="both"/>
        <w:rPr>
          <w:sz w:val="22"/>
          <w:szCs w:val="22"/>
        </w:rPr>
      </w:pPr>
      <w:r>
        <w:rPr>
          <w:sz w:val="22"/>
          <w:szCs w:val="22"/>
        </w:rPr>
        <w:t xml:space="preserve">The State of India for whom we act </w:t>
      </w:r>
      <w:r w:rsidR="00C53313">
        <w:rPr>
          <w:sz w:val="22"/>
          <w:szCs w:val="22"/>
        </w:rPr>
        <w:t>have no interest or make any claim to the funds in question.”</w:t>
      </w:r>
    </w:p>
    <w:p w14:paraId="53F545B6" w14:textId="77777777" w:rsidR="002D7BF9" w:rsidRDefault="0097329B" w:rsidP="00D44E32">
      <w:pPr>
        <w:numPr>
          <w:ilvl w:val="0"/>
          <w:numId w:val="2"/>
        </w:numPr>
        <w:autoSpaceDE w:val="0"/>
        <w:spacing w:before="240" w:after="240"/>
        <w:jc w:val="both"/>
      </w:pPr>
      <w:r>
        <w:t xml:space="preserve">Proceedings were commenced by </w:t>
      </w:r>
      <w:r w:rsidR="00286477">
        <w:t>Nizam VII and the State of Hyderabad by a writ issued on 8 July 1954.</w:t>
      </w:r>
      <w:r w:rsidR="006F64C2">
        <w:t xml:space="preserve"> The defendants were </w:t>
      </w:r>
      <w:r w:rsidR="006F64C2">
        <w:rPr>
          <w:i/>
          <w:iCs/>
        </w:rPr>
        <w:t xml:space="preserve">(i) </w:t>
      </w:r>
      <w:r w:rsidR="006F64C2">
        <w:t xml:space="preserve">Moin, </w:t>
      </w:r>
      <w:r w:rsidR="006F64C2">
        <w:rPr>
          <w:i/>
          <w:iCs/>
        </w:rPr>
        <w:t xml:space="preserve">(ii) </w:t>
      </w:r>
      <w:r w:rsidR="00B10F3F">
        <w:t>the</w:t>
      </w:r>
      <w:r w:rsidR="006F64C2">
        <w:t xml:space="preserve"> Bank and </w:t>
      </w:r>
      <w:r w:rsidR="006F64C2">
        <w:rPr>
          <w:i/>
          <w:iCs/>
        </w:rPr>
        <w:t>(iii)</w:t>
      </w:r>
      <w:r w:rsidR="006F64C2">
        <w:t xml:space="preserve"> Rahimtoola.</w:t>
      </w:r>
    </w:p>
    <w:p w14:paraId="03803741" w14:textId="77777777" w:rsidR="00726DA8" w:rsidRDefault="00F32F88" w:rsidP="00D44E32">
      <w:pPr>
        <w:numPr>
          <w:ilvl w:val="0"/>
          <w:numId w:val="2"/>
        </w:numPr>
        <w:autoSpaceDE w:val="0"/>
        <w:spacing w:before="240" w:after="240"/>
        <w:jc w:val="both"/>
      </w:pPr>
      <w:r>
        <w:t xml:space="preserve">In response to the letter of </w:t>
      </w:r>
      <w:r w:rsidR="009E2235">
        <w:t xml:space="preserve">8 June 1954 (referred to in paragraph </w:t>
      </w:r>
      <w:r w:rsidR="009138B6">
        <w:t>156</w:t>
      </w:r>
      <w:r w:rsidR="009E2235">
        <w:t xml:space="preserve"> above), </w:t>
      </w:r>
      <w:r w:rsidR="003F488A">
        <w:t xml:space="preserve">Pakistan’s solicitors in the 1954 Proceedings </w:t>
      </w:r>
      <w:r w:rsidR="00726DA8">
        <w:t xml:space="preserve">wrote to </w:t>
      </w:r>
      <w:r w:rsidR="003F488A">
        <w:t xml:space="preserve">the Bank’s solicitors </w:t>
      </w:r>
      <w:r w:rsidR="00726DA8">
        <w:t>as follows</w:t>
      </w:r>
      <w:r w:rsidR="00225309">
        <w:t xml:space="preserve"> on 9 July 1954</w:t>
      </w:r>
      <w:r w:rsidR="00726DA8">
        <w:t>:</w:t>
      </w:r>
    </w:p>
    <w:p w14:paraId="68D46DCF" w14:textId="77777777" w:rsidR="00726DA8" w:rsidRDefault="00726DA8" w:rsidP="00726DA8">
      <w:pPr>
        <w:autoSpaceDE w:val="0"/>
        <w:spacing w:before="240" w:after="240"/>
        <w:ind w:left="567"/>
        <w:jc w:val="both"/>
        <w:rPr>
          <w:sz w:val="22"/>
          <w:szCs w:val="22"/>
        </w:rPr>
      </w:pPr>
      <w:r>
        <w:rPr>
          <w:sz w:val="22"/>
          <w:szCs w:val="22"/>
        </w:rPr>
        <w:t>“</w:t>
      </w:r>
      <w:r w:rsidR="00126F8E">
        <w:rPr>
          <w:sz w:val="22"/>
          <w:szCs w:val="22"/>
        </w:rPr>
        <w:t>…as you are aware, Mr Rahimtoola</w:t>
      </w:r>
      <w:r w:rsidR="007A0B77">
        <w:rPr>
          <w:sz w:val="22"/>
          <w:szCs w:val="22"/>
        </w:rPr>
        <w:t xml:space="preserve">, who is now the Governor of West Punjab in Pakistan, does not claim any personal interest in the monies. </w:t>
      </w:r>
      <w:r w:rsidR="00D839FE">
        <w:rPr>
          <w:sz w:val="22"/>
          <w:szCs w:val="22"/>
        </w:rPr>
        <w:t xml:space="preserve">He was concerned solely as agent of the Government of Pakistan, of which he was High Commissioner in the United Kingdom </w:t>
      </w:r>
      <w:r w:rsidR="00F71AB2">
        <w:rPr>
          <w:sz w:val="22"/>
          <w:szCs w:val="22"/>
        </w:rPr>
        <w:t xml:space="preserve">at the relevant time and on whose behalf the monies were originally transferred to him. </w:t>
      </w:r>
    </w:p>
    <w:p w14:paraId="38859D0E" w14:textId="77777777" w:rsidR="00F71AB2" w:rsidRDefault="00F71AB2" w:rsidP="00726DA8">
      <w:pPr>
        <w:autoSpaceDE w:val="0"/>
        <w:spacing w:before="240" w:after="240"/>
        <w:ind w:left="567"/>
        <w:jc w:val="both"/>
        <w:rPr>
          <w:sz w:val="22"/>
          <w:szCs w:val="22"/>
        </w:rPr>
      </w:pPr>
      <w:r>
        <w:rPr>
          <w:sz w:val="22"/>
          <w:szCs w:val="22"/>
        </w:rPr>
        <w:t xml:space="preserve">The Government of Pakistan do claim to be entitled to the monies in question </w:t>
      </w:r>
      <w:r w:rsidR="006959B1">
        <w:rPr>
          <w:sz w:val="22"/>
          <w:szCs w:val="22"/>
        </w:rPr>
        <w:t xml:space="preserve">and they do not recognise that as a matter of </w:t>
      </w:r>
      <w:r w:rsidR="006959B1">
        <w:rPr>
          <w:sz w:val="22"/>
          <w:szCs w:val="22"/>
          <w:u w:val="single"/>
        </w:rPr>
        <w:t>public international law</w:t>
      </w:r>
      <w:r w:rsidR="0052720D">
        <w:rPr>
          <w:sz w:val="22"/>
          <w:szCs w:val="22"/>
        </w:rPr>
        <w:t xml:space="preserve"> either the Nizam</w:t>
      </w:r>
      <w:r w:rsidR="00041C8D">
        <w:rPr>
          <w:sz w:val="22"/>
          <w:szCs w:val="22"/>
        </w:rPr>
        <w:t xml:space="preserve"> of Hyderabad </w:t>
      </w:r>
      <w:r w:rsidR="00686298">
        <w:rPr>
          <w:sz w:val="22"/>
          <w:szCs w:val="22"/>
        </w:rPr>
        <w:t>or the present Government of the State of Hyderabad or the Government of India</w:t>
      </w:r>
      <w:r w:rsidR="007770CD">
        <w:rPr>
          <w:sz w:val="22"/>
          <w:szCs w:val="22"/>
        </w:rPr>
        <w:t xml:space="preserve"> (who you previously informed us had also made a claim) is the </w:t>
      </w:r>
      <w:r w:rsidR="007770CD">
        <w:rPr>
          <w:sz w:val="22"/>
          <w:szCs w:val="22"/>
          <w:u w:val="single"/>
        </w:rPr>
        <w:t>de jure</w:t>
      </w:r>
      <w:r w:rsidR="007770CD">
        <w:rPr>
          <w:sz w:val="22"/>
          <w:szCs w:val="22"/>
        </w:rPr>
        <w:t xml:space="preserve"> successor to the State of Hyderabad as it existed </w:t>
      </w:r>
      <w:r w:rsidR="00D420A4">
        <w:rPr>
          <w:sz w:val="22"/>
          <w:szCs w:val="22"/>
        </w:rPr>
        <w:t>at any relevant time. The issues involved are obviously unsuitable for adjudication</w:t>
      </w:r>
      <w:r w:rsidR="0052720D">
        <w:rPr>
          <w:sz w:val="22"/>
          <w:szCs w:val="22"/>
        </w:rPr>
        <w:t xml:space="preserve"> </w:t>
      </w:r>
      <w:r w:rsidR="00AF5F34">
        <w:rPr>
          <w:sz w:val="22"/>
          <w:szCs w:val="22"/>
        </w:rPr>
        <w:t xml:space="preserve">by any municipal, as opposed to international, tribunal and the Government of Pakistan are not prepared to </w:t>
      </w:r>
      <w:r w:rsidR="00461E11">
        <w:rPr>
          <w:sz w:val="22"/>
          <w:szCs w:val="22"/>
        </w:rPr>
        <w:t xml:space="preserve">waive their sovereign immunity </w:t>
      </w:r>
      <w:r w:rsidR="00A858F7">
        <w:rPr>
          <w:sz w:val="22"/>
          <w:szCs w:val="22"/>
        </w:rPr>
        <w:t xml:space="preserve">to the jurisdiction of the Courts of the United Kingdom either by consenting to be made parties to the Interpleader proceedings </w:t>
      </w:r>
      <w:r w:rsidR="0047561D">
        <w:rPr>
          <w:sz w:val="22"/>
          <w:szCs w:val="22"/>
        </w:rPr>
        <w:t>initiated by your clients or otherwise.</w:t>
      </w:r>
    </w:p>
    <w:p w14:paraId="78E6E96A" w14:textId="77777777" w:rsidR="0047561D" w:rsidRPr="006959B1" w:rsidRDefault="0047561D" w:rsidP="00726DA8">
      <w:pPr>
        <w:autoSpaceDE w:val="0"/>
        <w:spacing w:before="240" w:after="240"/>
        <w:ind w:left="567"/>
        <w:jc w:val="both"/>
        <w:rPr>
          <w:sz w:val="22"/>
          <w:szCs w:val="22"/>
        </w:rPr>
      </w:pPr>
      <w:r>
        <w:rPr>
          <w:sz w:val="22"/>
          <w:szCs w:val="22"/>
        </w:rPr>
        <w:t xml:space="preserve">In these circumstances, we cannot agree to accept service of any proceedings </w:t>
      </w:r>
      <w:r w:rsidR="005326DD">
        <w:rPr>
          <w:sz w:val="22"/>
          <w:szCs w:val="22"/>
        </w:rPr>
        <w:t xml:space="preserve">on behalf of the Government of Pakistan and we are </w:t>
      </w:r>
      <w:r w:rsidR="006C1810">
        <w:rPr>
          <w:sz w:val="22"/>
          <w:szCs w:val="22"/>
        </w:rPr>
        <w:t>instructed to inform you that if service of proceedings is effected on the Government of Pakistan steps will be taken to have such service set aside.”</w:t>
      </w:r>
    </w:p>
    <w:p w14:paraId="4D9584B6" w14:textId="77777777" w:rsidR="00D75449" w:rsidRDefault="001B46EE" w:rsidP="00D44E32">
      <w:pPr>
        <w:numPr>
          <w:ilvl w:val="0"/>
          <w:numId w:val="2"/>
        </w:numPr>
        <w:autoSpaceDE w:val="0"/>
        <w:spacing w:before="240" w:after="240"/>
        <w:jc w:val="both"/>
      </w:pPr>
      <w:r>
        <w:t xml:space="preserve">The Bank’s solicitors </w:t>
      </w:r>
      <w:r w:rsidR="004A1A3B">
        <w:t xml:space="preserve">responded </w:t>
      </w:r>
      <w:r w:rsidR="00192EC5">
        <w:t>on 29 July 1954</w:t>
      </w:r>
      <w:r w:rsidR="00437795">
        <w:t xml:space="preserve">, noting the contents of this letter, but noting also that Nizam VII had commenced proceedings and that </w:t>
      </w:r>
      <w:r w:rsidR="0095615E">
        <w:t xml:space="preserve">the dispute would no doubt come before the court in due course. On behalf of </w:t>
      </w:r>
      <w:r>
        <w:t xml:space="preserve">the </w:t>
      </w:r>
      <w:r w:rsidR="0095615E">
        <w:t xml:space="preserve">Bank, it was stressed </w:t>
      </w:r>
      <w:r w:rsidR="00D0565B">
        <w:t xml:space="preserve">that the </w:t>
      </w:r>
      <w:r>
        <w:t>B</w:t>
      </w:r>
      <w:r w:rsidR="00D0565B">
        <w:t>an</w:t>
      </w:r>
      <w:r>
        <w:t>k</w:t>
      </w:r>
      <w:r w:rsidR="00D0565B">
        <w:t xml:space="preserve"> had “no interest in this matter save as bankers</w:t>
      </w:r>
      <w:r w:rsidR="00655217">
        <w:t>”. As regards India:</w:t>
      </w:r>
    </w:p>
    <w:p w14:paraId="7C112809" w14:textId="77777777" w:rsidR="00655217" w:rsidRPr="00655217" w:rsidRDefault="00655217" w:rsidP="00655217">
      <w:pPr>
        <w:autoSpaceDE w:val="0"/>
        <w:spacing w:before="240" w:after="240"/>
        <w:ind w:left="567"/>
        <w:jc w:val="both"/>
        <w:rPr>
          <w:sz w:val="22"/>
          <w:szCs w:val="22"/>
        </w:rPr>
      </w:pPr>
      <w:r>
        <w:rPr>
          <w:sz w:val="22"/>
          <w:szCs w:val="22"/>
        </w:rPr>
        <w:t>“</w:t>
      </w:r>
      <w:r w:rsidR="00A045C3">
        <w:rPr>
          <w:sz w:val="22"/>
          <w:szCs w:val="22"/>
        </w:rPr>
        <w:t>[India’s solicitors in the 1954 Proceedings]</w:t>
      </w:r>
      <w:r>
        <w:rPr>
          <w:sz w:val="22"/>
          <w:szCs w:val="22"/>
        </w:rPr>
        <w:t xml:space="preserve"> have informed us </w:t>
      </w:r>
      <w:r w:rsidR="00F438C0">
        <w:rPr>
          <w:sz w:val="22"/>
          <w:szCs w:val="22"/>
        </w:rPr>
        <w:t>that the State of India, for whom they act, have no interest nor make any claim to the funds in question</w:t>
      </w:r>
      <w:r w:rsidR="00992D6D">
        <w:rPr>
          <w:sz w:val="22"/>
          <w:szCs w:val="22"/>
        </w:rPr>
        <w:t>.”</w:t>
      </w:r>
    </w:p>
    <w:p w14:paraId="3939CD04" w14:textId="77777777" w:rsidR="00655217" w:rsidRDefault="007A5302" w:rsidP="00D44E32">
      <w:pPr>
        <w:numPr>
          <w:ilvl w:val="0"/>
          <w:numId w:val="2"/>
        </w:numPr>
        <w:autoSpaceDE w:val="0"/>
        <w:spacing w:before="240" w:after="240"/>
        <w:jc w:val="both"/>
      </w:pPr>
      <w:r>
        <w:t xml:space="preserve">On 8 July 1955, </w:t>
      </w:r>
      <w:r w:rsidR="0039058E">
        <w:t xml:space="preserve">Pakistan wrote to </w:t>
      </w:r>
      <w:r w:rsidR="0039698A">
        <w:t xml:space="preserve">her solicitors </w:t>
      </w:r>
      <w:r w:rsidR="006D009C">
        <w:t>with the following instructions:</w:t>
      </w:r>
    </w:p>
    <w:p w14:paraId="797AF415" w14:textId="77777777" w:rsidR="00EB384E" w:rsidRDefault="006D009C" w:rsidP="006D009C">
      <w:pPr>
        <w:autoSpaceDE w:val="0"/>
        <w:spacing w:before="240" w:after="240"/>
        <w:ind w:left="567"/>
        <w:jc w:val="both"/>
        <w:rPr>
          <w:sz w:val="22"/>
          <w:szCs w:val="22"/>
        </w:rPr>
      </w:pPr>
      <w:r>
        <w:rPr>
          <w:sz w:val="22"/>
          <w:szCs w:val="22"/>
        </w:rPr>
        <w:t xml:space="preserve">“With reference to the above mentioned action in which the plaintiffs are claiming </w:t>
      </w:r>
      <w:r w:rsidR="00D73938">
        <w:rPr>
          <w:sz w:val="22"/>
          <w:szCs w:val="22"/>
        </w:rPr>
        <w:t xml:space="preserve">the sums of £1,007,940.9.0d now standing to the credit of </w:t>
      </w:r>
      <w:r w:rsidR="004D6F33">
        <w:rPr>
          <w:sz w:val="22"/>
          <w:szCs w:val="22"/>
        </w:rPr>
        <w:t>Mr Rahimtoola</w:t>
      </w:r>
      <w:r w:rsidR="00C64435">
        <w:rPr>
          <w:sz w:val="22"/>
          <w:szCs w:val="22"/>
        </w:rPr>
        <w:t xml:space="preserve"> with Westminster Bank</w:t>
      </w:r>
      <w:r w:rsidR="00FA4E38">
        <w:rPr>
          <w:sz w:val="22"/>
          <w:szCs w:val="22"/>
        </w:rPr>
        <w:t xml:space="preserve"> I now instruct you on behalf of my Government to take such steps as may be necessary </w:t>
      </w:r>
      <w:r w:rsidR="00C233E3">
        <w:rPr>
          <w:sz w:val="22"/>
          <w:szCs w:val="22"/>
        </w:rPr>
        <w:t>to bring to the attention of the Court the fact that my Government claims to be entitled to the said sum</w:t>
      </w:r>
      <w:r w:rsidR="000C7C3B">
        <w:rPr>
          <w:sz w:val="22"/>
          <w:szCs w:val="22"/>
        </w:rPr>
        <w:t xml:space="preserve">, </w:t>
      </w:r>
      <w:r w:rsidR="009E52AA">
        <w:rPr>
          <w:sz w:val="22"/>
          <w:szCs w:val="22"/>
        </w:rPr>
        <w:t xml:space="preserve">which is held by Mr Rahimtoola as its agent, </w:t>
      </w:r>
      <w:r w:rsidR="000C7C3B">
        <w:rPr>
          <w:sz w:val="22"/>
          <w:szCs w:val="22"/>
        </w:rPr>
        <w:t xml:space="preserve">and declines to submit to the jurisdiction of the English Courts in any proceedings </w:t>
      </w:r>
      <w:r w:rsidR="00605D64">
        <w:rPr>
          <w:sz w:val="22"/>
          <w:szCs w:val="22"/>
        </w:rPr>
        <w:t>relating thereto</w:t>
      </w:r>
      <w:r w:rsidR="00DD1E39">
        <w:rPr>
          <w:sz w:val="22"/>
          <w:szCs w:val="22"/>
        </w:rPr>
        <w:t xml:space="preserve"> and accordingly that my Government objects, on the ground of its sovereign immunity</w:t>
      </w:r>
      <w:r w:rsidR="00430FDF">
        <w:rPr>
          <w:sz w:val="22"/>
          <w:szCs w:val="22"/>
        </w:rPr>
        <w:t xml:space="preserve"> to the jurisdiction of the English Courts, to this action being proceeded with</w:t>
      </w:r>
      <w:r w:rsidR="00EB384E">
        <w:rPr>
          <w:sz w:val="22"/>
          <w:szCs w:val="22"/>
        </w:rPr>
        <w:t xml:space="preserve"> against Mr Rahi</w:t>
      </w:r>
      <w:r w:rsidR="0021086D">
        <w:rPr>
          <w:sz w:val="22"/>
          <w:szCs w:val="22"/>
        </w:rPr>
        <w:t>m</w:t>
      </w:r>
      <w:r w:rsidR="00EB384E">
        <w:rPr>
          <w:sz w:val="22"/>
          <w:szCs w:val="22"/>
        </w:rPr>
        <w:t>toola, since it is one which directly or indirectly impleads my Government.</w:t>
      </w:r>
    </w:p>
    <w:p w14:paraId="7CF2BD77" w14:textId="77777777" w:rsidR="006D009C" w:rsidRPr="006D009C" w:rsidRDefault="00EB384E" w:rsidP="006D009C">
      <w:pPr>
        <w:autoSpaceDE w:val="0"/>
        <w:spacing w:before="240" w:after="240"/>
        <w:ind w:left="567"/>
        <w:jc w:val="both"/>
        <w:rPr>
          <w:sz w:val="22"/>
          <w:szCs w:val="22"/>
        </w:rPr>
      </w:pPr>
      <w:r>
        <w:rPr>
          <w:sz w:val="22"/>
          <w:szCs w:val="22"/>
        </w:rPr>
        <w:lastRenderedPageBreak/>
        <w:t>This letter is written by the direction of and on behalf of the Government of Pakistan.”</w:t>
      </w:r>
      <w:r w:rsidR="00DD1E39">
        <w:rPr>
          <w:sz w:val="22"/>
          <w:szCs w:val="22"/>
        </w:rPr>
        <w:t xml:space="preserve"> </w:t>
      </w:r>
    </w:p>
    <w:p w14:paraId="075B778B" w14:textId="77777777" w:rsidR="00192EC5" w:rsidRDefault="00700160" w:rsidP="00D44E32">
      <w:pPr>
        <w:numPr>
          <w:ilvl w:val="0"/>
          <w:numId w:val="2"/>
        </w:numPr>
        <w:autoSpaceDE w:val="0"/>
        <w:spacing w:before="240" w:after="240"/>
        <w:jc w:val="both"/>
      </w:pPr>
      <w:r>
        <w:t>This document was placed before the court in the proceedings commenced by Nizam VII</w:t>
      </w:r>
      <w:r w:rsidR="00C808D4">
        <w:t xml:space="preserve">. As </w:t>
      </w:r>
      <w:r w:rsidR="000117BC">
        <w:t>I have described</w:t>
      </w:r>
      <w:r w:rsidR="00C808D4">
        <w:t>, Pakistan did not venture beyond this bare assertion of</w:t>
      </w:r>
      <w:r w:rsidR="0021050D">
        <w:t xml:space="preserve"> an interest in the Fund, without articulating how, if at all, a beneficial interest arose.</w:t>
      </w:r>
      <w:r w:rsidR="000117BC">
        <w:rPr>
          <w:rStyle w:val="FootnoteReference"/>
        </w:rPr>
        <w:footnoteReference w:id="109"/>
      </w:r>
    </w:p>
    <w:p w14:paraId="5B05C5F8" w14:textId="77777777" w:rsidR="007D5C23" w:rsidRDefault="007D5C23" w:rsidP="00D44E32">
      <w:pPr>
        <w:numPr>
          <w:ilvl w:val="0"/>
          <w:numId w:val="2"/>
        </w:numPr>
        <w:autoSpaceDE w:val="0"/>
        <w:spacing w:before="240" w:after="240"/>
        <w:jc w:val="both"/>
      </w:pPr>
      <w:r>
        <w:t xml:space="preserve">The matter came before Upjohn J in </w:t>
      </w:r>
      <w:r w:rsidR="00366788">
        <w:t>the Chancery Division and was heard by him in June/July 1956.</w:t>
      </w:r>
      <w:r w:rsidR="0089358D">
        <w:rPr>
          <w:rStyle w:val="FootnoteReference"/>
        </w:rPr>
        <w:footnoteReference w:id="110"/>
      </w:r>
      <w:r w:rsidR="00366788">
        <w:t xml:space="preserve"> He held that the debt</w:t>
      </w:r>
      <w:r w:rsidR="002E49AE">
        <w:t xml:space="preserve">, being vested in Rahimtoola as a servant of the Government of Pakistan, must be treated as a debt </w:t>
      </w:r>
      <w:r w:rsidR="0089358D">
        <w:t xml:space="preserve">which was due at law to the Government and to which the </w:t>
      </w:r>
      <w:r w:rsidR="00C84555">
        <w:t>Government had a title that was not illusory or manifestly defective</w:t>
      </w:r>
      <w:r w:rsidR="004D6574">
        <w:t>, even though the Government showed no equitable title to the debt.</w:t>
      </w:r>
      <w:r w:rsidR="00B274F0">
        <w:t xml:space="preserve"> On appeal to the Court of Appeal,</w:t>
      </w:r>
      <w:r w:rsidR="00D12B99">
        <w:rPr>
          <w:rStyle w:val="FootnoteReference"/>
        </w:rPr>
        <w:footnoteReference w:id="111"/>
      </w:r>
      <w:r w:rsidR="00B274F0">
        <w:t xml:space="preserve"> </w:t>
      </w:r>
      <w:r w:rsidR="007A22E1">
        <w:t>this decision was overturned</w:t>
      </w:r>
      <w:r w:rsidR="00717B64">
        <w:t>. The matter came before the House of Lords</w:t>
      </w:r>
      <w:r w:rsidR="00C5037E">
        <w:t>,</w:t>
      </w:r>
      <w:r w:rsidR="00F36F96">
        <w:rPr>
          <w:rStyle w:val="FootnoteReference"/>
        </w:rPr>
        <w:footnoteReference w:id="112"/>
      </w:r>
      <w:r w:rsidR="00C5037E">
        <w:t xml:space="preserve"> which held that </w:t>
      </w:r>
      <w:r w:rsidR="007F7700">
        <w:t xml:space="preserve">the proceedings should be stayed because Rahimtoola was </w:t>
      </w:r>
      <w:r w:rsidR="00A91637">
        <w:t>the agent of the sovereign state of Pakistan, which had the legal title to the subject matter of the action</w:t>
      </w:r>
      <w:r w:rsidR="00D12B99">
        <w:t xml:space="preserve"> and the right to sue the </w:t>
      </w:r>
      <w:r w:rsidR="000117BC">
        <w:t>B</w:t>
      </w:r>
      <w:r w:rsidR="00D12B99">
        <w:t>ank for it.</w:t>
      </w:r>
      <w:r w:rsidR="00AF50F1">
        <w:t xml:space="preserve"> I have already described the </w:t>
      </w:r>
      <w:r w:rsidR="00F045F2">
        <w:t xml:space="preserve">strategic course pursued </w:t>
      </w:r>
      <w:r w:rsidR="004E34DE" w:rsidRPr="000F2E99">
        <w:t>by</w:t>
      </w:r>
      <w:r w:rsidR="004E34DE">
        <w:t xml:space="preserve"> </w:t>
      </w:r>
      <w:r w:rsidR="00F045F2">
        <w:t xml:space="preserve">Pakistan in the 1954 Proceedings </w:t>
      </w:r>
      <w:r w:rsidR="00F045F2">
        <w:rPr>
          <w:u w:val="single"/>
        </w:rPr>
        <w:t>not</w:t>
      </w:r>
      <w:r w:rsidR="00F045F2">
        <w:t xml:space="preserve"> to assert any beneficial interest in the Fund.</w:t>
      </w:r>
      <w:r w:rsidR="00F045F2">
        <w:rPr>
          <w:rStyle w:val="FootnoteReference"/>
        </w:rPr>
        <w:footnoteReference w:id="113"/>
      </w:r>
    </w:p>
    <w:p w14:paraId="078896F6" w14:textId="77777777" w:rsidR="00E70330" w:rsidRDefault="008D2BA7" w:rsidP="00D44E32">
      <w:pPr>
        <w:numPr>
          <w:ilvl w:val="0"/>
          <w:numId w:val="2"/>
        </w:numPr>
        <w:autoSpaceDE w:val="0"/>
        <w:spacing w:before="240" w:after="240"/>
        <w:jc w:val="both"/>
      </w:pPr>
      <w:r>
        <w:t xml:space="preserve">It is necessary to describe the events leading up to </w:t>
      </w:r>
      <w:r w:rsidR="00142B4A">
        <w:t xml:space="preserve">the 1954 Proceedings </w:t>
      </w:r>
      <w:r w:rsidR="006241FF">
        <w:t xml:space="preserve">in </w:t>
      </w:r>
      <w:r w:rsidR="00F045F2">
        <w:t>this</w:t>
      </w:r>
      <w:r w:rsidR="006241FF">
        <w:t xml:space="preserve"> detail </w:t>
      </w:r>
      <w:r w:rsidR="00594549">
        <w:t xml:space="preserve">in order to </w:t>
      </w:r>
      <w:r w:rsidR="00045563">
        <w:t xml:space="preserve">deal with </w:t>
      </w:r>
      <w:r w:rsidR="00142B4A">
        <w:t xml:space="preserve">one point, which was </w:t>
      </w:r>
      <w:r w:rsidR="00B2211A">
        <w:t>pressed by Pakistan during the interlocutory stages of these proceedings, and mentioned (but not pressed very hard) by Mr Qureshi, QC in his submissions at trial</w:t>
      </w:r>
      <w:r w:rsidR="00045563">
        <w:t>. The point was not, however, abandoned</w:t>
      </w:r>
      <w:r w:rsidR="004C7376">
        <w:t xml:space="preserve"> and so I deal with it now</w:t>
      </w:r>
      <w:r w:rsidR="00594549">
        <w:t>:</w:t>
      </w:r>
      <w:r w:rsidR="004C7376">
        <w:t xml:space="preserve"> </w:t>
      </w:r>
    </w:p>
    <w:p w14:paraId="1E140302" w14:textId="77777777" w:rsidR="008D2BA7" w:rsidRDefault="004C7376" w:rsidP="00E70330">
      <w:pPr>
        <w:numPr>
          <w:ilvl w:val="1"/>
          <w:numId w:val="2"/>
        </w:numPr>
        <w:autoSpaceDE w:val="0"/>
        <w:spacing w:before="240" w:after="240"/>
        <w:jc w:val="both"/>
      </w:pPr>
      <w:r>
        <w:t xml:space="preserve">In support of Pakistan’s contention </w:t>
      </w:r>
      <w:r w:rsidR="001A1D10">
        <w:t xml:space="preserve">that India had behaved illegally, it was suggested that India had – through her solicitors </w:t>
      </w:r>
      <w:r w:rsidR="00CF729B">
        <w:t>–</w:t>
      </w:r>
      <w:r w:rsidR="001A1D10">
        <w:t xml:space="preserve"> </w:t>
      </w:r>
      <w:r w:rsidR="00CF729B">
        <w:t xml:space="preserve">deliberately lied </w:t>
      </w:r>
      <w:r w:rsidR="00E70330">
        <w:t>as to her interest in the Fund.</w:t>
      </w:r>
    </w:p>
    <w:p w14:paraId="00C41A94" w14:textId="77777777" w:rsidR="00E70330" w:rsidRDefault="00E70330" w:rsidP="00E70330">
      <w:pPr>
        <w:numPr>
          <w:ilvl w:val="1"/>
          <w:numId w:val="2"/>
        </w:numPr>
        <w:autoSpaceDE w:val="0"/>
        <w:spacing w:before="240" w:after="240"/>
        <w:jc w:val="both"/>
      </w:pPr>
      <w:r>
        <w:t xml:space="preserve">It was said that </w:t>
      </w:r>
      <w:r w:rsidR="00FF6A7C">
        <w:t xml:space="preserve">the statement made on behalf of India </w:t>
      </w:r>
      <w:r w:rsidR="00AA6A55">
        <w:t>in the 11 June 1954 letter</w:t>
      </w:r>
      <w:r w:rsidR="00255EE7">
        <w:rPr>
          <w:rStyle w:val="FootnoteReference"/>
        </w:rPr>
        <w:footnoteReference w:id="114"/>
      </w:r>
      <w:r w:rsidR="001420BE">
        <w:t xml:space="preserve"> that </w:t>
      </w:r>
      <w:r w:rsidR="008D11BB">
        <w:t>“[t]he State of India for whom we act have no interest or make any claim to the funds in question”</w:t>
      </w:r>
      <w:r w:rsidR="00777B4F">
        <w:t xml:space="preserve"> – which was referred to in the Bank’s solicitors’ letter of 29 July 1954</w:t>
      </w:r>
      <w:r w:rsidR="00655C29">
        <w:rPr>
          <w:rStyle w:val="FootnoteReference"/>
        </w:rPr>
        <w:footnoteReference w:id="115"/>
      </w:r>
      <w:r w:rsidR="00655C29">
        <w:t xml:space="preserve"> – was not only false, but knowingly so.</w:t>
      </w:r>
    </w:p>
    <w:p w14:paraId="7E3C51BD" w14:textId="77777777" w:rsidR="00655C29" w:rsidRDefault="00E32BD7" w:rsidP="00E70330">
      <w:pPr>
        <w:numPr>
          <w:ilvl w:val="1"/>
          <w:numId w:val="2"/>
        </w:numPr>
        <w:autoSpaceDE w:val="0"/>
        <w:spacing w:before="240" w:after="240"/>
        <w:jc w:val="both"/>
      </w:pPr>
      <w:r>
        <w:t xml:space="preserve">At an interlocutory stage – when </w:t>
      </w:r>
      <w:r w:rsidR="00E16E9F">
        <w:t>this point was raised</w:t>
      </w:r>
      <w:r>
        <w:t xml:space="preserve"> – I indicated </w:t>
      </w:r>
      <w:r w:rsidR="00E940AE">
        <w:t>that the contention seemed to me to be unarguable</w:t>
      </w:r>
      <w:r w:rsidR="005E13BF">
        <w:t>, and I refused to grant Pakistan permission to amend her case to advance it</w:t>
      </w:r>
      <w:r w:rsidR="00E940AE">
        <w:t xml:space="preserve">. That remains my view. In point of fact, </w:t>
      </w:r>
      <w:r w:rsidR="00E940AE">
        <w:rPr>
          <w:u w:val="single"/>
        </w:rPr>
        <w:t>at this time</w:t>
      </w:r>
      <w:r w:rsidR="00E940AE">
        <w:t xml:space="preserve">, India had no </w:t>
      </w:r>
      <w:r w:rsidR="00BA623C">
        <w:t xml:space="preserve">legal </w:t>
      </w:r>
      <w:r w:rsidR="00E940AE">
        <w:t>interest in the Fund</w:t>
      </w:r>
      <w:r w:rsidR="00407A5B">
        <w:t xml:space="preserve"> and the statement in the 11 June 1954 letter is entirely accurate. </w:t>
      </w:r>
      <w:r w:rsidR="00BA623C">
        <w:t>I reject any suggestion that the letters – when they refer to an “interest” – a</w:t>
      </w:r>
      <w:r w:rsidR="000F2CCD">
        <w:t>re</w:t>
      </w:r>
      <w:r w:rsidR="00BA623C">
        <w:t xml:space="preserve"> referring </w:t>
      </w:r>
      <w:r w:rsidR="000F2CCD">
        <w:t>to anything other than an assertion of right in the Fund. Given the nature of the correspondence, that point is simply not tenable.</w:t>
      </w:r>
    </w:p>
    <w:p w14:paraId="6B18C5C8" w14:textId="77777777" w:rsidR="00407A5B" w:rsidRDefault="00407A5B" w:rsidP="00E70330">
      <w:pPr>
        <w:numPr>
          <w:ilvl w:val="1"/>
          <w:numId w:val="2"/>
        </w:numPr>
        <w:autoSpaceDE w:val="0"/>
        <w:spacing w:before="240" w:after="240"/>
        <w:jc w:val="both"/>
      </w:pPr>
      <w:r>
        <w:t xml:space="preserve">Subsequently, of course, </w:t>
      </w:r>
      <w:r w:rsidR="00112B05">
        <w:t>Nizam</w:t>
      </w:r>
      <w:r w:rsidR="00433F6C">
        <w:t xml:space="preserve"> VII</w:t>
      </w:r>
      <w:r w:rsidR="00112B05">
        <w:t xml:space="preserve"> effected the 1965 Assignment which gave – or arguabl</w:t>
      </w:r>
      <w:r w:rsidR="008D48C1">
        <w:t>y</w:t>
      </w:r>
      <w:r w:rsidR="00112B05">
        <w:t xml:space="preserve"> gave – India an interest</w:t>
      </w:r>
      <w:r w:rsidR="00A77D6D">
        <w:t xml:space="preserve"> in the Fund</w:t>
      </w:r>
      <w:r w:rsidR="00112B05">
        <w:t xml:space="preserve">. </w:t>
      </w:r>
      <w:r w:rsidR="00E5246D">
        <w:t xml:space="preserve">That later assignment can in no </w:t>
      </w:r>
      <w:r w:rsidR="00E5246D">
        <w:lastRenderedPageBreak/>
        <w:t xml:space="preserve">way retrospectively turn the accurate statement made by India’s solicitors in the 1954 Proceedings </w:t>
      </w:r>
      <w:r w:rsidR="00E400C6">
        <w:t>into a false one – still less a knowingly false one.</w:t>
      </w:r>
    </w:p>
    <w:p w14:paraId="30687448" w14:textId="77777777" w:rsidR="00804A4F" w:rsidRDefault="00804A4F" w:rsidP="00B02DE9">
      <w:pPr>
        <w:keepNext/>
        <w:tabs>
          <w:tab w:val="left" w:pos="567"/>
        </w:tabs>
        <w:autoSpaceDE w:val="0"/>
        <w:spacing w:before="240" w:after="240"/>
        <w:jc w:val="both"/>
        <w:rPr>
          <w:b/>
          <w:bCs/>
        </w:rPr>
      </w:pPr>
      <w:r>
        <w:rPr>
          <w:b/>
          <w:bCs/>
        </w:rPr>
        <w:t>(</w:t>
      </w:r>
      <w:r w:rsidR="00405A7A">
        <w:rPr>
          <w:b/>
          <w:bCs/>
        </w:rPr>
        <w:t>5</w:t>
      </w:r>
      <w:r>
        <w:rPr>
          <w:b/>
          <w:bCs/>
        </w:rPr>
        <w:t>)</w:t>
      </w:r>
      <w:r>
        <w:rPr>
          <w:b/>
          <w:bCs/>
        </w:rPr>
        <w:tab/>
        <w:t>The 1956 Assignment</w:t>
      </w:r>
    </w:p>
    <w:p w14:paraId="3241B3EA" w14:textId="77777777" w:rsidR="00804A4F" w:rsidRPr="004A1364" w:rsidRDefault="00804A4F" w:rsidP="00804A4F">
      <w:pPr>
        <w:numPr>
          <w:ilvl w:val="0"/>
          <w:numId w:val="2"/>
        </w:numPr>
        <w:autoSpaceDE w:val="0"/>
        <w:spacing w:before="240" w:after="240"/>
        <w:jc w:val="both"/>
        <w:rPr>
          <w:b/>
          <w:bCs/>
        </w:rPr>
      </w:pPr>
      <w:r>
        <w:t>By a deed dated 27 October 1956, the State of Hyderabad assigned to Nizam VII all of its interest in the Fund</w:t>
      </w:r>
      <w:r w:rsidRPr="000F2E99">
        <w:t>.</w:t>
      </w:r>
      <w:r>
        <w:t xml:space="preserve"> The point of the 1956 Assignment appears in its recitals, which provide:</w:t>
      </w:r>
    </w:p>
    <w:p w14:paraId="1D9FF5F8" w14:textId="77777777" w:rsidR="00804A4F" w:rsidRDefault="00804A4F" w:rsidP="00804A4F">
      <w:pPr>
        <w:autoSpaceDE w:val="0"/>
        <w:spacing w:before="240" w:after="240"/>
        <w:ind w:left="1287" w:hanging="720"/>
        <w:jc w:val="both"/>
        <w:rPr>
          <w:sz w:val="22"/>
          <w:szCs w:val="22"/>
        </w:rPr>
      </w:pPr>
      <w:r>
        <w:rPr>
          <w:sz w:val="22"/>
          <w:szCs w:val="22"/>
        </w:rPr>
        <w:t>“Whereas:</w:t>
      </w:r>
    </w:p>
    <w:p w14:paraId="1CABFC65" w14:textId="77777777" w:rsidR="00804A4F" w:rsidRDefault="00804A4F" w:rsidP="00804A4F">
      <w:pPr>
        <w:autoSpaceDE w:val="0"/>
        <w:spacing w:before="240" w:after="240"/>
        <w:ind w:left="1287" w:hanging="720"/>
        <w:jc w:val="both"/>
        <w:rPr>
          <w:sz w:val="22"/>
          <w:szCs w:val="22"/>
        </w:rPr>
      </w:pPr>
      <w:r>
        <w:rPr>
          <w:sz w:val="22"/>
          <w:szCs w:val="22"/>
        </w:rPr>
        <w:t>(1)</w:t>
      </w:r>
      <w:r>
        <w:rPr>
          <w:sz w:val="22"/>
          <w:szCs w:val="22"/>
        </w:rPr>
        <w:tab/>
        <w:t>prior to 20 September 1946 the sum of £1,007,940.9.0 was held by the Westminster Bank Limited in a deposit account to the credit of His Exalted Highness the Nizam’s Government of Hyderabad, such deposit account bearing compound interest at the rate of one half per cent per annum, to be credited quarterly.</w:t>
      </w:r>
    </w:p>
    <w:p w14:paraId="0CFE653E" w14:textId="77777777" w:rsidR="00804A4F" w:rsidRDefault="00804A4F" w:rsidP="00804A4F">
      <w:pPr>
        <w:autoSpaceDE w:val="0"/>
        <w:spacing w:before="240" w:after="240"/>
        <w:ind w:left="1287" w:hanging="720"/>
        <w:jc w:val="both"/>
        <w:rPr>
          <w:sz w:val="22"/>
          <w:szCs w:val="22"/>
        </w:rPr>
      </w:pPr>
      <w:r>
        <w:rPr>
          <w:sz w:val="22"/>
          <w:szCs w:val="22"/>
        </w:rPr>
        <w:t>(2)</w:t>
      </w:r>
      <w:r>
        <w:rPr>
          <w:sz w:val="22"/>
          <w:szCs w:val="22"/>
        </w:rPr>
        <w:tab/>
        <w:t>[Moin] was authorised to operate the said account subject to direction</w:t>
      </w:r>
      <w:r w:rsidR="00146C7D">
        <w:rPr>
          <w:sz w:val="22"/>
          <w:szCs w:val="22"/>
        </w:rPr>
        <w:t>s</w:t>
      </w:r>
      <w:r>
        <w:rPr>
          <w:sz w:val="22"/>
          <w:szCs w:val="22"/>
        </w:rPr>
        <w:t xml:space="preserve"> to be given to him from time to time by the Nizam.</w:t>
      </w:r>
    </w:p>
    <w:p w14:paraId="167EB7FE" w14:textId="77777777" w:rsidR="00804A4F" w:rsidRDefault="00804A4F" w:rsidP="00804A4F">
      <w:pPr>
        <w:autoSpaceDE w:val="0"/>
        <w:spacing w:before="240" w:after="240"/>
        <w:ind w:left="1287" w:hanging="720"/>
        <w:jc w:val="both"/>
        <w:rPr>
          <w:sz w:val="22"/>
          <w:szCs w:val="22"/>
        </w:rPr>
      </w:pPr>
      <w:r>
        <w:rPr>
          <w:sz w:val="22"/>
          <w:szCs w:val="22"/>
        </w:rPr>
        <w:t>(3)</w:t>
      </w:r>
      <w:r>
        <w:rPr>
          <w:sz w:val="22"/>
          <w:szCs w:val="22"/>
        </w:rPr>
        <w:tab/>
        <w:t xml:space="preserve">The parties have been advised that in law the said sum and the </w:t>
      </w:r>
      <w:r w:rsidRPr="000F2E99">
        <w:rPr>
          <w:sz w:val="22"/>
          <w:szCs w:val="22"/>
        </w:rPr>
        <w:t>acc</w:t>
      </w:r>
      <w:r w:rsidR="004E34DE" w:rsidRPr="000F2E99">
        <w:rPr>
          <w:sz w:val="22"/>
          <w:szCs w:val="22"/>
        </w:rPr>
        <w:t>r</w:t>
      </w:r>
      <w:r w:rsidRPr="000F2E99">
        <w:rPr>
          <w:sz w:val="22"/>
          <w:szCs w:val="22"/>
        </w:rPr>
        <w:t>ued</w:t>
      </w:r>
      <w:r>
        <w:rPr>
          <w:sz w:val="22"/>
          <w:szCs w:val="22"/>
        </w:rPr>
        <w:t xml:space="preserve"> and accruing interest thereon have always remained </w:t>
      </w:r>
      <w:r w:rsidR="009E2B87">
        <w:rPr>
          <w:sz w:val="22"/>
          <w:szCs w:val="22"/>
        </w:rPr>
        <w:t xml:space="preserve">the property </w:t>
      </w:r>
      <w:r w:rsidR="00B156DB">
        <w:rPr>
          <w:sz w:val="22"/>
          <w:szCs w:val="22"/>
        </w:rPr>
        <w:t>of the Nizam in his personal capacity.</w:t>
      </w:r>
    </w:p>
    <w:p w14:paraId="16655528" w14:textId="77777777" w:rsidR="00930D5B" w:rsidRDefault="00B156DB" w:rsidP="00930D5B">
      <w:pPr>
        <w:autoSpaceDE w:val="0"/>
        <w:spacing w:before="240" w:after="240"/>
        <w:ind w:left="1287" w:hanging="720"/>
        <w:jc w:val="both"/>
        <w:rPr>
          <w:sz w:val="22"/>
          <w:szCs w:val="22"/>
        </w:rPr>
      </w:pPr>
      <w:r>
        <w:rPr>
          <w:sz w:val="22"/>
          <w:szCs w:val="22"/>
        </w:rPr>
        <w:t>(4)</w:t>
      </w:r>
      <w:r>
        <w:rPr>
          <w:sz w:val="22"/>
          <w:szCs w:val="22"/>
        </w:rPr>
        <w:tab/>
      </w:r>
      <w:r w:rsidR="005C15A7">
        <w:rPr>
          <w:sz w:val="22"/>
          <w:szCs w:val="22"/>
        </w:rPr>
        <w:t xml:space="preserve">On or about the said 20 September 1948 without the knowledge </w:t>
      </w:r>
      <w:r w:rsidR="00EA147A">
        <w:rPr>
          <w:sz w:val="22"/>
          <w:szCs w:val="22"/>
        </w:rPr>
        <w:t xml:space="preserve">or authority of the Nizam said sum together with </w:t>
      </w:r>
      <w:r w:rsidR="002C1E72">
        <w:rPr>
          <w:sz w:val="22"/>
          <w:szCs w:val="22"/>
        </w:rPr>
        <w:t xml:space="preserve">the accrued interest thereon was wrongfully and in breach of trust transferred by the said [Moin] </w:t>
      </w:r>
      <w:r w:rsidR="00930D5B">
        <w:rPr>
          <w:sz w:val="22"/>
          <w:szCs w:val="22"/>
        </w:rPr>
        <w:t xml:space="preserve">to a new account at the said Bank in the name of one [Rahimtoola]. </w:t>
      </w:r>
    </w:p>
    <w:p w14:paraId="488096C1" w14:textId="77777777" w:rsidR="00930D5B" w:rsidRDefault="00930D5B" w:rsidP="00930D5B">
      <w:pPr>
        <w:autoSpaceDE w:val="0"/>
        <w:spacing w:before="240" w:after="240"/>
        <w:ind w:left="1287" w:hanging="720"/>
        <w:jc w:val="both"/>
        <w:rPr>
          <w:sz w:val="22"/>
          <w:szCs w:val="22"/>
        </w:rPr>
      </w:pPr>
      <w:r>
        <w:rPr>
          <w:sz w:val="22"/>
          <w:szCs w:val="22"/>
        </w:rPr>
        <w:t>(5)</w:t>
      </w:r>
      <w:r>
        <w:rPr>
          <w:sz w:val="22"/>
          <w:szCs w:val="22"/>
        </w:rPr>
        <w:tab/>
        <w:t xml:space="preserve">Proceedings </w:t>
      </w:r>
      <w:r w:rsidR="008924D8">
        <w:rPr>
          <w:sz w:val="22"/>
          <w:szCs w:val="22"/>
        </w:rPr>
        <w:t xml:space="preserve">for the recovery of the said sum and the accrued and accruing interest </w:t>
      </w:r>
      <w:r w:rsidR="00085370">
        <w:rPr>
          <w:sz w:val="22"/>
          <w:szCs w:val="22"/>
        </w:rPr>
        <w:t>thereon have been instituted in the Chancery Division of the High Court of Justice in England.</w:t>
      </w:r>
    </w:p>
    <w:p w14:paraId="08243EF0" w14:textId="77777777" w:rsidR="00085370" w:rsidRDefault="00184350" w:rsidP="00930D5B">
      <w:pPr>
        <w:autoSpaceDE w:val="0"/>
        <w:spacing w:before="240" w:after="240"/>
        <w:ind w:left="1287" w:hanging="720"/>
        <w:jc w:val="both"/>
        <w:rPr>
          <w:sz w:val="22"/>
          <w:szCs w:val="22"/>
        </w:rPr>
      </w:pPr>
      <w:r>
        <w:rPr>
          <w:sz w:val="22"/>
          <w:szCs w:val="22"/>
        </w:rPr>
        <w:t>(6)</w:t>
      </w:r>
      <w:r>
        <w:rPr>
          <w:sz w:val="22"/>
          <w:szCs w:val="22"/>
        </w:rPr>
        <w:tab/>
        <w:t xml:space="preserve">The Nizam is the first plaintiff in the said proceedings but </w:t>
      </w:r>
      <w:r w:rsidR="003452AD">
        <w:rPr>
          <w:sz w:val="22"/>
          <w:szCs w:val="22"/>
        </w:rPr>
        <w:t>[Hyderabad]</w:t>
      </w:r>
      <w:r>
        <w:rPr>
          <w:sz w:val="22"/>
          <w:szCs w:val="22"/>
        </w:rPr>
        <w:t xml:space="preserve"> has been joined as plaintiff in the proceedings</w:t>
      </w:r>
      <w:r w:rsidR="00DC003A">
        <w:rPr>
          <w:sz w:val="22"/>
          <w:szCs w:val="22"/>
        </w:rPr>
        <w:t xml:space="preserve"> as a precautionary measure</w:t>
      </w:r>
      <w:r w:rsidR="00102B90">
        <w:rPr>
          <w:sz w:val="22"/>
          <w:szCs w:val="22"/>
        </w:rPr>
        <w:t xml:space="preserve"> and in order to avoid questions </w:t>
      </w:r>
      <w:r w:rsidR="00333328">
        <w:rPr>
          <w:sz w:val="22"/>
          <w:szCs w:val="22"/>
        </w:rPr>
        <w:t>as to whether the said proceedings are properly constituted.</w:t>
      </w:r>
    </w:p>
    <w:p w14:paraId="718F21F9" w14:textId="77777777" w:rsidR="00333328" w:rsidRDefault="00333328" w:rsidP="00930D5B">
      <w:pPr>
        <w:autoSpaceDE w:val="0"/>
        <w:spacing w:before="240" w:after="240"/>
        <w:ind w:left="1287" w:hanging="720"/>
        <w:jc w:val="both"/>
        <w:rPr>
          <w:sz w:val="22"/>
          <w:szCs w:val="22"/>
        </w:rPr>
      </w:pPr>
      <w:r>
        <w:rPr>
          <w:sz w:val="22"/>
          <w:szCs w:val="22"/>
        </w:rPr>
        <w:t>(7)</w:t>
      </w:r>
      <w:r>
        <w:rPr>
          <w:sz w:val="22"/>
          <w:szCs w:val="22"/>
        </w:rPr>
        <w:tab/>
        <w:t xml:space="preserve">By virtue of the provisions of the </w:t>
      </w:r>
      <w:r w:rsidR="003452AD">
        <w:rPr>
          <w:sz w:val="22"/>
          <w:szCs w:val="22"/>
        </w:rPr>
        <w:t>States Reorganisation Act 1956,</w:t>
      </w:r>
      <w:r w:rsidR="00C522EB">
        <w:rPr>
          <w:sz w:val="22"/>
          <w:szCs w:val="22"/>
        </w:rPr>
        <w:t xml:space="preserve"> the State will cease to exist as from </w:t>
      </w:r>
      <w:r w:rsidR="002F7C88">
        <w:rPr>
          <w:sz w:val="22"/>
          <w:szCs w:val="22"/>
        </w:rPr>
        <w:t>the 1</w:t>
      </w:r>
      <w:r w:rsidR="002F7C88" w:rsidRPr="002F7C88">
        <w:rPr>
          <w:sz w:val="22"/>
          <w:szCs w:val="22"/>
          <w:vertAlign w:val="superscript"/>
        </w:rPr>
        <w:t>st</w:t>
      </w:r>
      <w:r w:rsidR="002F7C88">
        <w:rPr>
          <w:sz w:val="22"/>
          <w:szCs w:val="22"/>
        </w:rPr>
        <w:t xml:space="preserve"> day of November 1956.</w:t>
      </w:r>
    </w:p>
    <w:p w14:paraId="1B1754C8" w14:textId="77777777" w:rsidR="002F7C88" w:rsidRPr="00930D5B" w:rsidRDefault="002F7C88" w:rsidP="00930D5B">
      <w:pPr>
        <w:autoSpaceDE w:val="0"/>
        <w:spacing w:before="240" w:after="240"/>
        <w:ind w:left="1287" w:hanging="720"/>
        <w:jc w:val="both"/>
        <w:rPr>
          <w:sz w:val="22"/>
          <w:szCs w:val="22"/>
        </w:rPr>
      </w:pPr>
      <w:r>
        <w:rPr>
          <w:sz w:val="22"/>
          <w:szCs w:val="22"/>
        </w:rPr>
        <w:t>(8)</w:t>
      </w:r>
      <w:r>
        <w:rPr>
          <w:sz w:val="22"/>
          <w:szCs w:val="22"/>
        </w:rPr>
        <w:tab/>
        <w:t xml:space="preserve">For the removal of doubt it is desirable </w:t>
      </w:r>
      <w:r w:rsidR="003728DF">
        <w:rPr>
          <w:sz w:val="22"/>
          <w:szCs w:val="22"/>
        </w:rPr>
        <w:t>that [Hyderabad] should release and assign all its claim, right, title, property and interest</w:t>
      </w:r>
      <w:r w:rsidR="00146C7D">
        <w:rPr>
          <w:sz w:val="22"/>
          <w:szCs w:val="22"/>
        </w:rPr>
        <w:t xml:space="preserve"> (if any) to or in the said fund and the interest</w:t>
      </w:r>
      <w:r w:rsidR="003728DF">
        <w:rPr>
          <w:sz w:val="22"/>
          <w:szCs w:val="22"/>
        </w:rPr>
        <w:t xml:space="preserve"> accrued and accruing thereon to the Nizam.”</w:t>
      </w:r>
    </w:p>
    <w:p w14:paraId="691C31EE" w14:textId="77777777" w:rsidR="00804A4F" w:rsidRDefault="00407FD5" w:rsidP="00D44E32">
      <w:pPr>
        <w:numPr>
          <w:ilvl w:val="0"/>
          <w:numId w:val="2"/>
        </w:numPr>
        <w:autoSpaceDE w:val="0"/>
        <w:spacing w:before="240" w:after="240"/>
        <w:jc w:val="both"/>
      </w:pPr>
      <w:r>
        <w:t xml:space="preserve">The </w:t>
      </w:r>
      <w:r w:rsidR="00DD26DF">
        <w:t xml:space="preserve">1956 Assignment was intended to prevent Nizam VII’s (potential) entitlement to the Fund from vanishing down a legal “black hole”. </w:t>
      </w:r>
      <w:r w:rsidR="00EF48FE">
        <w:t>It will be necessary to consider in greater detail the change in Hyderabad’s legal status over time</w:t>
      </w:r>
      <w:r w:rsidR="00EF6778">
        <w:t xml:space="preserve">, but (as I have described in paragraph </w:t>
      </w:r>
      <w:r w:rsidR="0013460F">
        <w:t>84</w:t>
      </w:r>
      <w:r w:rsidR="00EF6778">
        <w:t xml:space="preserve"> above) at least from India’s point of view Hyderabad was a State of India </w:t>
      </w:r>
      <w:r w:rsidR="00D66DC7">
        <w:t>from</w:t>
      </w:r>
      <w:r w:rsidR="00EF6778">
        <w:t xml:space="preserve"> 1950</w:t>
      </w:r>
      <w:r w:rsidR="00D66DC7">
        <w:t xml:space="preserve"> onwards</w:t>
      </w:r>
      <w:r w:rsidR="00EF6778">
        <w:t xml:space="preserve">. </w:t>
      </w:r>
      <w:r w:rsidR="00164D2D">
        <w:t>Prior to that, Hyderabad was not a part of India</w:t>
      </w:r>
      <w:r w:rsidR="002227F4">
        <w:t xml:space="preserve"> </w:t>
      </w:r>
      <w:r w:rsidR="003E7E2D">
        <w:t xml:space="preserve">and the property of </w:t>
      </w:r>
      <w:r w:rsidR="002227F4">
        <w:t xml:space="preserve">the Nizam and the property of the government of Hyderabad were </w:t>
      </w:r>
      <w:r w:rsidR="00300AC9">
        <w:t xml:space="preserve">(as will be seen) </w:t>
      </w:r>
      <w:r w:rsidR="002227F4">
        <w:t xml:space="preserve">indistinguishable. </w:t>
      </w:r>
      <w:r w:rsidR="00DB41C4">
        <w:t>Whether Hyderabad</w:t>
      </w:r>
      <w:r w:rsidR="00564298">
        <w:t>’s</w:t>
      </w:r>
      <w:r w:rsidR="00DB41C4">
        <w:t xml:space="preserve"> accession to India changed this state of affair</w:t>
      </w:r>
      <w:r w:rsidR="00564298">
        <w:t>s</w:t>
      </w:r>
      <w:r w:rsidR="00DB41C4">
        <w:t xml:space="preserve"> – so that the Nizam’s personal property </w:t>
      </w:r>
      <w:r w:rsidR="00E61B9A">
        <w:t xml:space="preserve">came to be </w:t>
      </w:r>
      <w:r w:rsidR="00DB41C4">
        <w:t xml:space="preserve">differentiated </w:t>
      </w:r>
      <w:r w:rsidR="00564298">
        <w:t>from that of Hyder</w:t>
      </w:r>
      <w:r w:rsidR="00BE67E2">
        <w:t>a</w:t>
      </w:r>
      <w:r w:rsidR="00564298">
        <w:t>bad itself – was clearly regarded as a possibility by those advising Nizam VII, hence the joinder of Hyderabad to the 1954 Proceedings</w:t>
      </w:r>
      <w:r w:rsidR="007825E7">
        <w:t xml:space="preserve"> as an alternative claimant</w:t>
      </w:r>
      <w:r w:rsidR="00564298">
        <w:t>.</w:t>
      </w:r>
      <w:r w:rsidR="001F3258">
        <w:t xml:space="preserve"> In short, it was clearly considered possible that </w:t>
      </w:r>
      <w:r w:rsidR="00DB3456">
        <w:t>the Nizam’s interest in the Fund vested – after the accession of Hyderabad to India – in Hyderabad and not in the Nizam.</w:t>
      </w:r>
    </w:p>
    <w:p w14:paraId="79B456EB" w14:textId="77777777" w:rsidR="00564298" w:rsidRDefault="00F33597" w:rsidP="000B08F5">
      <w:pPr>
        <w:numPr>
          <w:ilvl w:val="0"/>
          <w:numId w:val="2"/>
        </w:numPr>
        <w:autoSpaceDE w:val="0"/>
        <w:spacing w:before="240" w:after="240"/>
        <w:jc w:val="both"/>
      </w:pPr>
      <w:r>
        <w:lastRenderedPageBreak/>
        <w:t xml:space="preserve">The effect of the States Reorganisation Act 1956 was to cause Hyderabad to cease to exist as a State of </w:t>
      </w:r>
      <w:r w:rsidR="00F52041">
        <w:t xml:space="preserve">the </w:t>
      </w:r>
      <w:r>
        <w:t>India</w:t>
      </w:r>
      <w:r w:rsidR="00F52041">
        <w:t>n Union</w:t>
      </w:r>
      <w:r w:rsidR="00B37F4E">
        <w:t>. Its territory was subsumed into</w:t>
      </w:r>
      <w:r w:rsidR="00347386">
        <w:t xml:space="preserve"> three other States of </w:t>
      </w:r>
      <w:r w:rsidR="00F52041">
        <w:t xml:space="preserve">the </w:t>
      </w:r>
      <w:r w:rsidR="00347386">
        <w:t>India</w:t>
      </w:r>
      <w:r w:rsidR="00F52041">
        <w:t>n Union</w:t>
      </w:r>
      <w:r w:rsidR="00347386">
        <w:t xml:space="preserve"> by that Act. Thus, </w:t>
      </w:r>
      <w:r w:rsidR="00DE344A">
        <w:t xml:space="preserve">the </w:t>
      </w:r>
      <w:r w:rsidR="000B08F5">
        <w:t xml:space="preserve">identity of the </w:t>
      </w:r>
      <w:r w:rsidR="00DE344A">
        <w:t xml:space="preserve">person holding </w:t>
      </w:r>
      <w:r w:rsidR="000B08F5">
        <w:t xml:space="preserve">the Nizam’s (potential) interest in the Fund </w:t>
      </w:r>
      <w:r w:rsidR="00DE344A">
        <w:t>might become extremely unclear if, prior to the States Reorganisation Act 1956</w:t>
      </w:r>
      <w:r w:rsidR="004D7456">
        <w:t xml:space="preserve">, that interest was </w:t>
      </w:r>
      <w:r w:rsidR="00AE4036">
        <w:t>actually</w:t>
      </w:r>
      <w:r w:rsidR="0047501C">
        <w:t xml:space="preserve"> </w:t>
      </w:r>
      <w:r w:rsidR="004D7456">
        <w:t xml:space="preserve">held by Hyderabad. </w:t>
      </w:r>
      <w:r w:rsidR="00FA18D4">
        <w:t>Hence</w:t>
      </w:r>
      <w:r w:rsidR="004D7456">
        <w:t>, for the avoidance of doubt, any interest of Hyderabad was transferred to Nizam VII</w:t>
      </w:r>
      <w:r w:rsidR="006A62F6">
        <w:t xml:space="preserve"> prior to the </w:t>
      </w:r>
      <w:r w:rsidR="001A59ED">
        <w:t>entering into force of the States Reorganisation Act 1956</w:t>
      </w:r>
      <w:r w:rsidR="004D7456">
        <w:t>.</w:t>
      </w:r>
    </w:p>
    <w:p w14:paraId="16775EF3" w14:textId="77777777" w:rsidR="00BC51C8" w:rsidRPr="00BC51C8" w:rsidRDefault="00BC51C8" w:rsidP="00FA18D4">
      <w:pPr>
        <w:keepNext/>
        <w:tabs>
          <w:tab w:val="left" w:pos="567"/>
        </w:tabs>
        <w:autoSpaceDE w:val="0"/>
        <w:spacing w:before="240" w:after="240"/>
        <w:jc w:val="both"/>
        <w:rPr>
          <w:b/>
          <w:bCs/>
        </w:rPr>
      </w:pPr>
      <w:r>
        <w:rPr>
          <w:b/>
          <w:bCs/>
        </w:rPr>
        <w:t>(</w:t>
      </w:r>
      <w:r w:rsidR="00405A7A">
        <w:rPr>
          <w:b/>
          <w:bCs/>
        </w:rPr>
        <w:t>6</w:t>
      </w:r>
      <w:r>
        <w:rPr>
          <w:b/>
          <w:bCs/>
        </w:rPr>
        <w:t>)</w:t>
      </w:r>
      <w:r>
        <w:rPr>
          <w:b/>
          <w:bCs/>
        </w:rPr>
        <w:tab/>
        <w:t>Subsequent dealings</w:t>
      </w:r>
    </w:p>
    <w:p w14:paraId="7C824134" w14:textId="77777777" w:rsidR="003F0DE7" w:rsidRDefault="00DE6D10" w:rsidP="00D44E32">
      <w:pPr>
        <w:numPr>
          <w:ilvl w:val="0"/>
          <w:numId w:val="2"/>
        </w:numPr>
        <w:autoSpaceDE w:val="0"/>
        <w:spacing w:before="240" w:after="240"/>
        <w:jc w:val="both"/>
      </w:pPr>
      <w:r>
        <w:t xml:space="preserve">There were, </w:t>
      </w:r>
      <w:r w:rsidR="004B7FF4">
        <w:t xml:space="preserve">after the conclusion of the 1954 Proceedings, </w:t>
      </w:r>
      <w:r>
        <w:t>various (fruitless) efforts to resolve the issue of the Fund</w:t>
      </w:r>
      <w:r w:rsidR="00B41892">
        <w:t xml:space="preserve">, which I shall not describe here. These efforts are, to an extent, material to the insight they provide into the </w:t>
      </w:r>
      <w:r w:rsidR="00224802">
        <w:t>nature of the transfer of the Fund to Rahimtoola, and I consider these efforts in this light below. I do not consider them further here.</w:t>
      </w:r>
    </w:p>
    <w:p w14:paraId="2C0C592F" w14:textId="77777777" w:rsidR="00BC51C8" w:rsidRDefault="00CE5ACD" w:rsidP="00BC51C8">
      <w:pPr>
        <w:numPr>
          <w:ilvl w:val="0"/>
          <w:numId w:val="2"/>
        </w:numPr>
        <w:autoSpaceDE w:val="0"/>
        <w:spacing w:before="240" w:after="240"/>
        <w:jc w:val="both"/>
      </w:pPr>
      <w:r>
        <w:t xml:space="preserve">There were, however, a number of dealings (or purported dealings) with the equitable interest in the Fund </w:t>
      </w:r>
      <w:r w:rsidR="003433B8">
        <w:t xml:space="preserve">– in addition to the 1956 Assignment – </w:t>
      </w:r>
      <w:r w:rsidR="00C75D00">
        <w:t>that must be mentioned, even though the Princes and India have compromised their differences and advance</w:t>
      </w:r>
      <w:r w:rsidR="003433B8">
        <w:t>d</w:t>
      </w:r>
      <w:r w:rsidR="00C75D00">
        <w:t xml:space="preserve"> a unified claim</w:t>
      </w:r>
      <w:r w:rsidR="003433B8">
        <w:t xml:space="preserve"> before me</w:t>
      </w:r>
      <w:r w:rsidR="00B444F2">
        <w:t>.</w:t>
      </w:r>
    </w:p>
    <w:p w14:paraId="70C62C20" w14:textId="77777777" w:rsidR="009302EC" w:rsidRPr="00157C0C" w:rsidRDefault="009302EC" w:rsidP="00D86F80">
      <w:pPr>
        <w:keepNext/>
        <w:tabs>
          <w:tab w:val="left" w:pos="567"/>
        </w:tabs>
        <w:autoSpaceDE w:val="0"/>
        <w:spacing w:before="240" w:after="240"/>
        <w:jc w:val="both"/>
        <w:rPr>
          <w:b/>
          <w:bCs/>
          <w:i/>
          <w:iCs/>
        </w:rPr>
      </w:pPr>
      <w:r w:rsidRPr="00157C0C">
        <w:rPr>
          <w:b/>
          <w:bCs/>
          <w:i/>
          <w:iCs/>
        </w:rPr>
        <w:t>(</w:t>
      </w:r>
      <w:r w:rsidR="00157C0C" w:rsidRPr="00157C0C">
        <w:rPr>
          <w:b/>
          <w:bCs/>
          <w:i/>
          <w:iCs/>
        </w:rPr>
        <w:t>a</w:t>
      </w:r>
      <w:r w:rsidRPr="00157C0C">
        <w:rPr>
          <w:b/>
          <w:bCs/>
          <w:i/>
          <w:iCs/>
        </w:rPr>
        <w:t>)</w:t>
      </w:r>
      <w:r w:rsidRPr="00157C0C">
        <w:rPr>
          <w:b/>
          <w:bCs/>
          <w:i/>
          <w:iCs/>
        </w:rPr>
        <w:tab/>
        <w:t>The Princes</w:t>
      </w:r>
    </w:p>
    <w:p w14:paraId="7D97AF79" w14:textId="77777777" w:rsidR="009E29CE" w:rsidRDefault="00A95AEE" w:rsidP="009F57EA">
      <w:pPr>
        <w:numPr>
          <w:ilvl w:val="0"/>
          <w:numId w:val="2"/>
        </w:numPr>
        <w:autoSpaceDE w:val="0"/>
        <w:spacing w:before="240" w:after="240"/>
        <w:jc w:val="both"/>
      </w:pPr>
      <w:r>
        <w:t xml:space="preserve">By </w:t>
      </w:r>
      <w:r w:rsidR="00625C34">
        <w:t>the 1963 Settlement</w:t>
      </w:r>
      <w:r w:rsidR="003062E6">
        <w:t xml:space="preserve">, Nizam VII assigned all his estate, right, title and interest in the Fund </w:t>
      </w:r>
      <w:r w:rsidR="00F92B33">
        <w:t xml:space="preserve">to the Bank of Nova Scotia Trust Company (Bahamas) Limited to hold upon </w:t>
      </w:r>
      <w:r w:rsidR="009302EC">
        <w:t>the discretionary trusts declared in that deed.</w:t>
      </w:r>
      <w:r w:rsidR="009F57EA">
        <w:t xml:space="preserve"> </w:t>
      </w:r>
      <w:r w:rsidR="009E29CE">
        <w:t xml:space="preserve">By </w:t>
      </w:r>
      <w:r w:rsidR="009F57EA">
        <w:t xml:space="preserve">the </w:t>
      </w:r>
      <w:r w:rsidR="00074E2D">
        <w:t xml:space="preserve">1965 </w:t>
      </w:r>
      <w:r w:rsidR="009F57EA">
        <w:t>Appointment</w:t>
      </w:r>
      <w:r w:rsidR="007B4319">
        <w:t xml:space="preserve">, the trust fund of the 1963 Settlement was irrevocably appointed </w:t>
      </w:r>
      <w:r w:rsidR="004E34DE">
        <w:t xml:space="preserve">as </w:t>
      </w:r>
      <w:r w:rsidR="00C33222">
        <w:t>to capital and income upon trust for Nizam VIII and Prince Muffakham in equal shares absolutely.</w:t>
      </w:r>
    </w:p>
    <w:p w14:paraId="3F33ABDE" w14:textId="77777777" w:rsidR="00624AE8" w:rsidRDefault="00B33B66" w:rsidP="009302EC">
      <w:pPr>
        <w:numPr>
          <w:ilvl w:val="0"/>
          <w:numId w:val="2"/>
        </w:numPr>
        <w:autoSpaceDE w:val="0"/>
        <w:spacing w:before="240" w:after="240"/>
        <w:jc w:val="both"/>
      </w:pPr>
      <w:r>
        <w:t>The Princes contended that they were thereafter together absolutely entitled to the Fund</w:t>
      </w:r>
      <w:r w:rsidR="00476323">
        <w:t xml:space="preserve"> and respectively had an absolute beneficial interest in 50% of the Fund.</w:t>
      </w:r>
    </w:p>
    <w:p w14:paraId="3C5547AE" w14:textId="77777777" w:rsidR="00B33B66" w:rsidRDefault="00624AE8" w:rsidP="009302EC">
      <w:pPr>
        <w:numPr>
          <w:ilvl w:val="0"/>
          <w:numId w:val="2"/>
        </w:numPr>
        <w:autoSpaceDE w:val="0"/>
        <w:spacing w:before="240" w:after="240"/>
        <w:jc w:val="both"/>
      </w:pPr>
      <w:r>
        <w:t>On 17 February 2015, Nizam VIII assigned part of his interest in the Fund to Hillview.</w:t>
      </w:r>
      <w:r w:rsidR="00907033">
        <w:t xml:space="preserve"> Subsequently, Nizam VIII assigned the remainder of his interest to Hillview, such that he had no beneficial interest at all in the Fund – the entirety of that interest vesting in Hillview. </w:t>
      </w:r>
      <w:r w:rsidR="005C5356">
        <w:t xml:space="preserve">In these circumstances, Nizam VIII applied to </w:t>
      </w:r>
      <w:r w:rsidR="00990E0E">
        <w:t xml:space="preserve">be removed as a party to the proceedings, and (by an order dated </w:t>
      </w:r>
      <w:r w:rsidR="00F71B44">
        <w:t>25 October 2018</w:t>
      </w:r>
      <w:r w:rsidR="00935D73">
        <w:t>)</w:t>
      </w:r>
      <w:r w:rsidR="00F71B44">
        <w:t xml:space="preserve"> I acceded to that application.</w:t>
      </w:r>
      <w:r w:rsidR="00F71B44">
        <w:rPr>
          <w:rStyle w:val="FootnoteReference"/>
        </w:rPr>
        <w:footnoteReference w:id="116"/>
      </w:r>
    </w:p>
    <w:p w14:paraId="2EABA47F" w14:textId="77777777" w:rsidR="009302EC" w:rsidRDefault="003B7F18" w:rsidP="009302EC">
      <w:pPr>
        <w:numPr>
          <w:ilvl w:val="0"/>
          <w:numId w:val="2"/>
        </w:numPr>
        <w:autoSpaceDE w:val="0"/>
        <w:spacing w:before="240" w:after="240"/>
        <w:jc w:val="both"/>
      </w:pPr>
      <w:r>
        <w:t xml:space="preserve">Shannon is the assignee of the rights of Prince Muffakham in the </w:t>
      </w:r>
      <w:r w:rsidR="0057793E">
        <w:t>Fund.</w:t>
      </w:r>
    </w:p>
    <w:p w14:paraId="09D25E27" w14:textId="77777777" w:rsidR="0057793E" w:rsidRPr="00D86F80" w:rsidRDefault="00004E21" w:rsidP="00D86F80">
      <w:pPr>
        <w:keepNext/>
        <w:tabs>
          <w:tab w:val="left" w:pos="567"/>
        </w:tabs>
        <w:autoSpaceDE w:val="0"/>
        <w:spacing w:before="240" w:after="240"/>
        <w:jc w:val="both"/>
        <w:rPr>
          <w:b/>
          <w:bCs/>
          <w:i/>
          <w:iCs/>
        </w:rPr>
      </w:pPr>
      <w:r w:rsidRPr="00D86F80">
        <w:rPr>
          <w:b/>
          <w:bCs/>
          <w:i/>
          <w:iCs/>
        </w:rPr>
        <w:t>(</w:t>
      </w:r>
      <w:r w:rsidR="00D86F80" w:rsidRPr="00D86F80">
        <w:rPr>
          <w:b/>
          <w:bCs/>
          <w:i/>
          <w:iCs/>
        </w:rPr>
        <w:t>b</w:t>
      </w:r>
      <w:r w:rsidRPr="00D86F80">
        <w:rPr>
          <w:b/>
          <w:bCs/>
          <w:i/>
          <w:iCs/>
        </w:rPr>
        <w:t>)</w:t>
      </w:r>
      <w:r w:rsidRPr="00D86F80">
        <w:rPr>
          <w:b/>
          <w:bCs/>
          <w:i/>
          <w:iCs/>
        </w:rPr>
        <w:tab/>
        <w:t>India</w:t>
      </w:r>
    </w:p>
    <w:p w14:paraId="6672B29E" w14:textId="77777777" w:rsidR="0057793E" w:rsidRDefault="007E4B2C" w:rsidP="009302EC">
      <w:pPr>
        <w:numPr>
          <w:ilvl w:val="0"/>
          <w:numId w:val="2"/>
        </w:numPr>
        <w:autoSpaceDE w:val="0"/>
        <w:spacing w:before="240" w:after="240"/>
        <w:jc w:val="both"/>
      </w:pPr>
      <w:r>
        <w:t>By the 1965 Assignment</w:t>
      </w:r>
      <w:r w:rsidR="006C1583">
        <w:t>, Nizam VII assigned to the President of India his claim to the Fund</w:t>
      </w:r>
      <w:r w:rsidR="003C4772">
        <w:t xml:space="preserve">. India’s claim </w:t>
      </w:r>
      <w:r w:rsidR="00213DAD">
        <w:t xml:space="preserve">to the Fund </w:t>
      </w:r>
      <w:r w:rsidR="003C4772">
        <w:t>is pursuant to the 1965 Assignment.</w:t>
      </w:r>
    </w:p>
    <w:p w14:paraId="593B36EE" w14:textId="77777777" w:rsidR="00ED5A12" w:rsidRPr="00D86F80" w:rsidRDefault="00ED5A12" w:rsidP="00D86F80">
      <w:pPr>
        <w:keepNext/>
        <w:tabs>
          <w:tab w:val="left" w:pos="567"/>
        </w:tabs>
        <w:autoSpaceDE w:val="0"/>
        <w:spacing w:before="240" w:after="240"/>
        <w:jc w:val="both"/>
        <w:rPr>
          <w:b/>
          <w:bCs/>
          <w:i/>
          <w:iCs/>
        </w:rPr>
      </w:pPr>
      <w:r w:rsidRPr="00D86F80">
        <w:rPr>
          <w:b/>
          <w:bCs/>
          <w:i/>
          <w:iCs/>
        </w:rPr>
        <w:lastRenderedPageBreak/>
        <w:t>(</w:t>
      </w:r>
      <w:r w:rsidR="00D86F80" w:rsidRPr="00D86F80">
        <w:rPr>
          <w:b/>
          <w:bCs/>
          <w:i/>
          <w:iCs/>
        </w:rPr>
        <w:t>c</w:t>
      </w:r>
      <w:r w:rsidRPr="00D86F80">
        <w:rPr>
          <w:b/>
          <w:bCs/>
          <w:i/>
          <w:iCs/>
        </w:rPr>
        <w:t>)</w:t>
      </w:r>
      <w:r w:rsidRPr="00D86F80">
        <w:rPr>
          <w:b/>
          <w:bCs/>
          <w:i/>
          <w:iCs/>
        </w:rPr>
        <w:tab/>
        <w:t>Other interests</w:t>
      </w:r>
    </w:p>
    <w:p w14:paraId="4FB73901" w14:textId="77777777" w:rsidR="00ED5A12" w:rsidRDefault="006E05CE" w:rsidP="009302EC">
      <w:pPr>
        <w:numPr>
          <w:ilvl w:val="0"/>
          <w:numId w:val="2"/>
        </w:numPr>
        <w:autoSpaceDE w:val="0"/>
        <w:spacing w:before="240" w:after="240"/>
        <w:jc w:val="both"/>
      </w:pPr>
      <w:r>
        <w:t xml:space="preserve">The Administrator of the estate of Nizam </w:t>
      </w:r>
      <w:r w:rsidR="00181090">
        <w:t xml:space="preserve">VII is a party to these proceedings so that any other person claiming through Nizam VII is bound by the </w:t>
      </w:r>
      <w:r w:rsidR="00084EB2">
        <w:t xml:space="preserve">result. The </w:t>
      </w:r>
      <w:r w:rsidR="00084EB2" w:rsidRPr="00751778">
        <w:t>Admin</w:t>
      </w:r>
      <w:r w:rsidR="008E61F3" w:rsidRPr="00751778">
        <w:t>i</w:t>
      </w:r>
      <w:r w:rsidR="00084EB2" w:rsidRPr="00751778">
        <w:t>strator</w:t>
      </w:r>
      <w:r w:rsidR="00084EB2">
        <w:t xml:space="preserve"> played no active part in the proceedings </w:t>
      </w:r>
      <w:r w:rsidR="00F670FB">
        <w:t>and advanced no case in relation to the Fund.</w:t>
      </w:r>
    </w:p>
    <w:p w14:paraId="4312AE75" w14:textId="77777777" w:rsidR="004569CA" w:rsidRDefault="00F670FB" w:rsidP="004569CA">
      <w:pPr>
        <w:numPr>
          <w:ilvl w:val="0"/>
          <w:numId w:val="2"/>
        </w:numPr>
        <w:autoSpaceDE w:val="0"/>
        <w:spacing w:before="240" w:after="240"/>
        <w:jc w:val="both"/>
      </w:pPr>
      <w:r>
        <w:t xml:space="preserve">During his lifetime, </w:t>
      </w:r>
      <w:r w:rsidR="00D24CAA">
        <w:t xml:space="preserve">Rahimtoola disclaimed any interest in the Fund, and that is the position of Rahimtoola’s estate. </w:t>
      </w:r>
      <w:r w:rsidR="00115F57">
        <w:t xml:space="preserve">For that reason, Rahimtoola was not made </w:t>
      </w:r>
      <w:r w:rsidR="00A03212">
        <w:t>a party to the proceedings.</w:t>
      </w:r>
      <w:r w:rsidR="004720C9">
        <w:t xml:space="preserve"> </w:t>
      </w:r>
    </w:p>
    <w:p w14:paraId="3EBBA934" w14:textId="77777777" w:rsidR="00C158A8" w:rsidRDefault="007D4F46" w:rsidP="0068184D">
      <w:pPr>
        <w:keepNext/>
        <w:tabs>
          <w:tab w:val="left" w:pos="567"/>
        </w:tabs>
        <w:autoSpaceDE w:val="0"/>
        <w:spacing w:before="240" w:after="240"/>
        <w:ind w:left="567" w:hanging="567"/>
        <w:jc w:val="both"/>
        <w:rPr>
          <w:b/>
          <w:bCs/>
        </w:rPr>
      </w:pPr>
      <w:r w:rsidRPr="0054588F">
        <w:rPr>
          <w:b/>
          <w:bCs/>
        </w:rPr>
        <w:t>F</w:t>
      </w:r>
      <w:r w:rsidR="0054588F" w:rsidRPr="0054588F">
        <w:rPr>
          <w:b/>
          <w:bCs/>
        </w:rPr>
        <w:t>.</w:t>
      </w:r>
      <w:r w:rsidRPr="0054588F">
        <w:rPr>
          <w:b/>
          <w:bCs/>
        </w:rPr>
        <w:tab/>
      </w:r>
      <w:r w:rsidR="0054588F" w:rsidRPr="0054588F">
        <w:rPr>
          <w:b/>
          <w:bCs/>
        </w:rPr>
        <w:t>THE ACTUAL AUTHORITY OF NIZAM VII</w:t>
      </w:r>
      <w:r w:rsidR="00FF1FD2">
        <w:rPr>
          <w:b/>
          <w:bCs/>
        </w:rPr>
        <w:t xml:space="preserve"> AT THE TIME OF THE TRANSFER</w:t>
      </w:r>
    </w:p>
    <w:p w14:paraId="4056FC8B" w14:textId="77777777" w:rsidR="00C158A8" w:rsidRPr="00C158A8" w:rsidRDefault="00C158A8" w:rsidP="009257C8">
      <w:pPr>
        <w:keepNext/>
        <w:tabs>
          <w:tab w:val="left" w:pos="567"/>
        </w:tabs>
        <w:autoSpaceDE w:val="0"/>
        <w:spacing w:before="240" w:after="240"/>
        <w:ind w:left="567" w:hanging="567"/>
        <w:jc w:val="both"/>
        <w:rPr>
          <w:b/>
          <w:bCs/>
        </w:rPr>
      </w:pPr>
      <w:r>
        <w:rPr>
          <w:b/>
          <w:bCs/>
        </w:rPr>
        <w:t>(1)</w:t>
      </w:r>
      <w:r>
        <w:rPr>
          <w:b/>
          <w:bCs/>
        </w:rPr>
        <w:tab/>
        <w:t>Introduction: why the issue matters</w:t>
      </w:r>
    </w:p>
    <w:p w14:paraId="6423335D" w14:textId="77777777" w:rsidR="00AA24A9" w:rsidRDefault="00AA24A9" w:rsidP="0054588F">
      <w:pPr>
        <w:numPr>
          <w:ilvl w:val="0"/>
          <w:numId w:val="2"/>
        </w:numPr>
        <w:autoSpaceDE w:val="0"/>
        <w:spacing w:before="240" w:after="240"/>
        <w:jc w:val="both"/>
      </w:pPr>
      <w:r>
        <w:t xml:space="preserve">It was a live issue between the parties </w:t>
      </w:r>
      <w:r w:rsidR="00D90BAC">
        <w:t xml:space="preserve">whether or not Nizam VII </w:t>
      </w:r>
      <w:r w:rsidR="00EF5A2B">
        <w:t xml:space="preserve">had </w:t>
      </w:r>
      <w:r w:rsidR="00D90BAC">
        <w:t xml:space="preserve">actually authorised the Transfer. </w:t>
      </w:r>
      <w:r w:rsidR="00483BF2">
        <w:t xml:space="preserve">Pakistan contended that he </w:t>
      </w:r>
      <w:r w:rsidR="00AE01E6">
        <w:t>had done so</w:t>
      </w:r>
      <w:r w:rsidR="00483BF2">
        <w:t xml:space="preserve">; the </w:t>
      </w:r>
      <w:r w:rsidR="00BC5DCB">
        <w:t xml:space="preserve">Princes and India that he </w:t>
      </w:r>
      <w:r w:rsidR="00AE01E6">
        <w:t>had</w:t>
      </w:r>
      <w:r w:rsidR="00BC5DCB">
        <w:t xml:space="preserve"> not. </w:t>
      </w:r>
      <w:r w:rsidR="00E74456">
        <w:t>As will be seen, t</w:t>
      </w:r>
      <w:r w:rsidR="009A1484">
        <w:t xml:space="preserve">he question of authority is </w:t>
      </w:r>
      <w:r w:rsidR="0055066F">
        <w:t xml:space="preserve">a </w:t>
      </w:r>
      <w:r w:rsidR="00F926AC">
        <w:t>material</w:t>
      </w:r>
      <w:r w:rsidR="009A1484">
        <w:t xml:space="preserve"> </w:t>
      </w:r>
      <w:r w:rsidR="0055066F">
        <w:t xml:space="preserve">factor when it comes to </w:t>
      </w:r>
      <w:r w:rsidR="006C0836">
        <w:t xml:space="preserve">analysing the nature of the </w:t>
      </w:r>
      <w:r w:rsidR="00865BB9">
        <w:t>T</w:t>
      </w:r>
      <w:r w:rsidR="006C0836">
        <w:t>ransfer</w:t>
      </w:r>
      <w:r w:rsidR="00865BB9">
        <w:t>.</w:t>
      </w:r>
    </w:p>
    <w:p w14:paraId="357672F1" w14:textId="77777777" w:rsidR="003021F0" w:rsidRDefault="008C389B" w:rsidP="0054588F">
      <w:pPr>
        <w:numPr>
          <w:ilvl w:val="0"/>
          <w:numId w:val="2"/>
        </w:numPr>
        <w:autoSpaceDE w:val="0"/>
        <w:spacing w:before="240" w:after="240"/>
        <w:jc w:val="both"/>
      </w:pPr>
      <w:r>
        <w:t xml:space="preserve">Before considering </w:t>
      </w:r>
      <w:r>
        <w:rPr>
          <w:u w:val="single"/>
        </w:rPr>
        <w:t>what</w:t>
      </w:r>
      <w:r>
        <w:t xml:space="preserve"> Nizam VII may or may not have authorised, it is necessary to consider what </w:t>
      </w:r>
      <w:r w:rsidR="00AA24A9">
        <w:t xml:space="preserve">his authority </w:t>
      </w:r>
      <w:r w:rsidR="00865BB9">
        <w:t xml:space="preserve">actually </w:t>
      </w:r>
      <w:r w:rsidR="00AA24A9">
        <w:t>was</w:t>
      </w:r>
      <w:r w:rsidR="00865BB9">
        <w:t xml:space="preserve"> and how it </w:t>
      </w:r>
      <w:r w:rsidR="00BC2544">
        <w:t>could be</w:t>
      </w:r>
      <w:r w:rsidR="00865BB9">
        <w:t xml:space="preserve"> exercised</w:t>
      </w:r>
      <w:r w:rsidR="00AA24A9">
        <w:t>.</w:t>
      </w:r>
      <w:r w:rsidR="009A3F4F">
        <w:t xml:space="preserve"> </w:t>
      </w:r>
    </w:p>
    <w:p w14:paraId="1C246091" w14:textId="77777777" w:rsidR="00ED483E" w:rsidRDefault="00320F14" w:rsidP="00ED483E">
      <w:pPr>
        <w:numPr>
          <w:ilvl w:val="0"/>
          <w:numId w:val="2"/>
        </w:numPr>
        <w:autoSpaceDE w:val="0"/>
        <w:spacing w:before="240" w:after="240"/>
        <w:jc w:val="both"/>
      </w:pPr>
      <w:r>
        <w:t xml:space="preserve">The </w:t>
      </w:r>
      <w:r w:rsidR="00796ED6">
        <w:t>nature</w:t>
      </w:r>
      <w:r w:rsidR="00A23E95">
        <w:t xml:space="preserve"> of </w:t>
      </w:r>
      <w:r w:rsidR="00402B29">
        <w:t xml:space="preserve">the Nizam’s authority </w:t>
      </w:r>
      <w:r w:rsidR="00A158CF">
        <w:t xml:space="preserve">falls to be considered </w:t>
      </w:r>
      <w:r w:rsidR="00ED483E">
        <w:t xml:space="preserve">at the relevant time, which is the time of the </w:t>
      </w:r>
      <w:r w:rsidR="00261F9D">
        <w:t>T</w:t>
      </w:r>
      <w:r w:rsidR="00ED483E">
        <w:t xml:space="preserve">ransfer, September 1948. It will already be appreciated that September </w:t>
      </w:r>
      <w:r w:rsidR="00A158CF">
        <w:t xml:space="preserve">1948 </w:t>
      </w:r>
      <w:r w:rsidR="00ED483E">
        <w:t>was a momentous month for Hyderabad and its ruler. The events of September 1948 affect the nature of Nizam</w:t>
      </w:r>
      <w:r w:rsidR="00A158CF">
        <w:t xml:space="preserve"> VII</w:t>
      </w:r>
      <w:r w:rsidR="00ED483E">
        <w:t xml:space="preserve">’s authority. It is also clear that the events of September 1948 </w:t>
      </w:r>
      <w:r w:rsidR="00AE113B">
        <w:t xml:space="preserve">in some way </w:t>
      </w:r>
      <w:r w:rsidR="00ED483E">
        <w:t>informed the Transfer itself. The terms of the Transfer</w:t>
      </w:r>
      <w:r w:rsidR="00062E50">
        <w:t xml:space="preserve"> were</w:t>
      </w:r>
      <w:r w:rsidR="00ED483E">
        <w:t xml:space="preserve"> </w:t>
      </w:r>
      <w:r w:rsidR="00062E50">
        <w:t>– as I have found</w:t>
      </w:r>
      <w:r w:rsidR="00062E50">
        <w:rPr>
          <w:rStyle w:val="FootnoteReference"/>
        </w:rPr>
        <w:footnoteReference w:id="117"/>
      </w:r>
      <w:r w:rsidR="00062E50">
        <w:t xml:space="preserve"> –</w:t>
      </w:r>
      <w:r w:rsidR="00E54D71">
        <w:t xml:space="preserve"> </w:t>
      </w:r>
      <w:r w:rsidR="00ED483E">
        <w:t>agreed as between Moin and Rahimt</w:t>
      </w:r>
      <w:r w:rsidR="00062E50">
        <w:t>oo</w:t>
      </w:r>
      <w:r w:rsidR="00ED483E">
        <w:t xml:space="preserve">la on </w:t>
      </w:r>
      <w:r w:rsidR="00062E50">
        <w:t xml:space="preserve">or about </w:t>
      </w:r>
      <w:r w:rsidR="00ED483E">
        <w:t xml:space="preserve">15 September 1948 – just as Operation Polo began – </w:t>
      </w:r>
      <w:r w:rsidR="00F1268B">
        <w:t>whilst</w:t>
      </w:r>
      <w:r w:rsidR="00ED483E">
        <w:t xml:space="preserve"> the Transfer </w:t>
      </w:r>
      <w:r w:rsidR="00851DBD">
        <w:t xml:space="preserve">itself </w:t>
      </w:r>
      <w:r w:rsidR="00ED483E">
        <w:t xml:space="preserve">was executed on 20 September 1948, a few days after it would have been clear to Moin that Nizam VII’s position was politically very different to that which </w:t>
      </w:r>
      <w:r w:rsidR="00851DBD">
        <w:t xml:space="preserve">had </w:t>
      </w:r>
      <w:r w:rsidR="00ED483E">
        <w:t xml:space="preserve">pertained </w:t>
      </w:r>
      <w:r w:rsidR="00E54D71">
        <w:t>prior to the commencement of Operation Polo</w:t>
      </w:r>
      <w:r w:rsidR="00ED483E">
        <w:t>.</w:t>
      </w:r>
    </w:p>
    <w:p w14:paraId="3A996C6C" w14:textId="77777777" w:rsidR="00ED483E" w:rsidRDefault="00ED483E" w:rsidP="00ED483E">
      <w:pPr>
        <w:numPr>
          <w:ilvl w:val="0"/>
          <w:numId w:val="2"/>
        </w:numPr>
        <w:autoSpaceDE w:val="0"/>
        <w:spacing w:before="240" w:after="240"/>
        <w:jc w:val="both"/>
      </w:pPr>
      <w:r>
        <w:t>The fact is that between 15 and 20 September 1948, Hyderabad fell to Indian forces and</w:t>
      </w:r>
      <w:r w:rsidR="00097065">
        <w:t>,</w:t>
      </w:r>
      <w:r>
        <w:t xml:space="preserve"> on 17 September 1948</w:t>
      </w:r>
      <w:r w:rsidR="00097065">
        <w:t>,</w:t>
      </w:r>
      <w:r>
        <w:t xml:space="preserve"> Nizam VII dismissed his Government. The question of the Nizam’s authority and how he exercised it is thus a difficult one, that potentially changed over precisely this period.</w:t>
      </w:r>
    </w:p>
    <w:p w14:paraId="2AE14B98" w14:textId="77777777" w:rsidR="000701FB" w:rsidRDefault="000701FB" w:rsidP="0054588F">
      <w:pPr>
        <w:numPr>
          <w:ilvl w:val="0"/>
          <w:numId w:val="2"/>
        </w:numPr>
        <w:autoSpaceDE w:val="0"/>
        <w:spacing w:before="240" w:after="240"/>
        <w:jc w:val="both"/>
      </w:pPr>
      <w:r>
        <w:t xml:space="preserve">I approach </w:t>
      </w:r>
      <w:r w:rsidR="00094419">
        <w:t>the question of the Nizam’s authority</w:t>
      </w:r>
      <w:r>
        <w:t xml:space="preserve"> in the following way:</w:t>
      </w:r>
    </w:p>
    <w:p w14:paraId="201DD053" w14:textId="77777777" w:rsidR="002A6E8C" w:rsidRDefault="007E3D4F" w:rsidP="000701FB">
      <w:pPr>
        <w:numPr>
          <w:ilvl w:val="1"/>
          <w:numId w:val="2"/>
        </w:numPr>
        <w:autoSpaceDE w:val="0"/>
        <w:spacing w:before="240" w:after="240"/>
        <w:jc w:val="both"/>
      </w:pPr>
      <w:r>
        <w:t xml:space="preserve">First, </w:t>
      </w:r>
      <w:r w:rsidR="00416882">
        <w:t xml:space="preserve">what law governs the </w:t>
      </w:r>
      <w:r w:rsidR="00C951B7">
        <w:t xml:space="preserve">ability </w:t>
      </w:r>
      <w:r w:rsidR="00085934">
        <w:t xml:space="preserve">of Nizam VII in September 1948 to authorise </w:t>
      </w:r>
      <w:r w:rsidR="00CF31AB">
        <w:t xml:space="preserve">certain transactions </w:t>
      </w:r>
      <w:r w:rsidR="00D86222">
        <w:t>or</w:t>
      </w:r>
      <w:r w:rsidR="00CE1A2B">
        <w:t xml:space="preserve"> to</w:t>
      </w:r>
      <w:r w:rsidR="00D86222">
        <w:t xml:space="preserve"> delegate certain </w:t>
      </w:r>
      <w:r w:rsidR="00C80673">
        <w:t xml:space="preserve">powers </w:t>
      </w:r>
      <w:r w:rsidR="00624FD0">
        <w:t>to others?</w:t>
      </w:r>
      <w:r w:rsidR="000B0D14">
        <w:t xml:space="preserve"> </w:t>
      </w:r>
      <w:r w:rsidR="006A2FB5">
        <w:t>The question of applicable law is considered in Section F(2) below.</w:t>
      </w:r>
      <w:r w:rsidR="00D61418">
        <w:t xml:space="preserve"> Perhaps unsurprisingly, I conclude that this</w:t>
      </w:r>
      <w:r w:rsidR="00756D2A">
        <w:t xml:space="preserve"> question</w:t>
      </w:r>
      <w:r w:rsidR="00D61418">
        <w:t xml:space="preserve"> is a matter not of English law, but </w:t>
      </w:r>
      <w:r w:rsidR="00F95E8F">
        <w:t xml:space="preserve">the </w:t>
      </w:r>
      <w:r w:rsidR="00690939">
        <w:t>“</w:t>
      </w:r>
      <w:r w:rsidR="00F95E8F">
        <w:t>law</w:t>
      </w:r>
      <w:r w:rsidR="00690939">
        <w:t>”</w:t>
      </w:r>
      <w:r w:rsidR="00F95E8F">
        <w:t xml:space="preserve"> of Hyderabad</w:t>
      </w:r>
      <w:r w:rsidR="006F2E37">
        <w:t>.</w:t>
      </w:r>
    </w:p>
    <w:p w14:paraId="32CDCC48" w14:textId="77777777" w:rsidR="00D1393E" w:rsidRDefault="003C0686" w:rsidP="000701FB">
      <w:pPr>
        <w:numPr>
          <w:ilvl w:val="1"/>
          <w:numId w:val="2"/>
        </w:numPr>
        <w:autoSpaceDE w:val="0"/>
        <w:spacing w:before="240" w:after="240"/>
        <w:jc w:val="both"/>
      </w:pPr>
      <w:r>
        <w:t xml:space="preserve">If that is the case, the question arises as to whether </w:t>
      </w:r>
      <w:r w:rsidR="00C83013">
        <w:t xml:space="preserve">Hyderabad </w:t>
      </w:r>
      <w:r w:rsidR="00B36640">
        <w:t xml:space="preserve">constitutes a “law district” recognised by English law for the purposes of the </w:t>
      </w:r>
      <w:r w:rsidR="000A5B33">
        <w:t xml:space="preserve">English </w:t>
      </w:r>
      <w:r w:rsidR="00B36640">
        <w:t>conflict of laws</w:t>
      </w:r>
      <w:r w:rsidR="000A5B33">
        <w:t xml:space="preserve"> </w:t>
      </w:r>
      <w:r w:rsidR="000A5B33">
        <w:lastRenderedPageBreak/>
        <w:t>rules</w:t>
      </w:r>
      <w:r w:rsidR="00B36640">
        <w:t>.</w:t>
      </w:r>
      <w:r w:rsidR="005107AD">
        <w:t xml:space="preserve"> That</w:t>
      </w:r>
      <w:r w:rsidR="00795417">
        <w:t xml:space="preserve"> raises the question </w:t>
      </w:r>
      <w:r w:rsidR="00B55DF4">
        <w:t>of the stat</w:t>
      </w:r>
      <w:r w:rsidR="00463646">
        <w:t>us</w:t>
      </w:r>
      <w:r w:rsidR="00FC677D">
        <w:t>, in the eyes of the United Kingdom,</w:t>
      </w:r>
      <w:r w:rsidR="00463646">
        <w:t xml:space="preserve"> of Hyderabad in September 1948</w:t>
      </w:r>
      <w:r w:rsidR="00FC677D">
        <w:t xml:space="preserve">. This question </w:t>
      </w:r>
      <w:r w:rsidR="002F6721">
        <w:t>is considered in Section F(3) below.</w:t>
      </w:r>
    </w:p>
    <w:p w14:paraId="1C22AE9D" w14:textId="77777777" w:rsidR="002F6721" w:rsidRDefault="00287B09" w:rsidP="000701FB">
      <w:pPr>
        <w:numPr>
          <w:ilvl w:val="1"/>
          <w:numId w:val="2"/>
        </w:numPr>
        <w:autoSpaceDE w:val="0"/>
        <w:spacing w:before="240" w:after="240"/>
        <w:jc w:val="both"/>
      </w:pPr>
      <w:r>
        <w:t xml:space="preserve">Thirdly, there is the question – assuming the law of Hyderabad </w:t>
      </w:r>
      <w:r w:rsidR="00DE3E5E">
        <w:t xml:space="preserve">does </w:t>
      </w:r>
      <w:r w:rsidR="008A5357">
        <w:t xml:space="preserve">apply and does </w:t>
      </w:r>
      <w:r w:rsidR="00DE3E5E">
        <w:t xml:space="preserve">constitute a “law district” </w:t>
      </w:r>
      <w:r w:rsidR="002407E6">
        <w:t>–</w:t>
      </w:r>
      <w:r w:rsidR="00DE3E5E">
        <w:t xml:space="preserve"> </w:t>
      </w:r>
      <w:r w:rsidR="002407E6">
        <w:t>of what th</w:t>
      </w:r>
      <w:r w:rsidR="000A689C">
        <w:t>e</w:t>
      </w:r>
      <w:r w:rsidR="002407E6">
        <w:t xml:space="preserve"> law </w:t>
      </w:r>
      <w:r w:rsidR="000A689C">
        <w:t xml:space="preserve">regarding the Nizam’s authority </w:t>
      </w:r>
      <w:r w:rsidR="002407E6">
        <w:t>actually is. This question is considered in Section F(4) below.</w:t>
      </w:r>
    </w:p>
    <w:p w14:paraId="7991894F" w14:textId="77777777" w:rsidR="00F44587" w:rsidRDefault="00BA7F1F" w:rsidP="00F44587">
      <w:pPr>
        <w:autoSpaceDE w:val="0"/>
        <w:spacing w:before="240" w:after="240"/>
        <w:ind w:left="567"/>
        <w:jc w:val="both"/>
      </w:pPr>
      <w:r>
        <w:t xml:space="preserve">Finally, in Section F(5) below, I consider a question that arises out of these </w:t>
      </w:r>
      <w:r w:rsidR="00BD780D">
        <w:t>matters: namely, at what point in time did Moin’s actual authority, as a Hyderabad Government official, cease?</w:t>
      </w:r>
    </w:p>
    <w:p w14:paraId="5F4D9874" w14:textId="77777777" w:rsidR="00645DE2" w:rsidRPr="00ED483E" w:rsidRDefault="00F454AF" w:rsidP="008A6887">
      <w:pPr>
        <w:keepNext/>
        <w:tabs>
          <w:tab w:val="left" w:pos="567"/>
        </w:tabs>
        <w:autoSpaceDE w:val="0"/>
        <w:spacing w:before="240" w:after="240"/>
        <w:jc w:val="both"/>
        <w:rPr>
          <w:b/>
          <w:bCs/>
        </w:rPr>
      </w:pPr>
      <w:r>
        <w:rPr>
          <w:b/>
          <w:bCs/>
        </w:rPr>
        <w:t>(2)</w:t>
      </w:r>
      <w:r>
        <w:rPr>
          <w:b/>
          <w:bCs/>
        </w:rPr>
        <w:tab/>
        <w:t>Applicable law</w:t>
      </w:r>
    </w:p>
    <w:p w14:paraId="3EDE849D" w14:textId="77777777" w:rsidR="002A12AE" w:rsidRDefault="002A12AE" w:rsidP="0054588F">
      <w:pPr>
        <w:numPr>
          <w:ilvl w:val="0"/>
          <w:numId w:val="2"/>
        </w:numPr>
        <w:autoSpaceDE w:val="0"/>
        <w:spacing w:before="240" w:after="240"/>
        <w:jc w:val="both"/>
      </w:pPr>
      <w:r>
        <w:t xml:space="preserve">I must use </w:t>
      </w:r>
      <w:r w:rsidR="008649EA">
        <w:t xml:space="preserve">English law to determine the issues before me, unless some foreign or international element in the case indicates that the law of another jurisdiction </w:t>
      </w:r>
      <w:r w:rsidR="00174373">
        <w:t>is applicable</w:t>
      </w:r>
      <w:r w:rsidR="002013FB">
        <w:t>:</w:t>
      </w:r>
      <w:r w:rsidR="00174373">
        <w:t xml:space="preserve"> “</w:t>
      </w:r>
      <w:r w:rsidR="002013FB">
        <w:t>[t]</w:t>
      </w:r>
      <w:r w:rsidR="00174373">
        <w:t xml:space="preserve">he objective </w:t>
      </w:r>
      <w:r w:rsidR="008636C1">
        <w:t xml:space="preserve">of conflict of laws rules is to enable a court to decide which system of law is to be applied to resolve a legal question </w:t>
      </w:r>
      <w:r w:rsidR="000E11BA">
        <w:t>when there is a foreign, i.e. non-English, element</w:t>
      </w:r>
      <w:r w:rsidR="00B459AE">
        <w:t xml:space="preserve"> involved</w:t>
      </w:r>
      <w:r w:rsidR="000E11BA">
        <w:t xml:space="preserve"> in an issue”.</w:t>
      </w:r>
      <w:r w:rsidR="000E11BA">
        <w:rPr>
          <w:rStyle w:val="FootnoteReference"/>
        </w:rPr>
        <w:footnoteReference w:id="118"/>
      </w:r>
    </w:p>
    <w:p w14:paraId="79925924" w14:textId="77777777" w:rsidR="007B0E97" w:rsidRDefault="00514E3D" w:rsidP="0054588F">
      <w:pPr>
        <w:numPr>
          <w:ilvl w:val="0"/>
          <w:numId w:val="2"/>
        </w:numPr>
        <w:autoSpaceDE w:val="0"/>
        <w:spacing w:before="240" w:after="240"/>
        <w:jc w:val="both"/>
      </w:pPr>
      <w:r>
        <w:t xml:space="preserve">The Nizam was a personal </w:t>
      </w:r>
      <w:r w:rsidR="000C3A2C">
        <w:t xml:space="preserve">and absolute </w:t>
      </w:r>
      <w:r>
        <w:t>ruler of Hyderabad</w:t>
      </w:r>
      <w:r w:rsidR="000C3A2C">
        <w:t>. N</w:t>
      </w:r>
      <w:r>
        <w:t xml:space="preserve">o distinction was drawn as between his </w:t>
      </w:r>
      <w:r w:rsidRPr="0069070C">
        <w:rPr>
          <w:u w:val="single"/>
        </w:rPr>
        <w:t>personal</w:t>
      </w:r>
      <w:r>
        <w:t xml:space="preserve"> capacity and his capacity </w:t>
      </w:r>
      <w:r w:rsidRPr="0069070C">
        <w:rPr>
          <w:u w:val="single"/>
        </w:rPr>
        <w:t>as ruler</w:t>
      </w:r>
      <w:r>
        <w:t xml:space="preserve">. </w:t>
      </w:r>
      <w:r w:rsidR="00160044">
        <w:t xml:space="preserve">Plainly, the question of the authority of a foreign principal and ruler raises a question </w:t>
      </w:r>
      <w:r w:rsidR="007B0E97">
        <w:t xml:space="preserve">with a non-English element. </w:t>
      </w:r>
    </w:p>
    <w:p w14:paraId="7E72BFAC" w14:textId="77777777" w:rsidR="00322AA8" w:rsidRDefault="00B71201" w:rsidP="0054588F">
      <w:pPr>
        <w:numPr>
          <w:ilvl w:val="0"/>
          <w:numId w:val="2"/>
        </w:numPr>
        <w:autoSpaceDE w:val="0"/>
        <w:spacing w:before="240" w:after="240"/>
        <w:jc w:val="both"/>
      </w:pPr>
      <w:r>
        <w:t>Whether the question</w:t>
      </w:r>
      <w:r w:rsidR="00E67FAB">
        <w:t xml:space="preserve"> is framed as</w:t>
      </w:r>
      <w:r w:rsidR="00D4335B">
        <w:t xml:space="preserve"> one of personal capacity,</w:t>
      </w:r>
      <w:r w:rsidR="00E67FAB">
        <w:t xml:space="preserve"> the </w:t>
      </w:r>
      <w:r w:rsidR="00D4335B">
        <w:t xml:space="preserve">delegation of authority by a principal to an agent or the </w:t>
      </w:r>
      <w:r w:rsidR="00FA08E9">
        <w:t>authority of a ruler of a state</w:t>
      </w:r>
      <w:r w:rsidR="00F42FB1">
        <w:t>, the same law is indicated: the law of the state where the principal is domiciled</w:t>
      </w:r>
      <w:r w:rsidR="00E73902">
        <w:t xml:space="preserve"> or resident</w:t>
      </w:r>
      <w:r w:rsidR="00DA6986">
        <w:t xml:space="preserve"> or the law of the state the ruler rules over.</w:t>
      </w:r>
      <w:r w:rsidR="00FA08E9">
        <w:t xml:space="preserve"> </w:t>
      </w:r>
      <w:r w:rsidR="00B366ED">
        <w:t>More specifically:</w:t>
      </w:r>
    </w:p>
    <w:p w14:paraId="13302498" w14:textId="77777777" w:rsidR="00B366ED" w:rsidRDefault="00281CC9" w:rsidP="00B366ED">
      <w:pPr>
        <w:numPr>
          <w:ilvl w:val="1"/>
          <w:numId w:val="2"/>
        </w:numPr>
        <w:autoSpaceDE w:val="0"/>
        <w:spacing w:before="240" w:after="240"/>
        <w:jc w:val="both"/>
      </w:pPr>
      <w:r>
        <w:t>When considering the question of the capacity of a corporation</w:t>
      </w:r>
      <w:r w:rsidR="00901D74">
        <w:t xml:space="preserve"> in </w:t>
      </w:r>
      <w:r w:rsidR="00901D74">
        <w:rPr>
          <w:i/>
          <w:iCs/>
        </w:rPr>
        <w:t>Haugesund Kommune v. Depfa ACS Bank</w:t>
      </w:r>
      <w:r w:rsidR="00901D74">
        <w:t>,</w:t>
      </w:r>
      <w:r w:rsidR="00901D74">
        <w:rPr>
          <w:rStyle w:val="FootnoteReference"/>
        </w:rPr>
        <w:footnoteReference w:id="119"/>
      </w:r>
      <w:r w:rsidR="000A13EB">
        <w:t xml:space="preserve"> Aikens LJ considered:</w:t>
      </w:r>
    </w:p>
    <w:p w14:paraId="38F89F7B" w14:textId="77777777" w:rsidR="000A13EB" w:rsidRDefault="00F4202D" w:rsidP="000A13EB">
      <w:pPr>
        <w:numPr>
          <w:ilvl w:val="2"/>
          <w:numId w:val="2"/>
        </w:numPr>
        <w:autoSpaceDE w:val="0"/>
        <w:spacing w:before="240" w:after="240"/>
        <w:jc w:val="both"/>
      </w:pPr>
      <w:r>
        <w:t xml:space="preserve">That the concept of </w:t>
      </w:r>
      <w:r w:rsidR="006E33E4">
        <w:t>“</w:t>
      </w:r>
      <w:r>
        <w:t>capacity</w:t>
      </w:r>
      <w:r w:rsidR="006E33E4">
        <w:t>”</w:t>
      </w:r>
      <w:r>
        <w:t xml:space="preserve"> </w:t>
      </w:r>
      <w:r w:rsidR="006E33E4">
        <w:t>had to be given a broader, “internationalist”, meaning</w:t>
      </w:r>
      <w:r w:rsidR="002A1729">
        <w:t xml:space="preserve">, unconstrained by any </w:t>
      </w:r>
      <w:r w:rsidR="007035FA">
        <w:t xml:space="preserve">narrower definitions accorded by English domestic law. Aikens LJ defined capacity </w:t>
      </w:r>
      <w:r w:rsidR="00722E62">
        <w:t xml:space="preserve">as the legal ability of a corporation to exercise specific rights, including but not limited to the legal ability to enter into a </w:t>
      </w:r>
      <w:r w:rsidR="009A28CC">
        <w:t>valid contract with a third party.</w:t>
      </w:r>
      <w:r w:rsidR="009A28CC">
        <w:rPr>
          <w:rStyle w:val="FootnoteReference"/>
        </w:rPr>
        <w:footnoteReference w:id="120"/>
      </w:r>
    </w:p>
    <w:p w14:paraId="350AF75E" w14:textId="77777777" w:rsidR="009A28CC" w:rsidRDefault="009A28CC" w:rsidP="000A13EB">
      <w:pPr>
        <w:numPr>
          <w:ilvl w:val="2"/>
          <w:numId w:val="2"/>
        </w:numPr>
        <w:autoSpaceDE w:val="0"/>
        <w:spacing w:before="240" w:after="240"/>
        <w:jc w:val="both"/>
      </w:pPr>
      <w:r>
        <w:t xml:space="preserve">That the capacity </w:t>
      </w:r>
      <w:r w:rsidR="00CD5CB1">
        <w:t>of a corporation to exercise specific rights is determined by the constitution of the corporation, which is itself governed by the law of the place of incorporation.</w:t>
      </w:r>
      <w:r w:rsidR="00CD5CB1">
        <w:rPr>
          <w:rStyle w:val="FootnoteReference"/>
        </w:rPr>
        <w:footnoteReference w:id="121"/>
      </w:r>
    </w:p>
    <w:p w14:paraId="00C0A825" w14:textId="77777777" w:rsidR="0056019C" w:rsidRDefault="0056019C" w:rsidP="0056019C">
      <w:pPr>
        <w:numPr>
          <w:ilvl w:val="1"/>
          <w:numId w:val="2"/>
        </w:numPr>
        <w:autoSpaceDE w:val="0"/>
        <w:spacing w:before="240" w:after="240"/>
        <w:jc w:val="both"/>
      </w:pPr>
      <w:r>
        <w:t xml:space="preserve">When considering the question of the capacity of an individual, matters are less clear, but the better view </w:t>
      </w:r>
      <w:r w:rsidR="00906372">
        <w:t>favour</w:t>
      </w:r>
      <w:r w:rsidR="0039454A">
        <w:t>s</w:t>
      </w:r>
      <w:r w:rsidR="00906372">
        <w:t xml:space="preserve"> the law of the individual’s domicile for questions of capacity.</w:t>
      </w:r>
      <w:r w:rsidR="001156F3">
        <w:t xml:space="preserve"> In </w:t>
      </w:r>
      <w:r w:rsidR="006D5C18">
        <w:rPr>
          <w:i/>
          <w:iCs/>
        </w:rPr>
        <w:t>Cooper v. Cooper</w:t>
      </w:r>
      <w:r w:rsidR="006D5C18">
        <w:t>,</w:t>
      </w:r>
      <w:r w:rsidR="006D5C18">
        <w:rPr>
          <w:rStyle w:val="FootnoteReference"/>
        </w:rPr>
        <w:footnoteReference w:id="122"/>
      </w:r>
      <w:r w:rsidR="00CF0AC8">
        <w:t xml:space="preserve"> Lord Macnaghten stated:</w:t>
      </w:r>
    </w:p>
    <w:p w14:paraId="79FF427E" w14:textId="77777777" w:rsidR="00CF0AC8" w:rsidRPr="00CF0AC8" w:rsidRDefault="00CF0AC8" w:rsidP="00CF0AC8">
      <w:pPr>
        <w:autoSpaceDE w:val="0"/>
        <w:spacing w:before="240" w:after="240"/>
        <w:ind w:left="1134"/>
        <w:jc w:val="both"/>
        <w:rPr>
          <w:sz w:val="22"/>
          <w:szCs w:val="22"/>
        </w:rPr>
      </w:pPr>
      <w:r>
        <w:rPr>
          <w:sz w:val="22"/>
          <w:szCs w:val="22"/>
        </w:rPr>
        <w:lastRenderedPageBreak/>
        <w:t>“</w:t>
      </w:r>
      <w:r w:rsidR="003D4F7F">
        <w:rPr>
          <w:sz w:val="22"/>
          <w:szCs w:val="22"/>
        </w:rPr>
        <w:t xml:space="preserve">It has been doubted whether the personal competency or </w:t>
      </w:r>
      <w:r w:rsidR="003D4F7F" w:rsidRPr="00751778">
        <w:rPr>
          <w:sz w:val="22"/>
          <w:szCs w:val="22"/>
        </w:rPr>
        <w:t>incompetency of an</w:t>
      </w:r>
      <w:r w:rsidR="003D4F7F">
        <w:rPr>
          <w:sz w:val="22"/>
          <w:szCs w:val="22"/>
        </w:rPr>
        <w:t xml:space="preserve"> individual </w:t>
      </w:r>
      <w:r w:rsidR="00405C1D">
        <w:rPr>
          <w:sz w:val="22"/>
          <w:szCs w:val="22"/>
        </w:rPr>
        <w:t xml:space="preserve">to contract depends on the law of the place where the contract is made or on the law of the place </w:t>
      </w:r>
      <w:r w:rsidR="007C39EE">
        <w:rPr>
          <w:sz w:val="22"/>
          <w:szCs w:val="22"/>
        </w:rPr>
        <w:t>where the contracting party is domiciled. Perhaps in this country the question is not finally settled</w:t>
      </w:r>
      <w:r w:rsidR="00897A18">
        <w:rPr>
          <w:sz w:val="22"/>
          <w:szCs w:val="22"/>
        </w:rPr>
        <w:t xml:space="preserve">, though the preponderance of opinion here </w:t>
      </w:r>
      <w:r w:rsidR="00971658">
        <w:rPr>
          <w:sz w:val="22"/>
          <w:szCs w:val="22"/>
        </w:rPr>
        <w:t>as well as abroad seems to be in favour of the law of the domicil.</w:t>
      </w:r>
      <w:r w:rsidR="003B204E">
        <w:rPr>
          <w:sz w:val="22"/>
          <w:szCs w:val="22"/>
        </w:rPr>
        <w:t xml:space="preserve"> It may be that all cases are not to be governed by one and the same rule.”</w:t>
      </w:r>
    </w:p>
    <w:p w14:paraId="50A6DEAC" w14:textId="77777777" w:rsidR="00CF0AC8" w:rsidRDefault="00E25AA3" w:rsidP="00E25AA3">
      <w:pPr>
        <w:autoSpaceDE w:val="0"/>
        <w:spacing w:before="240" w:after="240"/>
        <w:ind w:left="1134"/>
        <w:jc w:val="both"/>
      </w:pPr>
      <w:r>
        <w:rPr>
          <w:i/>
          <w:iCs/>
        </w:rPr>
        <w:t xml:space="preserve">Dicey &amp; Morris </w:t>
      </w:r>
      <w:r>
        <w:t xml:space="preserve">suggests </w:t>
      </w:r>
      <w:r w:rsidR="00ED0750">
        <w:t xml:space="preserve">that the pendulum on the question of contractual capacity at least “has swung </w:t>
      </w:r>
      <w:r w:rsidR="00444440">
        <w:t>towards the law governing the contract”</w:t>
      </w:r>
      <w:r w:rsidR="00285DB3">
        <w:t>.</w:t>
      </w:r>
      <w:r w:rsidR="00444440">
        <w:rPr>
          <w:rStyle w:val="FootnoteReference"/>
        </w:rPr>
        <w:footnoteReference w:id="123"/>
      </w:r>
      <w:r w:rsidR="00285DB3">
        <w:t xml:space="preserve"> However, it seems to me that where </w:t>
      </w:r>
      <w:r w:rsidR="00FD36DC">
        <w:t>one is considering the capacity of a single person to authorise</w:t>
      </w:r>
      <w:r w:rsidR="00CD40D0">
        <w:t>, in a single act,</w:t>
      </w:r>
      <w:r w:rsidR="00FD36DC">
        <w:t xml:space="preserve"> </w:t>
      </w:r>
      <w:r w:rsidR="00CD40D0">
        <w:t>several</w:t>
      </w:r>
      <w:r w:rsidR="003D4CEC">
        <w:t xml:space="preserve"> others to do something</w:t>
      </w:r>
      <w:r w:rsidR="00791233">
        <w:t xml:space="preserve"> </w:t>
      </w:r>
      <w:r w:rsidR="00FD36DC">
        <w:t xml:space="preserve">or </w:t>
      </w:r>
      <w:r w:rsidR="00791233">
        <w:t xml:space="preserve">to </w:t>
      </w:r>
      <w:r w:rsidR="00FD36DC">
        <w:t xml:space="preserve">delegate </w:t>
      </w:r>
      <w:r w:rsidR="00791233">
        <w:t xml:space="preserve">to someone else </w:t>
      </w:r>
      <w:r w:rsidR="00FD36DC">
        <w:t xml:space="preserve">many transactions in his capacity as the personal ruler of a kingdom (and I expressly leave on one side, </w:t>
      </w:r>
      <w:r w:rsidR="00791233">
        <w:t xml:space="preserve">for </w:t>
      </w:r>
      <w:r w:rsidR="00FD36DC">
        <w:t xml:space="preserve">the present, the </w:t>
      </w:r>
      <w:r w:rsidR="00FD36DC">
        <w:rPr>
          <w:u w:val="single"/>
        </w:rPr>
        <w:t>exact</w:t>
      </w:r>
      <w:r w:rsidR="00FD36DC">
        <w:t xml:space="preserve"> status of Hyderabad)</w:t>
      </w:r>
      <w:r w:rsidR="00E639A3">
        <w:t>, the law of domicil</w:t>
      </w:r>
      <w:r w:rsidR="00CD40D0">
        <w:t>e</w:t>
      </w:r>
      <w:r w:rsidR="00E639A3">
        <w:t xml:space="preserve"> is indicated.</w:t>
      </w:r>
    </w:p>
    <w:p w14:paraId="2CB95E74" w14:textId="77777777" w:rsidR="007B641F" w:rsidRDefault="00AA2D3E" w:rsidP="007B256E">
      <w:pPr>
        <w:numPr>
          <w:ilvl w:val="1"/>
          <w:numId w:val="2"/>
        </w:numPr>
        <w:autoSpaceDE w:val="0"/>
        <w:spacing w:before="240" w:after="240"/>
        <w:jc w:val="both"/>
      </w:pPr>
      <w:r>
        <w:t>This is further borne out when one considers what law should apply</w:t>
      </w:r>
      <w:r w:rsidR="00865E7F">
        <w:t xml:space="preserve"> to determine the capacity of a principal to authorise an agent.</w:t>
      </w:r>
      <w:r w:rsidR="005E6F9F">
        <w:t xml:space="preserve"> </w:t>
      </w:r>
      <w:r w:rsidR="005E6F9F">
        <w:rPr>
          <w:i/>
          <w:iCs/>
        </w:rPr>
        <w:t>Dicey &amp; Morris</w:t>
      </w:r>
      <w:r w:rsidR="005E6F9F">
        <w:t xml:space="preserve"> notes:</w:t>
      </w:r>
      <w:r w:rsidR="005E6F9F">
        <w:rPr>
          <w:rStyle w:val="FootnoteReference"/>
        </w:rPr>
        <w:footnoteReference w:id="124"/>
      </w:r>
    </w:p>
    <w:p w14:paraId="5E69462E" w14:textId="77777777" w:rsidR="007B641F" w:rsidRPr="007B641F" w:rsidRDefault="007B641F" w:rsidP="007B641F">
      <w:pPr>
        <w:autoSpaceDE w:val="0"/>
        <w:spacing w:before="240" w:after="240"/>
        <w:ind w:left="1134"/>
        <w:jc w:val="both"/>
        <w:rPr>
          <w:sz w:val="22"/>
          <w:szCs w:val="22"/>
        </w:rPr>
      </w:pPr>
      <w:r>
        <w:rPr>
          <w:sz w:val="22"/>
          <w:szCs w:val="22"/>
        </w:rPr>
        <w:t>“</w:t>
      </w:r>
      <w:r w:rsidR="008D3EB8">
        <w:rPr>
          <w:sz w:val="22"/>
          <w:szCs w:val="22"/>
        </w:rPr>
        <w:t>At common law</w:t>
      </w:r>
      <w:r w:rsidR="001B6D97">
        <w:rPr>
          <w:sz w:val="22"/>
          <w:szCs w:val="22"/>
        </w:rPr>
        <w:t xml:space="preserve">, a contract of agency </w:t>
      </w:r>
      <w:r w:rsidR="00B626FA">
        <w:rPr>
          <w:sz w:val="22"/>
          <w:szCs w:val="22"/>
        </w:rPr>
        <w:t>was governed by its proper law</w:t>
      </w:r>
      <w:r w:rsidR="00CE7DB5">
        <w:rPr>
          <w:sz w:val="22"/>
          <w:szCs w:val="22"/>
        </w:rPr>
        <w:t>, which was, in general</w:t>
      </w:r>
      <w:r w:rsidR="00342933">
        <w:rPr>
          <w:sz w:val="22"/>
          <w:szCs w:val="22"/>
        </w:rPr>
        <w:t xml:space="preserve">, the law of the country </w:t>
      </w:r>
      <w:r w:rsidR="00621E1C">
        <w:rPr>
          <w:sz w:val="22"/>
          <w:szCs w:val="22"/>
        </w:rPr>
        <w:t>where the relationship of principal</w:t>
      </w:r>
      <w:r w:rsidR="00C30CC5">
        <w:rPr>
          <w:sz w:val="22"/>
          <w:szCs w:val="22"/>
        </w:rPr>
        <w:t xml:space="preserve"> and agent </w:t>
      </w:r>
      <w:r w:rsidR="008F4CC3">
        <w:rPr>
          <w:sz w:val="22"/>
          <w:szCs w:val="22"/>
        </w:rPr>
        <w:t xml:space="preserve">was created. </w:t>
      </w:r>
      <w:r w:rsidR="001E35A2">
        <w:rPr>
          <w:sz w:val="22"/>
          <w:szCs w:val="22"/>
        </w:rPr>
        <w:t xml:space="preserve">This place could be </w:t>
      </w:r>
      <w:r w:rsidR="00DB3615">
        <w:rPr>
          <w:sz w:val="22"/>
          <w:szCs w:val="22"/>
        </w:rPr>
        <w:t xml:space="preserve">difficult </w:t>
      </w:r>
      <w:r w:rsidR="005B2778">
        <w:rPr>
          <w:sz w:val="22"/>
          <w:szCs w:val="22"/>
        </w:rPr>
        <w:t xml:space="preserve">to determine </w:t>
      </w:r>
      <w:r w:rsidR="00356FBB">
        <w:rPr>
          <w:sz w:val="22"/>
          <w:szCs w:val="22"/>
        </w:rPr>
        <w:t xml:space="preserve">where principal and agent </w:t>
      </w:r>
      <w:r w:rsidR="00CD51BA">
        <w:rPr>
          <w:sz w:val="22"/>
          <w:szCs w:val="22"/>
        </w:rPr>
        <w:t xml:space="preserve">lived in different countries. </w:t>
      </w:r>
      <w:r w:rsidR="00BC1260">
        <w:rPr>
          <w:sz w:val="22"/>
          <w:szCs w:val="22"/>
        </w:rPr>
        <w:t xml:space="preserve">In such a case, </w:t>
      </w:r>
      <w:r w:rsidR="0022176E">
        <w:rPr>
          <w:sz w:val="22"/>
          <w:szCs w:val="22"/>
        </w:rPr>
        <w:t xml:space="preserve">the law of the place where the principal </w:t>
      </w:r>
      <w:r w:rsidR="00E65786">
        <w:rPr>
          <w:sz w:val="22"/>
          <w:szCs w:val="22"/>
        </w:rPr>
        <w:t>carried on business</w:t>
      </w:r>
      <w:r w:rsidR="005418CA">
        <w:rPr>
          <w:sz w:val="22"/>
          <w:szCs w:val="22"/>
        </w:rPr>
        <w:t xml:space="preserve"> was likely to be given considerable weight…”</w:t>
      </w:r>
    </w:p>
    <w:p w14:paraId="07B63BD7" w14:textId="77777777" w:rsidR="00360B48" w:rsidRDefault="00A73233" w:rsidP="007B256E">
      <w:pPr>
        <w:numPr>
          <w:ilvl w:val="1"/>
          <w:numId w:val="2"/>
        </w:numPr>
        <w:autoSpaceDE w:val="0"/>
        <w:spacing w:before="240" w:after="240"/>
        <w:jc w:val="both"/>
      </w:pPr>
      <w:r>
        <w:t>Finally,</w:t>
      </w:r>
      <w:r w:rsidR="005D0F86">
        <w:t xml:space="preserve"> it is necessary to recall that Nizam VII was also the ruler of Hyderabad. </w:t>
      </w:r>
      <w:r w:rsidR="00360B48">
        <w:t xml:space="preserve">Rule 37 in </w:t>
      </w:r>
      <w:r w:rsidR="00360B48">
        <w:rPr>
          <w:i/>
          <w:iCs/>
        </w:rPr>
        <w:t>Dicey &amp; Morris</w:t>
      </w:r>
      <w:r w:rsidR="00360B48">
        <w:t xml:space="preserve"> provides:</w:t>
      </w:r>
      <w:r w:rsidR="00360B48">
        <w:rPr>
          <w:rStyle w:val="FootnoteReference"/>
        </w:rPr>
        <w:footnoteReference w:id="125"/>
      </w:r>
    </w:p>
    <w:p w14:paraId="75225482" w14:textId="77777777" w:rsidR="00360B48" w:rsidRPr="00696C7E" w:rsidRDefault="00C75089" w:rsidP="00360B48">
      <w:pPr>
        <w:autoSpaceDE w:val="0"/>
        <w:spacing w:before="240" w:after="240"/>
        <w:ind w:left="1134"/>
        <w:jc w:val="both"/>
        <w:rPr>
          <w:sz w:val="22"/>
          <w:szCs w:val="22"/>
        </w:rPr>
      </w:pPr>
      <w:r>
        <w:rPr>
          <w:sz w:val="22"/>
          <w:szCs w:val="22"/>
        </w:rPr>
        <w:t xml:space="preserve">“A governmental act affecting any private proprietary right in any movable or immovable thing will be recognised as valid and effective in England </w:t>
      </w:r>
      <w:r w:rsidR="00696C7E">
        <w:rPr>
          <w:sz w:val="22"/>
          <w:szCs w:val="22"/>
        </w:rPr>
        <w:t>if the act was valid and effective by the law of the country where the thing was situated (</w:t>
      </w:r>
      <w:r w:rsidR="00696C7E">
        <w:rPr>
          <w:i/>
          <w:iCs/>
          <w:sz w:val="22"/>
          <w:szCs w:val="22"/>
        </w:rPr>
        <w:t>lex situs</w:t>
      </w:r>
      <w:r w:rsidR="00696C7E">
        <w:rPr>
          <w:sz w:val="22"/>
          <w:szCs w:val="22"/>
        </w:rPr>
        <w:t>) at the moment when the act takes effect, and not otherwise.”</w:t>
      </w:r>
    </w:p>
    <w:p w14:paraId="41110247" w14:textId="77777777" w:rsidR="00017E84" w:rsidRDefault="00A04CC9" w:rsidP="006F56D3">
      <w:pPr>
        <w:autoSpaceDE w:val="0"/>
        <w:spacing w:before="240" w:after="240"/>
        <w:ind w:left="1134"/>
        <w:jc w:val="both"/>
      </w:pPr>
      <w:r>
        <w:t xml:space="preserve">This is part of the foreign act of state doctrine, </w:t>
      </w:r>
      <w:r w:rsidR="005546C2">
        <w:t xml:space="preserve">which I consider in detail further below, </w:t>
      </w:r>
      <w:r>
        <w:t xml:space="preserve">whereby </w:t>
      </w:r>
      <w:r w:rsidR="007F6094">
        <w:t xml:space="preserve">the courts of the United Kingdom will recognise, and will not question, the effect of a foreign state’s </w:t>
      </w:r>
      <w:r w:rsidR="00017E84">
        <w:t>legislation or other laws in relation to acts which take place or take effect within the territory of that state.</w:t>
      </w:r>
      <w:r w:rsidR="006F56D3">
        <w:rPr>
          <w:rStyle w:val="FootnoteReference"/>
        </w:rPr>
        <w:footnoteReference w:id="126"/>
      </w:r>
    </w:p>
    <w:p w14:paraId="44912BCB" w14:textId="77777777" w:rsidR="007B256E" w:rsidRPr="00FD36DC" w:rsidRDefault="00B64AEC" w:rsidP="002E2E25">
      <w:pPr>
        <w:autoSpaceDE w:val="0"/>
        <w:spacing w:before="240" w:after="240"/>
        <w:ind w:left="1134"/>
        <w:jc w:val="both"/>
      </w:pPr>
      <w:r>
        <w:t>Whilst the Transfer itself obviously occurred, at the instance of Moin, in the United Kingdom, I consider that the extent to which Moin’s conduct was, or was not, authorised by Nizam VII</w:t>
      </w:r>
      <w:r w:rsidR="002E2E25">
        <w:t xml:space="preserve"> to be a matter for the law of Hyderabad, on this basis</w:t>
      </w:r>
      <w:r w:rsidR="00EB4420">
        <w:t xml:space="preserve"> also</w:t>
      </w:r>
      <w:r w:rsidR="002E2E25">
        <w:t>.</w:t>
      </w:r>
    </w:p>
    <w:p w14:paraId="1049E7F6" w14:textId="77777777" w:rsidR="00942BEF" w:rsidRDefault="002E2E25" w:rsidP="0054588F">
      <w:pPr>
        <w:numPr>
          <w:ilvl w:val="0"/>
          <w:numId w:val="2"/>
        </w:numPr>
        <w:autoSpaceDE w:val="0"/>
        <w:spacing w:before="240" w:after="240"/>
        <w:jc w:val="both"/>
      </w:pPr>
      <w:r>
        <w:t xml:space="preserve">I conclude that the applicable law is that </w:t>
      </w:r>
      <w:r w:rsidR="000A1379">
        <w:t>of Hyderabad</w:t>
      </w:r>
      <w:r>
        <w:t>, which was indeed India’s contention</w:t>
      </w:r>
      <w:r w:rsidR="000A1379">
        <w:t>.</w:t>
      </w:r>
      <w:r>
        <w:rPr>
          <w:rStyle w:val="FootnoteReference"/>
        </w:rPr>
        <w:footnoteReference w:id="127"/>
      </w:r>
    </w:p>
    <w:p w14:paraId="7E547A57" w14:textId="77777777" w:rsidR="004D512F" w:rsidRDefault="004D512F" w:rsidP="006C6DB5">
      <w:pPr>
        <w:keepNext/>
        <w:tabs>
          <w:tab w:val="left" w:pos="567"/>
        </w:tabs>
        <w:autoSpaceDE w:val="0"/>
        <w:spacing w:before="240" w:after="240"/>
        <w:jc w:val="both"/>
        <w:rPr>
          <w:b/>
          <w:bCs/>
        </w:rPr>
      </w:pPr>
      <w:r>
        <w:rPr>
          <w:b/>
          <w:bCs/>
        </w:rPr>
        <w:lastRenderedPageBreak/>
        <w:t>(3)</w:t>
      </w:r>
      <w:r>
        <w:rPr>
          <w:b/>
          <w:bCs/>
        </w:rPr>
        <w:tab/>
        <w:t xml:space="preserve">Is the law of Hyderabad </w:t>
      </w:r>
      <w:r w:rsidR="003B6FE3">
        <w:rPr>
          <w:b/>
          <w:bCs/>
        </w:rPr>
        <w:t>law that is recognised in the English courts?</w:t>
      </w:r>
    </w:p>
    <w:p w14:paraId="09E661BB" w14:textId="77777777" w:rsidR="003B6FE3" w:rsidRPr="003B6FE3" w:rsidRDefault="003B6FE3" w:rsidP="006C6DB5">
      <w:pPr>
        <w:keepNext/>
        <w:tabs>
          <w:tab w:val="left" w:pos="567"/>
        </w:tabs>
        <w:autoSpaceDE w:val="0"/>
        <w:spacing w:before="240" w:after="240"/>
        <w:jc w:val="both"/>
        <w:rPr>
          <w:b/>
          <w:bCs/>
          <w:i/>
          <w:iCs/>
        </w:rPr>
      </w:pPr>
      <w:r>
        <w:rPr>
          <w:b/>
          <w:bCs/>
          <w:i/>
          <w:iCs/>
        </w:rPr>
        <w:t>(a)</w:t>
      </w:r>
      <w:r>
        <w:rPr>
          <w:b/>
          <w:bCs/>
          <w:i/>
          <w:iCs/>
        </w:rPr>
        <w:tab/>
        <w:t>The problem stated</w:t>
      </w:r>
    </w:p>
    <w:p w14:paraId="663FFBCD" w14:textId="77777777" w:rsidR="000D79F3" w:rsidRDefault="00FD1DBE" w:rsidP="0054588F">
      <w:pPr>
        <w:numPr>
          <w:ilvl w:val="0"/>
          <w:numId w:val="2"/>
        </w:numPr>
        <w:autoSpaceDE w:val="0"/>
        <w:spacing w:before="240" w:after="240"/>
        <w:jc w:val="both"/>
      </w:pPr>
      <w:r>
        <w:t xml:space="preserve">The </w:t>
      </w:r>
      <w:r w:rsidR="00526FD4">
        <w:t xml:space="preserve">English </w:t>
      </w:r>
      <w:r>
        <w:t xml:space="preserve">conflict of laws – amongst other things – identifies the </w:t>
      </w:r>
      <w:r w:rsidR="001A2BC5">
        <w:t xml:space="preserve">law </w:t>
      </w:r>
      <w:r>
        <w:t xml:space="preserve">applicable to a particular issue </w:t>
      </w:r>
      <w:r w:rsidR="00FB357F">
        <w:t xml:space="preserve">being </w:t>
      </w:r>
      <w:r w:rsidR="00AE6F0A">
        <w:t xml:space="preserve">litigated </w:t>
      </w:r>
      <w:r>
        <w:t xml:space="preserve">before an English court. </w:t>
      </w:r>
      <w:r w:rsidR="005424BC">
        <w:t>Normally, one refers to applying the law of another “country”</w:t>
      </w:r>
      <w:r w:rsidR="00F20229">
        <w:t>:</w:t>
      </w:r>
      <w:r w:rsidR="00F20229">
        <w:rPr>
          <w:rStyle w:val="FootnoteReference"/>
        </w:rPr>
        <w:footnoteReference w:id="128"/>
      </w:r>
    </w:p>
    <w:p w14:paraId="3FABE281" w14:textId="77777777" w:rsidR="00B84269" w:rsidRPr="00B84269" w:rsidRDefault="00B84269" w:rsidP="00B84269">
      <w:pPr>
        <w:autoSpaceDE w:val="0"/>
        <w:spacing w:before="240" w:after="240"/>
        <w:ind w:left="567"/>
        <w:jc w:val="both"/>
        <w:rPr>
          <w:sz w:val="22"/>
          <w:szCs w:val="22"/>
        </w:rPr>
      </w:pPr>
      <w:r w:rsidRPr="00B84269">
        <w:rPr>
          <w:sz w:val="22"/>
          <w:szCs w:val="22"/>
        </w:rPr>
        <w:t>“</w:t>
      </w:r>
      <w:r w:rsidRPr="00B84269">
        <w:rPr>
          <w:color w:val="212121"/>
          <w:sz w:val="22"/>
          <w:szCs w:val="22"/>
          <w:shd w:val="clear" w:color="auto" w:fill="FFFFFF"/>
        </w:rPr>
        <w:t>This word has from long usage become almost a term of art among English-speaking writers on the conflict of laws, and it is vitally important to appreciate exactly what it means. It was defined by Dicey as “the whole of a territory subject under one sovereign to one body of law.” He suggested that a better expression might be “law district”: but this phrase has never found much favour with English-speaking writers, who prefer the more familiar word “country.”</w:t>
      </w:r>
      <w:r w:rsidRPr="00B84269">
        <w:rPr>
          <w:rStyle w:val="apple-converted-space"/>
          <w:color w:val="212121"/>
          <w:sz w:val="22"/>
          <w:szCs w:val="22"/>
          <w:shd w:val="clear" w:color="auto" w:fill="FFFFFF"/>
        </w:rPr>
        <w:t> </w:t>
      </w:r>
      <w:r w:rsidRPr="00B84269">
        <w:rPr>
          <w:color w:val="212121"/>
          <w:sz w:val="22"/>
          <w:szCs w:val="22"/>
          <w:shd w:val="clear" w:color="auto" w:fill="FFFFFF"/>
        </w:rPr>
        <w:t>England, Scotland, Northern Ireland, the Isle of Man, Jersey, Guernsey, Alderney, Sark, each British colony, each of the Australian States and each of the Canadian provinces is a separate country in the sense of the conflict of laws, though not one of them is a State known to public international law. However, for some purposes larger units than these may constitute countries. Thus, the United Kingdom is one country for the purposes of the law of negotiable instruments,</w:t>
      </w:r>
      <w:r w:rsidRPr="00B84269">
        <w:rPr>
          <w:rStyle w:val="apple-converted-space"/>
          <w:color w:val="212121"/>
          <w:sz w:val="22"/>
          <w:szCs w:val="22"/>
          <w:shd w:val="clear" w:color="auto" w:fill="FFFFFF"/>
        </w:rPr>
        <w:t> </w:t>
      </w:r>
      <w:r w:rsidRPr="00B84269">
        <w:rPr>
          <w:color w:val="212121"/>
          <w:sz w:val="22"/>
          <w:szCs w:val="22"/>
          <w:shd w:val="clear" w:color="auto" w:fill="FFFFFF"/>
        </w:rPr>
        <w:t>Great Britain is one country for most purposes of the law of companies,</w:t>
      </w:r>
      <w:r w:rsidRPr="00B84269">
        <w:rPr>
          <w:rStyle w:val="apple-converted-space"/>
          <w:color w:val="212121"/>
          <w:sz w:val="22"/>
          <w:szCs w:val="22"/>
          <w:shd w:val="clear" w:color="auto" w:fill="FFFFFF"/>
        </w:rPr>
        <w:t> </w:t>
      </w:r>
      <w:r w:rsidRPr="00B84269">
        <w:rPr>
          <w:color w:val="212121"/>
          <w:sz w:val="22"/>
          <w:szCs w:val="22"/>
          <w:shd w:val="clear" w:color="auto" w:fill="FFFFFF"/>
        </w:rPr>
        <w:t>Australia is one country for the purposes of the law of marriage</w:t>
      </w:r>
      <w:r w:rsidRPr="00B84269">
        <w:rPr>
          <w:rStyle w:val="apple-converted-space"/>
          <w:color w:val="212121"/>
          <w:sz w:val="22"/>
          <w:szCs w:val="22"/>
          <w:shd w:val="clear" w:color="auto" w:fill="FFFFFF"/>
        </w:rPr>
        <w:t> </w:t>
      </w:r>
      <w:r w:rsidRPr="00B84269">
        <w:rPr>
          <w:color w:val="212121"/>
          <w:sz w:val="22"/>
          <w:szCs w:val="22"/>
          <w:shd w:val="clear" w:color="auto" w:fill="FFFFFF"/>
        </w:rPr>
        <w:t>and matrimonial causes, and Canada is one country for the purposes of the law of divorce.</w:t>
      </w:r>
      <w:r>
        <w:rPr>
          <w:color w:val="212121"/>
          <w:sz w:val="22"/>
          <w:szCs w:val="22"/>
          <w:shd w:val="clear" w:color="auto" w:fill="FFFFFF"/>
        </w:rPr>
        <w:t>”</w:t>
      </w:r>
      <w:r w:rsidRPr="00B84269">
        <w:rPr>
          <w:sz w:val="22"/>
          <w:szCs w:val="22"/>
        </w:rPr>
        <w:t xml:space="preserve"> </w:t>
      </w:r>
    </w:p>
    <w:p w14:paraId="401D5271" w14:textId="77777777" w:rsidR="00BA1D4E" w:rsidRDefault="00345425" w:rsidP="0054588F">
      <w:pPr>
        <w:numPr>
          <w:ilvl w:val="0"/>
          <w:numId w:val="2"/>
        </w:numPr>
        <w:autoSpaceDE w:val="0"/>
        <w:spacing w:before="240" w:after="240"/>
        <w:jc w:val="both"/>
      </w:pPr>
      <w:r>
        <w:t xml:space="preserve">The question is whether Hyderabad is a “country” or “law district” in this sense. </w:t>
      </w:r>
      <w:r w:rsidR="00554517">
        <w:t xml:space="preserve">This is no straightforward question, given the </w:t>
      </w:r>
      <w:r w:rsidR="00453CEB">
        <w:t>unique status of princely states</w:t>
      </w:r>
      <w:r w:rsidR="00C8096E">
        <w:t xml:space="preserve"> during the British Raj</w:t>
      </w:r>
      <w:r w:rsidR="00C922CD">
        <w:t>, the</w:t>
      </w:r>
      <w:r w:rsidR="002E4078">
        <w:t xml:space="preserve"> difficult nature of their new status after 15 August 1947, the </w:t>
      </w:r>
      <w:r w:rsidR="00A854B5">
        <w:t>effect of Operation Polo and the subsequent incorporation (in 1950) of Hyderabad as a State in the Indian Union.</w:t>
      </w:r>
      <w:r w:rsidR="00C16EE7">
        <w:t xml:space="preserve"> Some measure of these difficulties can be discerned from </w:t>
      </w:r>
      <w:r w:rsidR="00BA1D4E">
        <w:t xml:space="preserve">paragraph 99 of </w:t>
      </w:r>
      <w:r w:rsidR="00C16EE7">
        <w:t>India’s Pleadin</w:t>
      </w:r>
      <w:r w:rsidR="00BA1D4E">
        <w:t>g:</w:t>
      </w:r>
    </w:p>
    <w:p w14:paraId="3FF0A240" w14:textId="77777777" w:rsidR="00433BA9" w:rsidRDefault="00BA1D4E" w:rsidP="004E4E8A">
      <w:pPr>
        <w:autoSpaceDE w:val="0"/>
        <w:spacing w:before="240" w:after="240"/>
        <w:ind w:left="1287" w:hanging="720"/>
        <w:jc w:val="both"/>
        <w:rPr>
          <w:sz w:val="22"/>
          <w:szCs w:val="22"/>
        </w:rPr>
      </w:pPr>
      <w:r>
        <w:rPr>
          <w:sz w:val="22"/>
          <w:szCs w:val="22"/>
        </w:rPr>
        <w:t>“</w:t>
      </w:r>
      <w:r w:rsidR="004E4E8A">
        <w:rPr>
          <w:sz w:val="22"/>
          <w:szCs w:val="22"/>
        </w:rPr>
        <w:t>(i)</w:t>
      </w:r>
      <w:r w:rsidR="004E4E8A">
        <w:rPr>
          <w:sz w:val="22"/>
          <w:szCs w:val="22"/>
        </w:rPr>
        <w:tab/>
        <w:t xml:space="preserve">For many years until 15 August 1947, Hyderabad </w:t>
      </w:r>
      <w:r w:rsidR="00505F95">
        <w:rPr>
          <w:sz w:val="22"/>
          <w:szCs w:val="22"/>
        </w:rPr>
        <w:t xml:space="preserve">had been a vassal state of the British Crown. The arrangements between Hyderabad and the Crown </w:t>
      </w:r>
      <w:r w:rsidR="00CB24A9">
        <w:rPr>
          <w:sz w:val="22"/>
          <w:szCs w:val="22"/>
        </w:rPr>
        <w:t>included that Hyderabad had no external relations</w:t>
      </w:r>
      <w:r w:rsidR="00427BDE">
        <w:rPr>
          <w:sz w:val="22"/>
          <w:szCs w:val="22"/>
        </w:rPr>
        <w:t>, these being conducted by the Crown. While it is denied that such matters are material to the true issues in the present proceedings</w:t>
      </w:r>
      <w:r w:rsidR="00DB149B">
        <w:rPr>
          <w:sz w:val="22"/>
          <w:szCs w:val="22"/>
        </w:rPr>
        <w:t>, India has taken the position that Hyderabad was not an independent sovereign</w:t>
      </w:r>
      <w:r w:rsidR="00147438">
        <w:rPr>
          <w:sz w:val="22"/>
          <w:szCs w:val="22"/>
        </w:rPr>
        <w:t xml:space="preserve"> state either before or after 15 August 1947.</w:t>
      </w:r>
    </w:p>
    <w:p w14:paraId="0D8D4BFE" w14:textId="77777777" w:rsidR="00862519" w:rsidRDefault="00433BA9" w:rsidP="004E4E8A">
      <w:pPr>
        <w:autoSpaceDE w:val="0"/>
        <w:spacing w:before="240" w:after="240"/>
        <w:ind w:left="1287" w:hanging="720"/>
        <w:jc w:val="both"/>
        <w:rPr>
          <w:sz w:val="22"/>
          <w:szCs w:val="22"/>
        </w:rPr>
      </w:pPr>
      <w:r>
        <w:rPr>
          <w:sz w:val="22"/>
          <w:szCs w:val="22"/>
        </w:rPr>
        <w:t>(ii)</w:t>
      </w:r>
      <w:r>
        <w:rPr>
          <w:sz w:val="22"/>
          <w:szCs w:val="22"/>
        </w:rPr>
        <w:tab/>
        <w:t>The United Kingdom’s suzerainty, or paramountcy, ceased on 15 August 1947</w:t>
      </w:r>
      <w:r w:rsidR="00862519">
        <w:rPr>
          <w:sz w:val="22"/>
          <w:szCs w:val="22"/>
        </w:rPr>
        <w:t xml:space="preserve"> pursuant to section 7 of the Indian Independence Act 1947…</w:t>
      </w:r>
    </w:p>
    <w:p w14:paraId="00A9017B" w14:textId="77777777" w:rsidR="00B07AF0" w:rsidRDefault="00862519" w:rsidP="004E4E8A">
      <w:pPr>
        <w:autoSpaceDE w:val="0"/>
        <w:spacing w:before="240" w:after="240"/>
        <w:ind w:left="1287" w:hanging="720"/>
        <w:jc w:val="both"/>
        <w:rPr>
          <w:sz w:val="22"/>
          <w:szCs w:val="22"/>
        </w:rPr>
      </w:pPr>
      <w:r>
        <w:rPr>
          <w:sz w:val="22"/>
          <w:szCs w:val="22"/>
        </w:rPr>
        <w:t>(iii)</w:t>
      </w:r>
      <w:r>
        <w:rPr>
          <w:sz w:val="22"/>
          <w:szCs w:val="22"/>
        </w:rPr>
        <w:tab/>
        <w:t xml:space="preserve">It is admitted and averred that pursuant to the 1947 Act </w:t>
      </w:r>
      <w:r w:rsidR="006607E1">
        <w:rPr>
          <w:sz w:val="22"/>
          <w:szCs w:val="22"/>
        </w:rPr>
        <w:t>there was Partition of former British India to create the Dominion of India and the Dominion of Pakistan</w:t>
      </w:r>
      <w:r w:rsidR="0085037A">
        <w:rPr>
          <w:sz w:val="22"/>
          <w:szCs w:val="22"/>
        </w:rPr>
        <w:t xml:space="preserve">. It is further admitted that the territory of Hyderabad was not within either Dominion </w:t>
      </w:r>
      <w:r w:rsidR="00B07AF0">
        <w:rPr>
          <w:sz w:val="22"/>
          <w:szCs w:val="22"/>
        </w:rPr>
        <w:t>and that the same was true of other Indian “princely states”. It is further admitted that Hyderabad did not initially accede to India.</w:t>
      </w:r>
    </w:p>
    <w:p w14:paraId="6EAA739E" w14:textId="77777777" w:rsidR="0068766F" w:rsidRDefault="00B07AF0" w:rsidP="004E4E8A">
      <w:pPr>
        <w:autoSpaceDE w:val="0"/>
        <w:spacing w:before="240" w:after="240"/>
        <w:ind w:left="1287" w:hanging="720"/>
        <w:jc w:val="both"/>
        <w:rPr>
          <w:sz w:val="22"/>
          <w:szCs w:val="22"/>
        </w:rPr>
      </w:pPr>
      <w:r>
        <w:rPr>
          <w:sz w:val="22"/>
          <w:szCs w:val="22"/>
        </w:rPr>
        <w:t>(iv)</w:t>
      </w:r>
      <w:r>
        <w:rPr>
          <w:sz w:val="22"/>
          <w:szCs w:val="22"/>
        </w:rPr>
        <w:tab/>
        <w:t xml:space="preserve">By a Standstill </w:t>
      </w:r>
      <w:r w:rsidR="00824580">
        <w:rPr>
          <w:sz w:val="22"/>
          <w:szCs w:val="22"/>
        </w:rPr>
        <w:t>Agreement between India and Hyderabad (by [Nizam VII]), dated 29 November 1947, it was agreed that</w:t>
      </w:r>
      <w:r w:rsidR="008257F6">
        <w:rPr>
          <w:sz w:val="22"/>
          <w:szCs w:val="22"/>
        </w:rPr>
        <w:t xml:space="preserve"> all agreements and administrative arrangements as to the matter of common concern</w:t>
      </w:r>
      <w:r w:rsidR="004373EC">
        <w:rPr>
          <w:sz w:val="22"/>
          <w:szCs w:val="22"/>
        </w:rPr>
        <w:t>, including external affairs, defence and communications, which were existing between the Crown and the Nizam immediately before 15 August 1947</w:t>
      </w:r>
      <w:r w:rsidR="0068766F">
        <w:rPr>
          <w:sz w:val="22"/>
          <w:szCs w:val="22"/>
        </w:rPr>
        <w:t xml:space="preserve"> would continue (so far as might be appropriate) as between India and the Nizam for one year from 29 November 1947.</w:t>
      </w:r>
    </w:p>
    <w:p w14:paraId="1C226D7C" w14:textId="77777777" w:rsidR="00F054E6" w:rsidRPr="0045601C" w:rsidRDefault="0068766F" w:rsidP="004E4E8A">
      <w:pPr>
        <w:autoSpaceDE w:val="0"/>
        <w:spacing w:before="240" w:after="240"/>
        <w:ind w:left="1287" w:hanging="720"/>
        <w:jc w:val="both"/>
        <w:rPr>
          <w:sz w:val="22"/>
          <w:szCs w:val="22"/>
        </w:rPr>
      </w:pPr>
      <w:r>
        <w:rPr>
          <w:sz w:val="22"/>
          <w:szCs w:val="22"/>
        </w:rPr>
        <w:lastRenderedPageBreak/>
        <w:t>(v)</w:t>
      </w:r>
      <w:r>
        <w:rPr>
          <w:sz w:val="22"/>
          <w:szCs w:val="22"/>
        </w:rPr>
        <w:tab/>
        <w:t>Accordingly</w:t>
      </w:r>
      <w:r w:rsidR="00F054E6">
        <w:rPr>
          <w:sz w:val="22"/>
          <w:szCs w:val="22"/>
        </w:rPr>
        <w:t>, India</w:t>
      </w:r>
      <w:r w:rsidR="00F054E6" w:rsidRPr="0045601C">
        <w:rPr>
          <w:sz w:val="22"/>
          <w:szCs w:val="22"/>
        </w:rPr>
        <w:t xml:space="preserve"> was responsible for the external relations of Hyderabad at all material dates and in particular throughout 1948.</w:t>
      </w:r>
    </w:p>
    <w:p w14:paraId="6FCF0171" w14:textId="77777777" w:rsidR="00826259" w:rsidRPr="0045601C" w:rsidRDefault="00F054E6" w:rsidP="004E4E8A">
      <w:pPr>
        <w:autoSpaceDE w:val="0"/>
        <w:spacing w:before="240" w:after="240"/>
        <w:ind w:left="1287" w:hanging="720"/>
        <w:jc w:val="both"/>
        <w:rPr>
          <w:sz w:val="22"/>
          <w:szCs w:val="22"/>
        </w:rPr>
      </w:pPr>
      <w:r w:rsidRPr="0045601C">
        <w:rPr>
          <w:sz w:val="22"/>
          <w:szCs w:val="22"/>
        </w:rPr>
        <w:t>(vi)</w:t>
      </w:r>
      <w:r w:rsidRPr="0045601C">
        <w:rPr>
          <w:sz w:val="22"/>
          <w:szCs w:val="22"/>
        </w:rPr>
        <w:tab/>
        <w:t xml:space="preserve">On 13 September </w:t>
      </w:r>
      <w:r w:rsidR="004C695A" w:rsidRPr="0045601C">
        <w:rPr>
          <w:sz w:val="22"/>
          <w:szCs w:val="22"/>
        </w:rPr>
        <w:t xml:space="preserve">1948, troops of India entered the territory of Hyderabad </w:t>
      </w:r>
      <w:r w:rsidR="00826259" w:rsidRPr="0045601C">
        <w:rPr>
          <w:sz w:val="22"/>
          <w:szCs w:val="22"/>
        </w:rPr>
        <w:t>in a Police Action (known as Operation Polo).</w:t>
      </w:r>
    </w:p>
    <w:p w14:paraId="73772C42" w14:textId="77777777" w:rsidR="00AF2889" w:rsidRPr="0045601C" w:rsidRDefault="00826259" w:rsidP="004E4E8A">
      <w:pPr>
        <w:autoSpaceDE w:val="0"/>
        <w:spacing w:before="240" w:after="240"/>
        <w:ind w:left="1287" w:hanging="720"/>
        <w:jc w:val="both"/>
        <w:rPr>
          <w:sz w:val="22"/>
          <w:szCs w:val="22"/>
        </w:rPr>
      </w:pPr>
      <w:r w:rsidRPr="0045601C">
        <w:rPr>
          <w:sz w:val="22"/>
          <w:szCs w:val="22"/>
        </w:rPr>
        <w:t>(vii)</w:t>
      </w:r>
      <w:r w:rsidRPr="0045601C">
        <w:rPr>
          <w:sz w:val="22"/>
          <w:szCs w:val="22"/>
        </w:rPr>
        <w:tab/>
        <w:t xml:space="preserve">On 17 September 1948, the troops of Hyderabad </w:t>
      </w:r>
      <w:r w:rsidR="00AF2889" w:rsidRPr="0045601C">
        <w:rPr>
          <w:sz w:val="22"/>
          <w:szCs w:val="22"/>
        </w:rPr>
        <w:t>surrendered and the Government of Hyderabad administration headed by Laik Ali (and including Moin) resigned, and it was at no point reconstituted.</w:t>
      </w:r>
    </w:p>
    <w:p w14:paraId="3DE9C282" w14:textId="77777777" w:rsidR="00F20229" w:rsidRPr="0045601C" w:rsidRDefault="00AF2889" w:rsidP="004E4E8A">
      <w:pPr>
        <w:autoSpaceDE w:val="0"/>
        <w:spacing w:before="240" w:after="240"/>
        <w:ind w:left="1287" w:hanging="720"/>
        <w:jc w:val="both"/>
        <w:rPr>
          <w:sz w:val="22"/>
          <w:szCs w:val="22"/>
        </w:rPr>
      </w:pPr>
      <w:r w:rsidRPr="0045601C">
        <w:rPr>
          <w:sz w:val="22"/>
          <w:szCs w:val="22"/>
        </w:rPr>
        <w:t>(viii)</w:t>
      </w:r>
      <w:r w:rsidRPr="0045601C">
        <w:rPr>
          <w:sz w:val="22"/>
          <w:szCs w:val="22"/>
        </w:rPr>
        <w:tab/>
      </w:r>
      <w:r w:rsidR="00A863A8" w:rsidRPr="0045601C">
        <w:rPr>
          <w:sz w:val="22"/>
          <w:szCs w:val="22"/>
        </w:rPr>
        <w:t>It is admitted that Hyderabad later acceded to India. Further, on 26 January 1950 there came into being the Union of India</w:t>
      </w:r>
      <w:r w:rsidR="005C0CDD" w:rsidRPr="0045601C">
        <w:rPr>
          <w:sz w:val="22"/>
          <w:szCs w:val="22"/>
        </w:rPr>
        <w:t xml:space="preserve"> and a new State of the Union of India, the Union State of Hyderabad.</w:t>
      </w:r>
    </w:p>
    <w:p w14:paraId="4BD7C9AC" w14:textId="77777777" w:rsidR="005C0CDD" w:rsidRDefault="005C0CDD" w:rsidP="004E4E8A">
      <w:pPr>
        <w:autoSpaceDE w:val="0"/>
        <w:spacing w:before="240" w:after="240"/>
        <w:ind w:left="1287" w:hanging="720"/>
        <w:jc w:val="both"/>
      </w:pPr>
      <w:r w:rsidRPr="0045601C">
        <w:rPr>
          <w:sz w:val="22"/>
          <w:szCs w:val="22"/>
        </w:rPr>
        <w:t>(ix)</w:t>
      </w:r>
      <w:r w:rsidRPr="0045601C">
        <w:rPr>
          <w:sz w:val="22"/>
          <w:szCs w:val="22"/>
        </w:rPr>
        <w:tab/>
      </w:r>
      <w:r w:rsidR="006C4A74" w:rsidRPr="0045601C">
        <w:rPr>
          <w:sz w:val="22"/>
          <w:szCs w:val="22"/>
        </w:rPr>
        <w:t>By his letter dated 18 November 1948 to the Governor-General of India</w:t>
      </w:r>
      <w:r w:rsidR="00086017" w:rsidRPr="0045601C">
        <w:rPr>
          <w:sz w:val="22"/>
          <w:szCs w:val="22"/>
        </w:rPr>
        <w:t>, [Nizam VII] acknowledged that Hyderabad had no external relations, whether before or after 15 August 1947</w:t>
      </w:r>
      <w:r w:rsidR="001A5B30" w:rsidRPr="0045601C">
        <w:rPr>
          <w:sz w:val="22"/>
          <w:szCs w:val="22"/>
        </w:rPr>
        <w:t>, and asked that India continue to be responsible for external affairs, defence and communications. In any event</w:t>
      </w:r>
      <w:r w:rsidR="0076640C" w:rsidRPr="0045601C">
        <w:rPr>
          <w:sz w:val="22"/>
          <w:szCs w:val="22"/>
        </w:rPr>
        <w:t>, the subject of external relations on behalf of Hyderabad was treated as the responsibility of the Government of India</w:t>
      </w:r>
      <w:r w:rsidR="0045601C" w:rsidRPr="0045601C">
        <w:rPr>
          <w:sz w:val="22"/>
          <w:szCs w:val="22"/>
        </w:rPr>
        <w:t xml:space="preserve"> from 18 November 1948 at the latest, by the express desire of [Nizam VII].”</w:t>
      </w:r>
      <w:r w:rsidR="001A5B30">
        <w:t xml:space="preserve"> </w:t>
      </w:r>
    </w:p>
    <w:p w14:paraId="30609A29" w14:textId="77777777" w:rsidR="00776FD1" w:rsidRDefault="0045601C" w:rsidP="0054588F">
      <w:pPr>
        <w:numPr>
          <w:ilvl w:val="0"/>
          <w:numId w:val="2"/>
        </w:numPr>
        <w:autoSpaceDE w:val="0"/>
        <w:spacing w:before="240" w:after="240"/>
        <w:jc w:val="both"/>
      </w:pPr>
      <w:r>
        <w:t>It is readily to be appreciated that this statement of the facts was controversial</w:t>
      </w:r>
      <w:r w:rsidR="00345331">
        <w:t xml:space="preserve"> amongst the parties</w:t>
      </w:r>
      <w:r>
        <w:t xml:space="preserve">: </w:t>
      </w:r>
      <w:r w:rsidR="00595A1E">
        <w:t xml:space="preserve">in particular, </w:t>
      </w:r>
      <w:r w:rsidR="006F7BC7">
        <w:t xml:space="preserve">it was not accepted by Pakistan and </w:t>
      </w:r>
      <w:r w:rsidR="00595A1E">
        <w:t xml:space="preserve">it sits ill with the </w:t>
      </w:r>
      <w:r w:rsidR="00776FD1">
        <w:t>expressed views of Nizam VII up to the conclusion of Operation Polo.</w:t>
      </w:r>
      <w:r w:rsidR="00776FD1">
        <w:rPr>
          <w:rStyle w:val="FootnoteReference"/>
        </w:rPr>
        <w:footnoteReference w:id="129"/>
      </w:r>
      <w:r w:rsidR="00776FD1">
        <w:t xml:space="preserve"> However, </w:t>
      </w:r>
      <w:r w:rsidR="006F7BC7">
        <w:t>India’s P</w:t>
      </w:r>
      <w:r w:rsidR="00776FD1">
        <w:t xml:space="preserve">leading lays out with helpful clarity the </w:t>
      </w:r>
      <w:r w:rsidR="009B68BA">
        <w:t>private international law difficulties that arise in this case:</w:t>
      </w:r>
    </w:p>
    <w:p w14:paraId="0506E619" w14:textId="77777777" w:rsidR="000A69D5" w:rsidRDefault="00E25ED1" w:rsidP="009B68BA">
      <w:pPr>
        <w:numPr>
          <w:ilvl w:val="1"/>
          <w:numId w:val="2"/>
        </w:numPr>
        <w:autoSpaceDE w:val="0"/>
        <w:spacing w:before="240" w:after="240"/>
        <w:jc w:val="both"/>
      </w:pPr>
      <w:r>
        <w:t xml:space="preserve">What was the status of Hyderabad in the period between 15 August 1947 </w:t>
      </w:r>
      <w:r w:rsidR="00A868E5">
        <w:t xml:space="preserve">(when Partition occurred and the </w:t>
      </w:r>
      <w:r w:rsidR="00BA28C4">
        <w:t>p</w:t>
      </w:r>
      <w:r w:rsidR="00A868E5">
        <w:t xml:space="preserve">rincely </w:t>
      </w:r>
      <w:r w:rsidR="00BA28C4">
        <w:t>s</w:t>
      </w:r>
      <w:r w:rsidR="00A868E5">
        <w:t xml:space="preserve">tates were “cut loose” from the Crown) </w:t>
      </w:r>
      <w:r w:rsidR="00297D0F">
        <w:t xml:space="preserve">and 1950 when, according to the Indian constitution, Hyderabad became </w:t>
      </w:r>
      <w:r w:rsidR="000A69D5">
        <w:t>a State of the Union of India?</w:t>
      </w:r>
      <w:r w:rsidR="00284374">
        <w:t xml:space="preserve"> Does this status affect an English court’s ability to recognise the laws of Hyderabad </w:t>
      </w:r>
      <w:r w:rsidR="00BB0DFE">
        <w:t>as those of another country or law district? Put another way, if</w:t>
      </w:r>
      <w:r w:rsidR="00553F31">
        <w:t xml:space="preserve"> (as appeared to be the contention of India) the effect of the </w:t>
      </w:r>
      <w:r w:rsidR="00CE7662">
        <w:t>Standstill Agreement was to render Hyderabad a “vassal” state of India (a</w:t>
      </w:r>
      <w:r w:rsidR="00E93FB4">
        <w:t>s</w:t>
      </w:r>
      <w:r w:rsidR="00CE7662">
        <w:t xml:space="preserve"> the princely states had, according to India, been prior to 15 August 1947</w:t>
      </w:r>
      <w:r w:rsidR="00026C6D">
        <w:t>, when they were “vassal” to the Crown</w:t>
      </w:r>
      <w:r w:rsidR="00CE7662">
        <w:t xml:space="preserve">) </w:t>
      </w:r>
      <w:r w:rsidR="00E93FB4">
        <w:t xml:space="preserve">to what extent are the laws of India relevant </w:t>
      </w:r>
      <w:r w:rsidR="007A2F87">
        <w:t>to the questions I must address?</w:t>
      </w:r>
    </w:p>
    <w:p w14:paraId="74B60055" w14:textId="77777777" w:rsidR="009B68BA" w:rsidRDefault="007A2F87" w:rsidP="009B68BA">
      <w:pPr>
        <w:numPr>
          <w:ilvl w:val="1"/>
          <w:numId w:val="2"/>
        </w:numPr>
        <w:autoSpaceDE w:val="0"/>
        <w:spacing w:before="240" w:after="240"/>
        <w:jc w:val="both"/>
      </w:pPr>
      <w:r>
        <w:t>To what exten</w:t>
      </w:r>
      <w:r w:rsidR="00201E3C">
        <w:t>t</w:t>
      </w:r>
      <w:r>
        <w:t xml:space="preserve"> does the outcome of Operation Polo affect this position? </w:t>
      </w:r>
      <w:r w:rsidR="007420A8">
        <w:t xml:space="preserve">Does the dispute as to the nature of the </w:t>
      </w:r>
      <w:r w:rsidR="00DD40B2">
        <w:t xml:space="preserve">operation </w:t>
      </w:r>
      <w:r w:rsidR="007420A8">
        <w:t xml:space="preserve">– whether it </w:t>
      </w:r>
      <w:r w:rsidR="00DD40B2">
        <w:t>was a “</w:t>
      </w:r>
      <w:r w:rsidR="00410A5D">
        <w:t>P</w:t>
      </w:r>
      <w:r w:rsidR="00DD40B2">
        <w:t xml:space="preserve">olice </w:t>
      </w:r>
      <w:r w:rsidR="00410A5D">
        <w:t>A</w:t>
      </w:r>
      <w:r w:rsidR="00DD40B2">
        <w:t xml:space="preserve">ction” (as India contends) or an invasion or unlawful annexation (as Pakistan contends) </w:t>
      </w:r>
      <w:r w:rsidR="007420A8">
        <w:t>– colour the answer to this question?</w:t>
      </w:r>
    </w:p>
    <w:p w14:paraId="0537A003" w14:textId="77777777" w:rsidR="00776FD1" w:rsidRPr="00A0251A" w:rsidRDefault="00A0251A" w:rsidP="00752B9C">
      <w:pPr>
        <w:keepNext/>
        <w:tabs>
          <w:tab w:val="left" w:pos="567"/>
        </w:tabs>
        <w:autoSpaceDE w:val="0"/>
        <w:spacing w:before="240" w:after="240"/>
        <w:jc w:val="both"/>
        <w:rPr>
          <w:b/>
          <w:bCs/>
          <w:i/>
          <w:iCs/>
        </w:rPr>
      </w:pPr>
      <w:r>
        <w:rPr>
          <w:b/>
          <w:bCs/>
          <w:i/>
          <w:iCs/>
        </w:rPr>
        <w:t>(b)</w:t>
      </w:r>
      <w:r>
        <w:rPr>
          <w:b/>
          <w:bCs/>
          <w:i/>
          <w:iCs/>
        </w:rPr>
        <w:tab/>
        <w:t>The status of Hyderabad from 15 August 1947 until the conclusion of Operation Polo</w:t>
      </w:r>
    </w:p>
    <w:p w14:paraId="4202528E" w14:textId="77777777" w:rsidR="00776FD1" w:rsidRDefault="002D613D" w:rsidP="0054588F">
      <w:pPr>
        <w:numPr>
          <w:ilvl w:val="0"/>
          <w:numId w:val="2"/>
        </w:numPr>
        <w:autoSpaceDE w:val="0"/>
        <w:spacing w:before="240" w:after="240"/>
        <w:jc w:val="both"/>
      </w:pPr>
      <w:r>
        <w:t>T</w:t>
      </w:r>
      <w:r w:rsidR="00F20C70">
        <w:t xml:space="preserve">here must be some question as to whether Hyderabad </w:t>
      </w:r>
      <w:r w:rsidR="00A94819">
        <w:t xml:space="preserve">constituted a sovereign state </w:t>
      </w:r>
      <w:r w:rsidR="009739B0">
        <w:t xml:space="preserve">and so </w:t>
      </w:r>
      <w:r w:rsidR="00A94819">
        <w:t xml:space="preserve">a legal person </w:t>
      </w:r>
      <w:r>
        <w:t xml:space="preserve">as a pure </w:t>
      </w:r>
      <w:r w:rsidR="009739B0">
        <w:t xml:space="preserve">question of </w:t>
      </w:r>
      <w:r>
        <w:t>public international law.</w:t>
      </w:r>
      <w:r w:rsidR="002D2122">
        <w:t xml:space="preserve"> According to Article 1</w:t>
      </w:r>
      <w:r w:rsidR="00CB3D54">
        <w:t xml:space="preserve"> of the Montevideo Convention on Rights and Duties of States</w:t>
      </w:r>
      <w:r w:rsidR="00D70E79">
        <w:rPr>
          <w:rStyle w:val="FootnoteReference"/>
        </w:rPr>
        <w:footnoteReference w:id="130"/>
      </w:r>
      <w:r w:rsidR="00D70E79">
        <w:t xml:space="preserve"> “[t]he </w:t>
      </w:r>
      <w:r w:rsidR="00827E53">
        <w:t>State as a person of international law should possess the following qualifications: (a) a permanent population</w:t>
      </w:r>
      <w:r w:rsidR="007C568C">
        <w:t xml:space="preserve">; </w:t>
      </w:r>
      <w:r w:rsidR="007C568C">
        <w:lastRenderedPageBreak/>
        <w:t xml:space="preserve">(b) a defined territory; (c) government; and (d) capacity to enter into </w:t>
      </w:r>
      <w:r w:rsidR="00342EBA">
        <w:t xml:space="preserve">relations with other States”. It is in respect of this last </w:t>
      </w:r>
      <w:r w:rsidR="00674CA0">
        <w:t>criterion – the ability to conduct international relations – that the question</w:t>
      </w:r>
      <w:r w:rsidR="00820095">
        <w:t xml:space="preserve"> </w:t>
      </w:r>
      <w:r w:rsidR="00674CA0">
        <w:t xml:space="preserve">mark as to </w:t>
      </w:r>
      <w:r w:rsidR="00463BCE">
        <w:t>personality under public international law arises.</w:t>
      </w:r>
      <w:r w:rsidR="00463BCE">
        <w:rPr>
          <w:rStyle w:val="FootnoteReference"/>
        </w:rPr>
        <w:footnoteReference w:id="131"/>
      </w:r>
      <w:r w:rsidR="00342EBA">
        <w:t xml:space="preserve"> </w:t>
      </w:r>
      <w:r w:rsidR="00EC3F38">
        <w:t xml:space="preserve">The fact is that prior to the appointed day, </w:t>
      </w:r>
      <w:r w:rsidR="00FD1C59">
        <w:t>Hyderabad’s external relations were conducted by the Crown; and after the conclusion of the Standstill Agreement, they were conduct</w:t>
      </w:r>
      <w:r w:rsidR="009F6E39">
        <w:t>ed</w:t>
      </w:r>
      <w:r w:rsidR="00FD1C59">
        <w:t xml:space="preserve"> by India.</w:t>
      </w:r>
    </w:p>
    <w:p w14:paraId="6E25E5A7" w14:textId="77777777" w:rsidR="00D80FA9" w:rsidRDefault="00965343" w:rsidP="0054588F">
      <w:pPr>
        <w:numPr>
          <w:ilvl w:val="0"/>
          <w:numId w:val="2"/>
        </w:numPr>
        <w:autoSpaceDE w:val="0"/>
        <w:spacing w:before="240" w:after="240"/>
        <w:jc w:val="both"/>
      </w:pPr>
      <w:r>
        <w:t xml:space="preserve">Fortunately, I am not directly concerned with the question of whether </w:t>
      </w:r>
      <w:r w:rsidR="004304DC">
        <w:t xml:space="preserve">Hyderabad </w:t>
      </w:r>
      <w:r w:rsidR="00820095">
        <w:t>was</w:t>
      </w:r>
      <w:r w:rsidR="004304DC">
        <w:t>, under the abstract principles of public international law, a sovereign state.</w:t>
      </w:r>
      <w:r w:rsidR="00D80FA9">
        <w:t xml:space="preserve"> As Mann notes:</w:t>
      </w:r>
      <w:r w:rsidR="00AE7120">
        <w:rPr>
          <w:rStyle w:val="FootnoteReference"/>
        </w:rPr>
        <w:footnoteReference w:id="132"/>
      </w:r>
    </w:p>
    <w:p w14:paraId="3EE8303A" w14:textId="77777777" w:rsidR="00776FD1" w:rsidRDefault="00905B06" w:rsidP="00D80FA9">
      <w:pPr>
        <w:autoSpaceDE w:val="0"/>
        <w:spacing w:before="240" w:after="240"/>
        <w:ind w:left="567"/>
        <w:jc w:val="both"/>
      </w:pPr>
      <w:r>
        <w:rPr>
          <w:sz w:val="22"/>
          <w:szCs w:val="22"/>
        </w:rPr>
        <w:t>“The facts, circumstances</w:t>
      </w:r>
      <w:r w:rsidR="00570387">
        <w:rPr>
          <w:sz w:val="22"/>
          <w:szCs w:val="22"/>
        </w:rPr>
        <w:t>, and events which lie at the root of foreign affairs and their conduct by the Executive</w:t>
      </w:r>
      <w:r w:rsidR="00FB7852">
        <w:rPr>
          <w:sz w:val="22"/>
          <w:szCs w:val="22"/>
        </w:rPr>
        <w:t xml:space="preserve"> have conveniently been described as facts of State. These are facts which are peculiarly within the cogni</w:t>
      </w:r>
      <w:r w:rsidR="00082ADF">
        <w:rPr>
          <w:sz w:val="22"/>
          <w:szCs w:val="22"/>
        </w:rPr>
        <w:t>sance of the Executive. For this reason, at any rate in so far as they are within the scope</w:t>
      </w:r>
      <w:r w:rsidR="00FB2FAD">
        <w:rPr>
          <w:sz w:val="22"/>
          <w:szCs w:val="22"/>
        </w:rPr>
        <w:t xml:space="preserve"> of the United Kingdom’s Executive, they can be proved only in a special manner, namely by a certificate </w:t>
      </w:r>
      <w:r w:rsidR="00F44A05">
        <w:rPr>
          <w:sz w:val="22"/>
          <w:szCs w:val="22"/>
        </w:rPr>
        <w:t>issued by the Foreign and Commonwealth Office or by a statement made to the court by the Attorney-General</w:t>
      </w:r>
      <w:r w:rsidR="001F256D">
        <w:rPr>
          <w:sz w:val="22"/>
          <w:szCs w:val="22"/>
        </w:rPr>
        <w:t xml:space="preserve"> rather than by other documentary or oral evidence.”</w:t>
      </w:r>
      <w:r w:rsidR="004304DC">
        <w:t xml:space="preserve"> </w:t>
      </w:r>
    </w:p>
    <w:p w14:paraId="6C8F04F3" w14:textId="77777777" w:rsidR="001F256D" w:rsidRDefault="001F256D" w:rsidP="001F256D">
      <w:pPr>
        <w:autoSpaceDE w:val="0"/>
        <w:spacing w:before="240" w:after="240"/>
        <w:ind w:left="567"/>
        <w:jc w:val="both"/>
      </w:pPr>
      <w:r>
        <w:t>Whilst</w:t>
      </w:r>
      <w:r w:rsidR="00941231">
        <w:t xml:space="preserve"> the law regarding the manner in which facts of State are proved before an English court has moved on since Mann’s statement</w:t>
      </w:r>
      <w:r w:rsidR="00DC0026">
        <w:t xml:space="preserve">, it is quite clear that the </w:t>
      </w:r>
      <w:r w:rsidR="00613B96">
        <w:t>extent of British and foreign territory</w:t>
      </w:r>
      <w:r w:rsidR="00EA7EB8">
        <w:t xml:space="preserve"> and</w:t>
      </w:r>
      <w:r w:rsidR="00DB2068">
        <w:t xml:space="preserve"> the existence and recognition of foreign states</w:t>
      </w:r>
      <w:r w:rsidR="006B5A0D">
        <w:t xml:space="preserve"> and governments</w:t>
      </w:r>
      <w:r w:rsidR="00DB2068">
        <w:t xml:space="preserve"> </w:t>
      </w:r>
      <w:r w:rsidR="00060407">
        <w:t>are facts of State.</w:t>
      </w:r>
      <w:r w:rsidR="00060407">
        <w:rPr>
          <w:rStyle w:val="FootnoteReference"/>
        </w:rPr>
        <w:footnoteReference w:id="133"/>
      </w:r>
    </w:p>
    <w:p w14:paraId="45BDBCFD" w14:textId="77777777" w:rsidR="00A93138" w:rsidRDefault="00EF1979" w:rsidP="0054588F">
      <w:pPr>
        <w:numPr>
          <w:ilvl w:val="0"/>
          <w:numId w:val="2"/>
        </w:numPr>
        <w:autoSpaceDE w:val="0"/>
        <w:spacing w:before="240" w:after="240"/>
        <w:jc w:val="both"/>
      </w:pPr>
      <w:r>
        <w:t xml:space="preserve">The present law </w:t>
      </w:r>
      <w:r w:rsidR="000D2B3D">
        <w:t xml:space="preserve">in this regard is stated by Andrew Baker J in </w:t>
      </w:r>
      <w:r w:rsidR="00217048">
        <w:rPr>
          <w:i/>
          <w:iCs/>
        </w:rPr>
        <w:t>Mohamed v. Breish</w:t>
      </w:r>
      <w:r w:rsidR="00217048">
        <w:t>, which I quote</w:t>
      </w:r>
      <w:r w:rsidR="00EA7EB8">
        <w:t>,</w:t>
      </w:r>
      <w:r w:rsidR="00217048">
        <w:t xml:space="preserve"> omi</w:t>
      </w:r>
      <w:r w:rsidR="00EA7EB8">
        <w:t>t</w:t>
      </w:r>
      <w:r w:rsidR="00217048">
        <w:t>t</w:t>
      </w:r>
      <w:r w:rsidR="00EA7EB8">
        <w:t>ing</w:t>
      </w:r>
      <w:r w:rsidR="00217048">
        <w:t xml:space="preserve"> the reference</w:t>
      </w:r>
      <w:r w:rsidR="00EA7EB8">
        <w:t>s</w:t>
      </w:r>
      <w:r w:rsidR="00217048">
        <w:t xml:space="preserve"> to authority:</w:t>
      </w:r>
      <w:r w:rsidR="00217048">
        <w:rPr>
          <w:rStyle w:val="FootnoteReference"/>
        </w:rPr>
        <w:footnoteReference w:id="134"/>
      </w:r>
    </w:p>
    <w:p w14:paraId="1B08002B" w14:textId="77777777" w:rsidR="00A05D6D" w:rsidRDefault="0053368E" w:rsidP="00A016C1">
      <w:pPr>
        <w:autoSpaceDE w:val="0"/>
        <w:spacing w:before="240" w:after="240"/>
        <w:ind w:left="1287" w:hanging="720"/>
        <w:jc w:val="both"/>
        <w:rPr>
          <w:sz w:val="22"/>
          <w:szCs w:val="22"/>
        </w:rPr>
      </w:pPr>
      <w:r>
        <w:rPr>
          <w:sz w:val="22"/>
          <w:szCs w:val="22"/>
        </w:rPr>
        <w:t>“32.</w:t>
      </w:r>
      <w:r>
        <w:rPr>
          <w:sz w:val="22"/>
          <w:szCs w:val="22"/>
        </w:rPr>
        <w:tab/>
        <w:t>It is a fundamental principle</w:t>
      </w:r>
      <w:r w:rsidR="00BF2386">
        <w:rPr>
          <w:sz w:val="22"/>
          <w:szCs w:val="22"/>
        </w:rPr>
        <w:t xml:space="preserve"> of English law and an aspect of the unwritten constitutional bedrock of the United Kingdom that it is the prerogative </w:t>
      </w:r>
      <w:r w:rsidR="007E5E67">
        <w:rPr>
          <w:sz w:val="22"/>
          <w:szCs w:val="22"/>
        </w:rPr>
        <w:t>of the Sovereign, acting through Her Government as the Executive branch of the State</w:t>
      </w:r>
      <w:r w:rsidR="006B5A0D">
        <w:rPr>
          <w:sz w:val="22"/>
          <w:szCs w:val="22"/>
        </w:rPr>
        <w:t xml:space="preserve">, to decide whom to recognise as a fellow sovereign state and whom </w:t>
      </w:r>
      <w:r w:rsidR="00EF1F68">
        <w:rPr>
          <w:sz w:val="22"/>
          <w:szCs w:val="22"/>
        </w:rPr>
        <w:t>to recognise and treat as the executive government of such a state. The courts, as the judicial branch of the state</w:t>
      </w:r>
      <w:r w:rsidR="00FD5597">
        <w:rPr>
          <w:sz w:val="22"/>
          <w:szCs w:val="22"/>
        </w:rPr>
        <w:t>, must accept, adopt and follow any such recognition as the state must speak with “one voice” in such matters.</w:t>
      </w:r>
      <w:r w:rsidR="00D416CD">
        <w:rPr>
          <w:sz w:val="22"/>
          <w:szCs w:val="22"/>
        </w:rPr>
        <w:t xml:space="preserve"> Where, therefore, a court, considering a case in which it is relevant to ask </w:t>
      </w:r>
      <w:r w:rsidR="00F62D6F">
        <w:rPr>
          <w:sz w:val="22"/>
          <w:szCs w:val="22"/>
        </w:rPr>
        <w:t xml:space="preserve">who is the government of a foreign state, is informed by the Foreign and </w:t>
      </w:r>
      <w:r w:rsidR="00F62D6F" w:rsidRPr="00751778">
        <w:rPr>
          <w:sz w:val="22"/>
          <w:szCs w:val="22"/>
        </w:rPr>
        <w:t>Commonwea</w:t>
      </w:r>
      <w:r w:rsidR="008E61F3" w:rsidRPr="00751778">
        <w:rPr>
          <w:sz w:val="22"/>
          <w:szCs w:val="22"/>
        </w:rPr>
        <w:t>l</w:t>
      </w:r>
      <w:r w:rsidR="00F62D6F" w:rsidRPr="00751778">
        <w:rPr>
          <w:sz w:val="22"/>
          <w:szCs w:val="22"/>
        </w:rPr>
        <w:t>th Office</w:t>
      </w:r>
      <w:r w:rsidR="00F62D6F">
        <w:rPr>
          <w:sz w:val="22"/>
          <w:szCs w:val="22"/>
        </w:rPr>
        <w:t xml:space="preserve"> (the “FCO”)</w:t>
      </w:r>
      <w:r w:rsidR="00A325D2">
        <w:rPr>
          <w:sz w:val="22"/>
          <w:szCs w:val="22"/>
        </w:rPr>
        <w:t xml:space="preserve"> in unequivocal terms that HMG recognises some particular persons or body as such, that information must be acted upon </w:t>
      </w:r>
      <w:r w:rsidR="00DB22AA">
        <w:rPr>
          <w:sz w:val="22"/>
          <w:szCs w:val="22"/>
        </w:rPr>
        <w:t>by the court as a fact of State. Such an unequivocal notification from the FCO is, in substance,</w:t>
      </w:r>
      <w:r w:rsidR="00A05D6D">
        <w:rPr>
          <w:sz w:val="22"/>
          <w:szCs w:val="22"/>
        </w:rPr>
        <w:t xml:space="preserve"> the voice of the sovereign as to a matter upon which she has an absolute right to direct the answer</w:t>
      </w:r>
      <w:r w:rsidR="00A016C1">
        <w:rPr>
          <w:sz w:val="22"/>
          <w:szCs w:val="22"/>
        </w:rPr>
        <w:t>…</w:t>
      </w:r>
    </w:p>
    <w:p w14:paraId="1CFB2553" w14:textId="77777777" w:rsidR="00735DD5" w:rsidRPr="0053368E" w:rsidRDefault="00735DD5" w:rsidP="0053368E">
      <w:pPr>
        <w:autoSpaceDE w:val="0"/>
        <w:spacing w:before="240" w:after="240"/>
        <w:ind w:left="1287" w:hanging="720"/>
        <w:jc w:val="both"/>
        <w:rPr>
          <w:sz w:val="22"/>
          <w:szCs w:val="22"/>
        </w:rPr>
      </w:pPr>
      <w:r>
        <w:rPr>
          <w:sz w:val="22"/>
          <w:szCs w:val="22"/>
        </w:rPr>
        <w:t>3</w:t>
      </w:r>
      <w:r w:rsidR="002C0A85">
        <w:rPr>
          <w:sz w:val="22"/>
          <w:szCs w:val="22"/>
        </w:rPr>
        <w:t>5</w:t>
      </w:r>
      <w:r>
        <w:rPr>
          <w:sz w:val="22"/>
          <w:szCs w:val="22"/>
        </w:rPr>
        <w:t>.</w:t>
      </w:r>
      <w:r>
        <w:rPr>
          <w:sz w:val="22"/>
          <w:szCs w:val="22"/>
        </w:rPr>
        <w:tab/>
        <w:t xml:space="preserve">The provision to the courts of direct confirmation </w:t>
      </w:r>
      <w:r w:rsidR="00CE5845">
        <w:rPr>
          <w:sz w:val="22"/>
          <w:szCs w:val="22"/>
        </w:rPr>
        <w:t xml:space="preserve">as to the recognition status of foreign governments is nowadays not HMG’s general practice. Since 1980, </w:t>
      </w:r>
      <w:r w:rsidR="00A40B0B">
        <w:rPr>
          <w:sz w:val="22"/>
          <w:szCs w:val="22"/>
        </w:rPr>
        <w:t>the policy has been</w:t>
      </w:r>
      <w:r w:rsidR="00DA0AB9">
        <w:rPr>
          <w:sz w:val="22"/>
          <w:szCs w:val="22"/>
        </w:rPr>
        <w:t xml:space="preserve"> to recognise foreign states and, in general, </w:t>
      </w:r>
      <w:r w:rsidR="00CC60C8">
        <w:rPr>
          <w:sz w:val="22"/>
          <w:szCs w:val="22"/>
        </w:rPr>
        <w:t>to leave HMG’s attitude as to which individuals or bodies represent their governments</w:t>
      </w:r>
      <w:r w:rsidR="000D17DF">
        <w:rPr>
          <w:sz w:val="22"/>
          <w:szCs w:val="22"/>
        </w:rPr>
        <w:t xml:space="preserve"> to be inferred from its dealing with them. The courts have, therefore, been required from time to time</w:t>
      </w:r>
      <w:r w:rsidR="00C66932">
        <w:rPr>
          <w:sz w:val="22"/>
          <w:szCs w:val="22"/>
        </w:rPr>
        <w:t xml:space="preserve"> to make a finding by drawing such an inference. Factors that should rightly </w:t>
      </w:r>
      <w:r w:rsidR="00B67BBE">
        <w:rPr>
          <w:sz w:val="22"/>
          <w:szCs w:val="22"/>
        </w:rPr>
        <w:t>influence the decision in such a case have been developed…”.</w:t>
      </w:r>
      <w:r w:rsidR="00CC60C8">
        <w:rPr>
          <w:sz w:val="22"/>
          <w:szCs w:val="22"/>
        </w:rPr>
        <w:t xml:space="preserve"> </w:t>
      </w:r>
    </w:p>
    <w:p w14:paraId="69D3A15D" w14:textId="77777777" w:rsidR="00B67BBE" w:rsidRDefault="00D50D3A" w:rsidP="0054588F">
      <w:pPr>
        <w:numPr>
          <w:ilvl w:val="0"/>
          <w:numId w:val="2"/>
        </w:numPr>
        <w:autoSpaceDE w:val="0"/>
        <w:spacing w:before="240" w:after="240"/>
        <w:jc w:val="both"/>
      </w:pPr>
      <w:r>
        <w:lastRenderedPageBreak/>
        <w:t>Although</w:t>
      </w:r>
      <w:r w:rsidR="00E133EE">
        <w:t xml:space="preserve"> </w:t>
      </w:r>
      <w:r w:rsidR="00E133EE">
        <w:rPr>
          <w:i/>
          <w:iCs/>
        </w:rPr>
        <w:t>Mohamed v. Breish</w:t>
      </w:r>
      <w:r w:rsidR="00E133EE">
        <w:t xml:space="preserve"> concerned less the recognition of a state and more the recognition of the government of a state, </w:t>
      </w:r>
      <w:r w:rsidR="00680136">
        <w:t xml:space="preserve">the same approach is taken by the </w:t>
      </w:r>
      <w:r w:rsidR="00646E22">
        <w:t xml:space="preserve">English </w:t>
      </w:r>
      <w:r w:rsidR="00680136">
        <w:t xml:space="preserve">courts when considering whether or not a state </w:t>
      </w:r>
      <w:r w:rsidR="00D5627F">
        <w:t>is recognised as a sovereign state</w:t>
      </w:r>
      <w:r w:rsidR="00AD5C53">
        <w:t xml:space="preserve"> where there is no F</w:t>
      </w:r>
      <w:r w:rsidR="00957EFF">
        <w:t xml:space="preserve">oreign and </w:t>
      </w:r>
      <w:r w:rsidR="00AD5C53">
        <w:t>C</w:t>
      </w:r>
      <w:r w:rsidR="00957EFF">
        <w:t xml:space="preserve">ommonwealth </w:t>
      </w:r>
      <w:r w:rsidR="00AD5C53">
        <w:t>O</w:t>
      </w:r>
      <w:r w:rsidR="00957EFF">
        <w:t>ffice</w:t>
      </w:r>
      <w:r w:rsidR="00AD5C53">
        <w:t xml:space="preserve"> certification.</w:t>
      </w:r>
      <w:r w:rsidR="001D3F21">
        <w:rPr>
          <w:rStyle w:val="FootnoteReference"/>
        </w:rPr>
        <w:footnoteReference w:id="135"/>
      </w:r>
    </w:p>
    <w:p w14:paraId="76E2602C" w14:textId="77777777" w:rsidR="00D0237C" w:rsidRDefault="00CE527D" w:rsidP="0066601F">
      <w:pPr>
        <w:numPr>
          <w:ilvl w:val="0"/>
          <w:numId w:val="2"/>
        </w:numPr>
        <w:autoSpaceDE w:val="0"/>
        <w:spacing w:before="240" w:after="240"/>
        <w:jc w:val="both"/>
      </w:pPr>
      <w:r>
        <w:t>In this case, there has been no F</w:t>
      </w:r>
      <w:r w:rsidR="00957EFF">
        <w:t xml:space="preserve">oreign and </w:t>
      </w:r>
      <w:r>
        <w:t>C</w:t>
      </w:r>
      <w:r w:rsidR="00957EFF">
        <w:t xml:space="preserve">ommonwealth </w:t>
      </w:r>
      <w:r>
        <w:t>O</w:t>
      </w:r>
      <w:r w:rsidR="00957EFF">
        <w:t>ffice</w:t>
      </w:r>
      <w:r>
        <w:t xml:space="preserve"> certification of </w:t>
      </w:r>
      <w:r w:rsidR="007B1B4B">
        <w:t>H</w:t>
      </w:r>
      <w:r w:rsidR="00957EFF">
        <w:t xml:space="preserve">er </w:t>
      </w:r>
      <w:r w:rsidR="007B1B4B">
        <w:t>M</w:t>
      </w:r>
      <w:r w:rsidR="00957EFF">
        <w:t xml:space="preserve">ajesty’s </w:t>
      </w:r>
      <w:r w:rsidR="007B1B4B">
        <w:t>G</w:t>
      </w:r>
      <w:r w:rsidR="00957EFF">
        <w:t>overnment</w:t>
      </w:r>
      <w:r w:rsidR="007B1B4B">
        <w:t xml:space="preserve">’s attitude towards Hyderabad </w:t>
      </w:r>
      <w:r w:rsidR="00E25152">
        <w:t>as regards</w:t>
      </w:r>
      <w:r w:rsidR="007B1B4B">
        <w:t xml:space="preserve"> the period between 15 August 19</w:t>
      </w:r>
      <w:r w:rsidR="0066601F">
        <w:t xml:space="preserve">47 and the end of Operation Polo on 17 September 1948. Accordingly, it is necessary to consider the evidence as to </w:t>
      </w:r>
      <w:r w:rsidR="00CA3859">
        <w:t xml:space="preserve">the </w:t>
      </w:r>
      <w:r w:rsidR="0066601F">
        <w:t>G</w:t>
      </w:r>
      <w:r w:rsidR="00CA3859">
        <w:t>overnment</w:t>
      </w:r>
      <w:r w:rsidR="0066601F">
        <w:t>’s attitude. As to this:</w:t>
      </w:r>
    </w:p>
    <w:p w14:paraId="65906DB2" w14:textId="77777777" w:rsidR="00437639" w:rsidRDefault="008C1693" w:rsidP="00233EDD">
      <w:pPr>
        <w:numPr>
          <w:ilvl w:val="1"/>
          <w:numId w:val="2"/>
        </w:numPr>
        <w:autoSpaceDE w:val="0"/>
        <w:spacing w:before="240" w:after="240"/>
        <w:jc w:val="both"/>
      </w:pPr>
      <w:r>
        <w:t xml:space="preserve">The </w:t>
      </w:r>
      <w:r w:rsidR="00350DD8">
        <w:t xml:space="preserve">Indian Independence Act </w:t>
      </w:r>
      <w:r w:rsidR="00815FB0">
        <w:t>1947</w:t>
      </w:r>
      <w:r w:rsidR="00411F95">
        <w:t xml:space="preserve"> made quite clear that whilst </w:t>
      </w:r>
      <w:r w:rsidR="005947DF">
        <w:t xml:space="preserve">British India was being partitioned into the Dominions of India and Pakistan, </w:t>
      </w:r>
      <w:r w:rsidR="00C54669">
        <w:t xml:space="preserve">nothing was to affect the </w:t>
      </w:r>
      <w:r w:rsidR="00CA3859">
        <w:t>princely states/</w:t>
      </w:r>
      <w:r w:rsidR="00C54669">
        <w:t>Indian States</w:t>
      </w:r>
      <w:r w:rsidR="00437639">
        <w:t xml:space="preserve"> – who were to be free to choose whether to accede to either or neither of these Dominions.</w:t>
      </w:r>
      <w:r w:rsidR="00437639">
        <w:rPr>
          <w:rStyle w:val="FootnoteReference"/>
        </w:rPr>
        <w:footnoteReference w:id="136"/>
      </w:r>
      <w:r w:rsidR="00233EDD">
        <w:t xml:space="preserve"> </w:t>
      </w:r>
      <w:r w:rsidR="00437639">
        <w:t xml:space="preserve">However, </w:t>
      </w:r>
      <w:r w:rsidR="009C35E5">
        <w:t xml:space="preserve">at the same time, the suzerainty of </w:t>
      </w:r>
      <w:r w:rsidR="006D7AD2">
        <w:t>the Crown</w:t>
      </w:r>
      <w:r w:rsidR="009C35E5">
        <w:t xml:space="preserve"> over the Indian States ended.</w:t>
      </w:r>
      <w:r w:rsidR="009C35E5">
        <w:rPr>
          <w:rStyle w:val="FootnoteReference"/>
        </w:rPr>
        <w:footnoteReference w:id="137"/>
      </w:r>
    </w:p>
    <w:p w14:paraId="70CD2D4A" w14:textId="77777777" w:rsidR="00233EDD" w:rsidRDefault="006D7AD2" w:rsidP="00233EDD">
      <w:pPr>
        <w:numPr>
          <w:ilvl w:val="1"/>
          <w:numId w:val="2"/>
        </w:numPr>
        <w:autoSpaceDE w:val="0"/>
        <w:spacing w:before="240" w:after="240"/>
        <w:jc w:val="both"/>
      </w:pPr>
      <w:r>
        <w:t xml:space="preserve">The </w:t>
      </w:r>
      <w:r w:rsidR="00233EDD">
        <w:t>G</w:t>
      </w:r>
      <w:r>
        <w:t>overnment</w:t>
      </w:r>
      <w:r w:rsidR="00233EDD">
        <w:t xml:space="preserve">’s approach was clearly stated in the </w:t>
      </w:r>
      <w:r w:rsidR="0076423F">
        <w:t xml:space="preserve">debates described in paragraphs </w:t>
      </w:r>
      <w:r w:rsidR="002C4DFB">
        <w:t>69-70</w:t>
      </w:r>
      <w:r w:rsidR="0076423F">
        <w:t xml:space="preserve"> above. The Indian States were to have a freedom of choice</w:t>
      </w:r>
      <w:r w:rsidR="001067BA">
        <w:t>. I</w:t>
      </w:r>
      <w:r w:rsidR="00984ABB">
        <w:t xml:space="preserve">t seems to me clear that the </w:t>
      </w:r>
      <w:r w:rsidR="001067BA">
        <w:t>inevitabl</w:t>
      </w:r>
      <w:r w:rsidR="00C73430">
        <w:t>e</w:t>
      </w:r>
      <w:r w:rsidR="001067BA">
        <w:t xml:space="preserve"> </w:t>
      </w:r>
      <w:r w:rsidR="00984ABB">
        <w:t xml:space="preserve">corollary of </w:t>
      </w:r>
      <w:r>
        <w:t xml:space="preserve">the Government’s </w:t>
      </w:r>
      <w:r w:rsidR="00984ABB">
        <w:t xml:space="preserve">position that the Indian States were </w:t>
      </w:r>
      <w:r w:rsidR="001067BA" w:rsidRPr="001067BA">
        <w:rPr>
          <w:u w:val="single"/>
        </w:rPr>
        <w:t>legally</w:t>
      </w:r>
      <w:r w:rsidR="001067BA">
        <w:t xml:space="preserve"> </w:t>
      </w:r>
      <w:r w:rsidR="00984ABB">
        <w:t xml:space="preserve">free to choose </w:t>
      </w:r>
      <w:r w:rsidR="00984ABB">
        <w:rPr>
          <w:u w:val="single"/>
        </w:rPr>
        <w:t>not</w:t>
      </w:r>
      <w:r w:rsidR="00984ABB">
        <w:t xml:space="preserve"> to accede to either India or Pakistan </w:t>
      </w:r>
      <w:r w:rsidR="001067BA">
        <w:t xml:space="preserve">(whatever the </w:t>
      </w:r>
      <w:r w:rsidR="001067BA" w:rsidRPr="001067BA">
        <w:rPr>
          <w:u w:val="single"/>
        </w:rPr>
        <w:t>political</w:t>
      </w:r>
      <w:r w:rsidR="001067BA">
        <w:t xml:space="preserve"> realities) </w:t>
      </w:r>
      <w:r w:rsidR="00984ABB">
        <w:t>was that the</w:t>
      </w:r>
      <w:r>
        <w:t>y</w:t>
      </w:r>
      <w:r w:rsidR="00984ABB">
        <w:t xml:space="preserve"> were, from 15 August 1947, </w:t>
      </w:r>
      <w:r w:rsidR="00762418">
        <w:t>sovereign states</w:t>
      </w:r>
      <w:r w:rsidR="00E25152">
        <w:t>, irrespective of their status prior to the appointed day</w:t>
      </w:r>
      <w:r w:rsidR="00762418">
        <w:t>.</w:t>
      </w:r>
    </w:p>
    <w:p w14:paraId="0A4F51BE" w14:textId="77777777" w:rsidR="00A01341" w:rsidRDefault="00007B97" w:rsidP="00007B97">
      <w:pPr>
        <w:autoSpaceDE w:val="0"/>
        <w:spacing w:before="240" w:after="240"/>
        <w:ind w:left="567"/>
        <w:jc w:val="both"/>
      </w:pPr>
      <w:r>
        <w:t xml:space="preserve">I conclude that from the appointed day (15 August 1947) to the </w:t>
      </w:r>
      <w:r w:rsidR="002E7980">
        <w:t xml:space="preserve">end of Operation Polo, when the Nizam submitted to Indian forces, Hyderabad was a foreign state </w:t>
      </w:r>
      <w:r w:rsidR="00F62112">
        <w:t>in the eyes of Her Majesty’s Government and that Nizam VII was the ruler of that state.</w:t>
      </w:r>
    </w:p>
    <w:p w14:paraId="1FFFA231" w14:textId="77777777" w:rsidR="00BA16C8" w:rsidRPr="00BA16C8" w:rsidRDefault="00BA16C8" w:rsidP="001067BA">
      <w:pPr>
        <w:keepNext/>
        <w:tabs>
          <w:tab w:val="left" w:pos="567"/>
        </w:tabs>
        <w:autoSpaceDE w:val="0"/>
        <w:spacing w:before="240" w:after="240"/>
        <w:jc w:val="both"/>
        <w:rPr>
          <w:b/>
          <w:bCs/>
          <w:i/>
          <w:iCs/>
        </w:rPr>
      </w:pPr>
      <w:r>
        <w:rPr>
          <w:b/>
          <w:bCs/>
          <w:i/>
          <w:iCs/>
        </w:rPr>
        <w:t>(c)</w:t>
      </w:r>
      <w:r>
        <w:rPr>
          <w:b/>
          <w:bCs/>
          <w:i/>
          <w:iCs/>
        </w:rPr>
        <w:tab/>
      </w:r>
      <w:r w:rsidR="00A94786">
        <w:rPr>
          <w:b/>
          <w:bCs/>
          <w:i/>
          <w:iCs/>
        </w:rPr>
        <w:t xml:space="preserve">The status of Hyderabad after </w:t>
      </w:r>
      <w:r w:rsidR="00082634">
        <w:rPr>
          <w:b/>
          <w:bCs/>
          <w:i/>
          <w:iCs/>
        </w:rPr>
        <w:t>Operation Polo</w:t>
      </w:r>
    </w:p>
    <w:p w14:paraId="2CFE062C" w14:textId="77777777" w:rsidR="00A01341" w:rsidRDefault="00317BDE" w:rsidP="0054588F">
      <w:pPr>
        <w:numPr>
          <w:ilvl w:val="0"/>
          <w:numId w:val="2"/>
        </w:numPr>
        <w:autoSpaceDE w:val="0"/>
        <w:spacing w:before="240" w:after="240"/>
        <w:jc w:val="both"/>
      </w:pPr>
      <w:r>
        <w:t xml:space="preserve">In my judgment, the fact that Hyderabad </w:t>
      </w:r>
      <w:r w:rsidR="0061063C">
        <w:t xml:space="preserve">was annexed by India – whether </w:t>
      </w:r>
      <w:r w:rsidR="00773284">
        <w:t xml:space="preserve">pursuant to </w:t>
      </w:r>
      <w:r w:rsidR="0061063C">
        <w:t>a “</w:t>
      </w:r>
      <w:r w:rsidR="00773284">
        <w:t>p</w:t>
      </w:r>
      <w:r w:rsidR="0061063C">
        <w:t xml:space="preserve">olice </w:t>
      </w:r>
      <w:r w:rsidR="00773284">
        <w:t>a</w:t>
      </w:r>
      <w:r w:rsidR="0061063C">
        <w:t xml:space="preserve">ction” or otherwise – cannot alter the status </w:t>
      </w:r>
      <w:r w:rsidR="00C73430" w:rsidRPr="000F2E99">
        <w:t>of</w:t>
      </w:r>
      <w:r w:rsidR="00C73430">
        <w:t xml:space="preserve"> </w:t>
      </w:r>
      <w:r w:rsidR="00195998">
        <w:t>Hyderabad, unless H</w:t>
      </w:r>
      <w:r w:rsidR="00E70493">
        <w:t xml:space="preserve">er </w:t>
      </w:r>
      <w:r w:rsidR="00195998">
        <w:t>M</w:t>
      </w:r>
      <w:r w:rsidR="00E70493">
        <w:t xml:space="preserve">ajesty’s </w:t>
      </w:r>
      <w:r w:rsidR="00195998">
        <w:t>G</w:t>
      </w:r>
      <w:r w:rsidR="00E70493">
        <w:t>overnment</w:t>
      </w:r>
      <w:r w:rsidR="00195998">
        <w:t xml:space="preserve"> were unequivocally to say so</w:t>
      </w:r>
      <w:r w:rsidR="00E70493">
        <w:t>, whether by a certificate or otherwise</w:t>
      </w:r>
      <w:r w:rsidR="00195998">
        <w:t xml:space="preserve">. For this court to hold – without such an unequivocal statement – would be to attach </w:t>
      </w:r>
      <w:r w:rsidR="00FC2F72">
        <w:t xml:space="preserve">uncritical weight to the use of force. It seems to me, therefore, that </w:t>
      </w:r>
      <w:r w:rsidR="00C37418">
        <w:t>– absent such an unequivocal statement from H</w:t>
      </w:r>
      <w:r w:rsidR="00C02062">
        <w:t xml:space="preserve">er </w:t>
      </w:r>
      <w:r w:rsidR="00C37418">
        <w:t>M</w:t>
      </w:r>
      <w:r w:rsidR="00C02062">
        <w:t xml:space="preserve">ajesty’s </w:t>
      </w:r>
      <w:r w:rsidR="00C37418">
        <w:t>G</w:t>
      </w:r>
      <w:r w:rsidR="00C02062">
        <w:t>overnment</w:t>
      </w:r>
      <w:r w:rsidR="00C37418">
        <w:t xml:space="preserve"> – Operation Polo can have made no difference to the status of Hyderabad</w:t>
      </w:r>
      <w:r w:rsidR="00D82067">
        <w:t>,</w:t>
      </w:r>
      <w:r w:rsidR="00C37418">
        <w:t xml:space="preserve"> at least for the purposes of an English court.</w:t>
      </w:r>
    </w:p>
    <w:p w14:paraId="283F8DB1" w14:textId="77777777" w:rsidR="000C2581" w:rsidRDefault="000C2581" w:rsidP="0054588F">
      <w:pPr>
        <w:numPr>
          <w:ilvl w:val="0"/>
          <w:numId w:val="2"/>
        </w:numPr>
        <w:autoSpaceDE w:val="0"/>
        <w:spacing w:before="240" w:after="240"/>
        <w:jc w:val="both"/>
      </w:pPr>
      <w:r>
        <w:t>In due course, Nizam</w:t>
      </w:r>
      <w:r w:rsidR="00F4262A">
        <w:t xml:space="preserve"> VII</w:t>
      </w:r>
      <w:r>
        <w:t xml:space="preserve"> became the Rajpramukh (Princely Governor) of </w:t>
      </w:r>
      <w:r w:rsidRPr="00751778">
        <w:t>the new state of Hyderabad</w:t>
      </w:r>
      <w:r w:rsidR="006F28D3" w:rsidRPr="00751778">
        <w:t xml:space="preserve"> within the Union of India</w:t>
      </w:r>
      <w:r w:rsidRPr="00751778">
        <w:t>, which position he held until the states of India</w:t>
      </w:r>
      <w:r>
        <w:t xml:space="preserve"> were reorganised in 1956.</w:t>
      </w:r>
      <w:r w:rsidR="00F4262A">
        <w:rPr>
          <w:rStyle w:val="FootnoteReference"/>
        </w:rPr>
        <w:footnoteReference w:id="138"/>
      </w:r>
      <w:r>
        <w:t xml:space="preserve"> At that time, the state of Hyderabad was split into three parts, and was merged with and into neighbouring states. Nizam </w:t>
      </w:r>
      <w:r w:rsidR="00A35AD7">
        <w:t xml:space="preserve">VII </w:t>
      </w:r>
      <w:r>
        <w:t>died in 1967.</w:t>
      </w:r>
    </w:p>
    <w:p w14:paraId="292B929F" w14:textId="77777777" w:rsidR="00446627" w:rsidRDefault="00046EE0" w:rsidP="00446627">
      <w:pPr>
        <w:numPr>
          <w:ilvl w:val="0"/>
          <w:numId w:val="2"/>
        </w:numPr>
        <w:autoSpaceDE w:val="0"/>
        <w:spacing w:before="240" w:after="240"/>
        <w:jc w:val="both"/>
      </w:pPr>
      <w:r>
        <w:t>The accession of Hyderabad, as a State of the Union of India, effected on the fac</w:t>
      </w:r>
      <w:r w:rsidR="0006252A">
        <w:t>e</w:t>
      </w:r>
      <w:r>
        <w:t xml:space="preserve"> of it </w:t>
      </w:r>
      <w:r w:rsidR="0006252A">
        <w:t>voluntarily by Nizam VII i</w:t>
      </w:r>
      <w:r w:rsidR="00B86D29">
        <w:t>s a</w:t>
      </w:r>
      <w:r w:rsidR="0006252A">
        <w:t xml:space="preserve"> different</w:t>
      </w:r>
      <w:r w:rsidR="00B86D29">
        <w:t xml:space="preserve"> matter compared to </w:t>
      </w:r>
      <w:r w:rsidR="00DD0B75">
        <w:t>the effects of Operation Polo</w:t>
      </w:r>
      <w:r w:rsidR="0006252A">
        <w:t xml:space="preserve">. </w:t>
      </w:r>
      <w:r w:rsidR="00DD0B75">
        <w:t>As regards this accession</w:t>
      </w:r>
      <w:r w:rsidR="0006252A">
        <w:t xml:space="preserve">, I must consider </w:t>
      </w:r>
      <w:r w:rsidR="00411428">
        <w:t xml:space="preserve">once </w:t>
      </w:r>
      <w:r w:rsidR="0006252A">
        <w:t xml:space="preserve">again such evidence as exists regarding </w:t>
      </w:r>
      <w:r w:rsidR="00D53CAE">
        <w:lastRenderedPageBreak/>
        <w:t>th</w:t>
      </w:r>
      <w:r w:rsidR="00411428">
        <w:t>is</w:t>
      </w:r>
      <w:r w:rsidR="00D53CAE">
        <w:t xml:space="preserve"> accession and </w:t>
      </w:r>
      <w:r w:rsidR="00411428">
        <w:t xml:space="preserve">Her Majesty’s </w:t>
      </w:r>
      <w:r w:rsidR="00F508B2">
        <w:t>Government’s</w:t>
      </w:r>
      <w:r w:rsidR="00D53CAE">
        <w:t xml:space="preserve"> attitude</w:t>
      </w:r>
      <w:r w:rsidR="00411428">
        <w:t xml:space="preserve"> towards it, there again being no certification from the Foreign and Commonwealth Office</w:t>
      </w:r>
      <w:r w:rsidR="00D53CAE">
        <w:t xml:space="preserve">. </w:t>
      </w:r>
      <w:r w:rsidR="00F508B2">
        <w:t xml:space="preserve">I conclude, based upon the following </w:t>
      </w:r>
      <w:r w:rsidR="00446627">
        <w:t xml:space="preserve">material, that the Government </w:t>
      </w:r>
      <w:r w:rsidR="00446627" w:rsidRPr="00CD56E3">
        <w:rPr>
          <w:u w:val="single"/>
        </w:rPr>
        <w:t>has</w:t>
      </w:r>
      <w:r w:rsidR="00446627">
        <w:t xml:space="preserve"> recognised the accession of Hyderabad to India</w:t>
      </w:r>
      <w:r w:rsidR="00A97474">
        <w:t>:</w:t>
      </w:r>
    </w:p>
    <w:p w14:paraId="07A4B701" w14:textId="77777777" w:rsidR="0054588F" w:rsidRDefault="0054588F" w:rsidP="00446627">
      <w:pPr>
        <w:numPr>
          <w:ilvl w:val="1"/>
          <w:numId w:val="2"/>
        </w:numPr>
        <w:autoSpaceDE w:val="0"/>
        <w:spacing w:before="240" w:after="240"/>
        <w:jc w:val="both"/>
      </w:pPr>
      <w:r>
        <w:t>In a telegram from the U</w:t>
      </w:r>
      <w:r w:rsidR="0052796C">
        <w:t xml:space="preserve">nited </w:t>
      </w:r>
      <w:r>
        <w:t>K</w:t>
      </w:r>
      <w:r w:rsidR="0052796C">
        <w:t>ingdom</w:t>
      </w:r>
      <w:r>
        <w:t>’s Commonwealth Relations Office to the Acting U</w:t>
      </w:r>
      <w:r w:rsidR="0052796C">
        <w:t xml:space="preserve">nited </w:t>
      </w:r>
      <w:r>
        <w:t>K</w:t>
      </w:r>
      <w:r w:rsidR="0052796C">
        <w:t>ingdom</w:t>
      </w:r>
      <w:r>
        <w:t xml:space="preserve"> High Commissioner in India (and copied to the Acting U</w:t>
      </w:r>
      <w:r w:rsidR="0052796C">
        <w:t xml:space="preserve">nited </w:t>
      </w:r>
      <w:r>
        <w:t>K</w:t>
      </w:r>
      <w:r w:rsidR="0052796C">
        <w:t>ingdom</w:t>
      </w:r>
      <w:r>
        <w:t xml:space="preserve"> High Commissioner in Pakistan) dated 26 August 1950, the following queries were raised:</w:t>
      </w:r>
    </w:p>
    <w:p w14:paraId="550D61A7" w14:textId="77777777" w:rsidR="0054588F" w:rsidRDefault="0054588F" w:rsidP="00446627">
      <w:pPr>
        <w:autoSpaceDE w:val="0"/>
        <w:spacing w:before="240" w:after="240"/>
        <w:ind w:left="1854" w:hanging="720"/>
        <w:jc w:val="both"/>
        <w:rPr>
          <w:sz w:val="22"/>
          <w:szCs w:val="22"/>
        </w:rPr>
      </w:pPr>
      <w:r>
        <w:rPr>
          <w:sz w:val="22"/>
          <w:szCs w:val="22"/>
        </w:rPr>
        <w:t>“2.</w:t>
      </w:r>
      <w:r>
        <w:rPr>
          <w:sz w:val="22"/>
          <w:szCs w:val="22"/>
        </w:rPr>
        <w:tab/>
        <w:t>Grateful for urgent information as to when accession of Hyderabad to India became effective, and whether any instrument of accession under section 6 of the Government of India Act 1935 was executed by the Nizam and accepted by the Governor-General.</w:t>
      </w:r>
    </w:p>
    <w:p w14:paraId="7D6817A9" w14:textId="77777777" w:rsidR="0054588F" w:rsidRDefault="0054588F" w:rsidP="00446627">
      <w:pPr>
        <w:autoSpaceDE w:val="0"/>
        <w:spacing w:before="240" w:after="240"/>
        <w:ind w:left="1854" w:hanging="720"/>
        <w:jc w:val="both"/>
        <w:rPr>
          <w:sz w:val="22"/>
          <w:szCs w:val="22"/>
        </w:rPr>
      </w:pPr>
      <w:r>
        <w:rPr>
          <w:sz w:val="22"/>
          <w:szCs w:val="22"/>
        </w:rPr>
        <w:t>3.</w:t>
      </w:r>
      <w:r>
        <w:rPr>
          <w:sz w:val="22"/>
          <w:szCs w:val="22"/>
        </w:rPr>
        <w:tab/>
        <w:t>Only information on record here relates to Firman iss</w:t>
      </w:r>
      <w:r w:rsidR="00ED22E4">
        <w:rPr>
          <w:sz w:val="22"/>
          <w:szCs w:val="22"/>
        </w:rPr>
        <w:t>u</w:t>
      </w:r>
      <w:r>
        <w:rPr>
          <w:sz w:val="22"/>
          <w:szCs w:val="22"/>
        </w:rPr>
        <w:t>ed by Nizam on 24 November 1949…which suggests that accession became effective on 26 January 1950. We have no information as to its ratification.</w:t>
      </w:r>
    </w:p>
    <w:p w14:paraId="1D609FFD" w14:textId="77777777" w:rsidR="0054588F" w:rsidRPr="00527900" w:rsidRDefault="0054588F" w:rsidP="00446627">
      <w:pPr>
        <w:autoSpaceDE w:val="0"/>
        <w:spacing w:before="240" w:after="240"/>
        <w:ind w:left="1854" w:hanging="720"/>
        <w:jc w:val="both"/>
        <w:rPr>
          <w:sz w:val="22"/>
          <w:szCs w:val="22"/>
        </w:rPr>
      </w:pPr>
      <w:r>
        <w:rPr>
          <w:sz w:val="22"/>
          <w:szCs w:val="22"/>
        </w:rPr>
        <w:t>4.</w:t>
      </w:r>
      <w:r>
        <w:rPr>
          <w:sz w:val="22"/>
          <w:szCs w:val="22"/>
        </w:rPr>
        <w:tab/>
        <w:t>Grateful for any other comments on legal position which may occur to you.”</w:t>
      </w:r>
    </w:p>
    <w:p w14:paraId="1EE66E7A" w14:textId="77777777" w:rsidR="0054588F" w:rsidRDefault="0054588F" w:rsidP="00446627">
      <w:pPr>
        <w:numPr>
          <w:ilvl w:val="1"/>
          <w:numId w:val="2"/>
        </w:numPr>
        <w:autoSpaceDE w:val="0"/>
        <w:spacing w:before="240" w:after="240"/>
        <w:jc w:val="both"/>
      </w:pPr>
      <w:r>
        <w:t>The Acting U</w:t>
      </w:r>
      <w:r w:rsidR="0052796C">
        <w:t xml:space="preserve">nited Kingdom </w:t>
      </w:r>
      <w:r>
        <w:t>High Commissioner for India responded on 31 August 1950:</w:t>
      </w:r>
    </w:p>
    <w:p w14:paraId="0928EF54" w14:textId="77777777" w:rsidR="0054588F" w:rsidRDefault="0054588F" w:rsidP="00446627">
      <w:pPr>
        <w:autoSpaceDE w:val="0"/>
        <w:spacing w:before="240" w:after="240"/>
        <w:ind w:left="1854" w:hanging="720"/>
        <w:jc w:val="both"/>
        <w:rPr>
          <w:sz w:val="22"/>
          <w:szCs w:val="22"/>
        </w:rPr>
      </w:pPr>
      <w:r>
        <w:rPr>
          <w:sz w:val="22"/>
          <w:szCs w:val="22"/>
        </w:rPr>
        <w:t>“1.</w:t>
      </w:r>
      <w:r>
        <w:rPr>
          <w:sz w:val="22"/>
          <w:szCs w:val="22"/>
        </w:rPr>
        <w:tab/>
        <w:t>According to Government of India’s White Paper on Indian States revised edition of March 1950, page 113, Hyderabad did not repeat not accede to India before it formally became part of India on January 26, 1950, though Standstill Agreement of November 1947 “enjuring virtual accession of the State in respect of Defence, External Affairs and Communications”, continued by virtue of Nizam’s letter of 18 November 1948 until enforcement of new constitution.</w:t>
      </w:r>
    </w:p>
    <w:p w14:paraId="0272150E" w14:textId="77777777" w:rsidR="0054588F" w:rsidRPr="004A530A" w:rsidRDefault="0054588F" w:rsidP="00446627">
      <w:pPr>
        <w:autoSpaceDE w:val="0"/>
        <w:spacing w:before="240" w:after="240"/>
        <w:ind w:left="1854" w:hanging="720"/>
        <w:jc w:val="both"/>
        <w:rPr>
          <w:sz w:val="22"/>
          <w:szCs w:val="22"/>
        </w:rPr>
      </w:pPr>
      <w:r>
        <w:rPr>
          <w:sz w:val="22"/>
          <w:szCs w:val="22"/>
        </w:rPr>
        <w:t>2.</w:t>
      </w:r>
      <w:r>
        <w:rPr>
          <w:sz w:val="22"/>
          <w:szCs w:val="22"/>
        </w:rPr>
        <w:tab/>
        <w:t xml:space="preserve">Fact that Hyderabad did not accede before January 26, 1950 was recently confirmed to me by official closely concerned, who added that Government of India had purposely avoided any question of accession and maintained until that date Nizam’s authority as source from which military Governors’ and chief Ministers’ powers were derived.” </w:t>
      </w:r>
    </w:p>
    <w:p w14:paraId="6D9E5BA7" w14:textId="77777777" w:rsidR="0054588F" w:rsidRDefault="0054588F" w:rsidP="00A97474">
      <w:pPr>
        <w:numPr>
          <w:ilvl w:val="1"/>
          <w:numId w:val="2"/>
        </w:numPr>
        <w:autoSpaceDE w:val="0"/>
        <w:spacing w:before="240" w:after="240"/>
        <w:jc w:val="both"/>
      </w:pPr>
      <w:r>
        <w:t>A memorandum of interview kept by the Bank dated 14 August 1953, recording the views of a Mr WJ Smith, a Principal Acting Assistant Secretary in the Commonwealth Relations Office records as follows:</w:t>
      </w:r>
    </w:p>
    <w:p w14:paraId="6F2EFDE5" w14:textId="77777777" w:rsidR="0054588F" w:rsidRDefault="0054588F" w:rsidP="00A97474">
      <w:pPr>
        <w:autoSpaceDE w:val="0"/>
        <w:spacing w:before="240" w:after="240"/>
        <w:ind w:left="1134"/>
        <w:jc w:val="both"/>
        <w:rPr>
          <w:sz w:val="22"/>
          <w:szCs w:val="22"/>
        </w:rPr>
      </w:pPr>
      <w:r>
        <w:rPr>
          <w:sz w:val="22"/>
          <w:szCs w:val="22"/>
        </w:rPr>
        <w:t>“The status of Hyderabad was discussed having in mind that this State is one of the 27 States of the Republic of India and briefly the history is as follows:</w:t>
      </w:r>
    </w:p>
    <w:p w14:paraId="78CF1E11" w14:textId="77777777" w:rsidR="0054588F" w:rsidRDefault="0054588F" w:rsidP="00A97474">
      <w:pPr>
        <w:autoSpaceDE w:val="0"/>
        <w:spacing w:before="240" w:after="240"/>
        <w:ind w:left="1134"/>
        <w:jc w:val="both"/>
        <w:rPr>
          <w:sz w:val="22"/>
          <w:szCs w:val="22"/>
        </w:rPr>
      </w:pPr>
      <w:r>
        <w:rPr>
          <w:sz w:val="22"/>
          <w:szCs w:val="22"/>
        </w:rPr>
        <w:t xml:space="preserve">Consequent upon the passing of the Indian Independence Act 1947, agreement as to the association between Hyderabad and the Republic of India was not immediately reached and accordingly a “Standstill Agreement” was entered into on November 29, 1947 for one year. During the period of the Agreement, Indian troops marched into Hyderabad (September 1948) ostensibly to quell an insurrection and shortly after this the Nizam of Hyderabad accepted the Constitution of the Republic of India and took the oath of loyalty in January 1950 and was sworn in as Rajpramuk (Ruler). Thus, Hyderabad is in fact one of the States of the Republic of India and presumably this would be the International view. However, the Dominion of Pakistan refused to accept this, their contention being that the Nizam yielded to force majeure and they state that a plebiscite should be held to determine </w:t>
      </w:r>
      <w:r>
        <w:rPr>
          <w:sz w:val="22"/>
          <w:szCs w:val="22"/>
        </w:rPr>
        <w:lastRenderedPageBreak/>
        <w:t>whether the State continues within the Indian Constitution or is transferred to the Dominion of Pakistan. This view is still held by Pakistan and at a recent Press Conference after the Meeting of the Security Council (1953), when Mr Mahamed Ali, the Prime Minister of Pakistan, was asked whether Hyderabad had been discussed during the deliberations of the Council, he stated that this matter was still on the Agenda and in Mr Smith’s opinion this position will continue for some time, possibly indefinitely.</w:t>
      </w:r>
      <w:r>
        <w:rPr>
          <w:rStyle w:val="FootnoteReference"/>
          <w:sz w:val="22"/>
          <w:szCs w:val="22"/>
        </w:rPr>
        <w:footnoteReference w:id="139"/>
      </w:r>
    </w:p>
    <w:p w14:paraId="3CC17753" w14:textId="77777777" w:rsidR="0054588F" w:rsidRDefault="0054588F" w:rsidP="00A97474">
      <w:pPr>
        <w:autoSpaceDE w:val="0"/>
        <w:spacing w:before="240" w:after="240"/>
        <w:ind w:left="1134"/>
        <w:jc w:val="both"/>
        <w:rPr>
          <w:sz w:val="22"/>
          <w:szCs w:val="22"/>
        </w:rPr>
      </w:pPr>
      <w:r>
        <w:rPr>
          <w:sz w:val="22"/>
          <w:szCs w:val="22"/>
        </w:rPr>
        <w:t>The status of Hyderabad has, of course, presented difficulties to the United Kingdom Government inasmuch as the ownership of property (Consulates, etc)</w:t>
      </w:r>
      <w:r w:rsidR="001D3CB5">
        <w:rPr>
          <w:sz w:val="22"/>
          <w:szCs w:val="22"/>
        </w:rPr>
        <w:t xml:space="preserve"> </w:t>
      </w:r>
      <w:r>
        <w:rPr>
          <w:sz w:val="22"/>
          <w:szCs w:val="22"/>
        </w:rPr>
        <w:t>and the claims to funds held previously by “India” had to be settled. As far as Mr Smith was aware, the United Kingdom Government had left India and Pakistan to settle these matter</w:t>
      </w:r>
      <w:r w:rsidR="001D3CB5">
        <w:rPr>
          <w:sz w:val="22"/>
          <w:szCs w:val="22"/>
        </w:rPr>
        <w:t>s</w:t>
      </w:r>
      <w:r>
        <w:rPr>
          <w:sz w:val="22"/>
          <w:szCs w:val="22"/>
        </w:rPr>
        <w:t xml:space="preserve"> amicably between themselves, and when agreement was reached, had released the property or funds in accordance with the terms agreed between the two Governments. He was unable to indicate whether there had been any legal action regarding these matters but did not think the question had come before the British Courts.</w:t>
      </w:r>
    </w:p>
    <w:p w14:paraId="650B7C73" w14:textId="77777777" w:rsidR="0054588F" w:rsidRPr="00DF1031" w:rsidRDefault="0054588F" w:rsidP="00A97474">
      <w:pPr>
        <w:autoSpaceDE w:val="0"/>
        <w:spacing w:before="240" w:after="240"/>
        <w:ind w:left="1134"/>
        <w:jc w:val="both"/>
        <w:rPr>
          <w:sz w:val="22"/>
          <w:szCs w:val="22"/>
        </w:rPr>
      </w:pPr>
      <w:r>
        <w:rPr>
          <w:sz w:val="22"/>
          <w:szCs w:val="22"/>
        </w:rPr>
        <w:t>I then asked Mr Smith whether his Department would be prepared to put in writing their views on Hyderabad, and he stated that any written inquiry would be answered but would be couched in very careful terms and would be on the lines above indicated; that is, Hyderabad is in fact part of India, but this is not recognised by the Pakistanis.”</w:t>
      </w:r>
    </w:p>
    <w:p w14:paraId="04B224B1" w14:textId="77777777" w:rsidR="00D937F2" w:rsidRPr="00D937F2" w:rsidRDefault="000C2581" w:rsidP="0083590D">
      <w:pPr>
        <w:numPr>
          <w:ilvl w:val="0"/>
          <w:numId w:val="2"/>
        </w:numPr>
        <w:autoSpaceDE w:val="0"/>
        <w:spacing w:before="240" w:after="240"/>
        <w:jc w:val="both"/>
      </w:pPr>
      <w:r>
        <w:t xml:space="preserve">These documents strongly suggest that </w:t>
      </w:r>
      <w:r w:rsidR="00211599">
        <w:t xml:space="preserve">the </w:t>
      </w:r>
      <w:r w:rsidR="004C6F05">
        <w:t>G</w:t>
      </w:r>
      <w:r w:rsidR="00211599">
        <w:t>overnment</w:t>
      </w:r>
      <w:r w:rsidR="004C6F05">
        <w:t xml:space="preserve"> recognises the accession</w:t>
      </w:r>
      <w:r w:rsidR="00B84344">
        <w:t xml:space="preserve"> of Hyderabad to India, and that is the finding that I make</w:t>
      </w:r>
      <w:r w:rsidR="004C6F05">
        <w:t>.</w:t>
      </w:r>
      <w:r w:rsidR="00B84344">
        <w:t xml:space="preserve"> This conclusion reflects the present reality: as I noted to the parties during the trial, the United Kingdom </w:t>
      </w:r>
      <w:r w:rsidR="0083590D">
        <w:t xml:space="preserve">maintains a </w:t>
      </w:r>
      <w:r w:rsidR="00D937F2" w:rsidRPr="00D937F2">
        <w:rPr>
          <w:color w:val="0B0C0C"/>
          <w:shd w:val="clear" w:color="auto" w:fill="FFFFFF"/>
          <w:lang w:eastAsia="en-GB"/>
        </w:rPr>
        <w:t>British Deputy High Commission in</w:t>
      </w:r>
      <w:r w:rsidR="00CD56E3">
        <w:rPr>
          <w:color w:val="0B0C0C"/>
          <w:shd w:val="clear" w:color="auto" w:fill="FFFFFF"/>
          <w:lang w:eastAsia="en-GB"/>
        </w:rPr>
        <w:t xml:space="preserve"> the city of</w:t>
      </w:r>
      <w:r w:rsidR="00D937F2" w:rsidRPr="00D937F2">
        <w:rPr>
          <w:color w:val="0B0C0C"/>
          <w:shd w:val="clear" w:color="auto" w:fill="FFFFFF"/>
          <w:lang w:eastAsia="en-GB"/>
        </w:rPr>
        <w:t xml:space="preserve"> Hyderabad</w:t>
      </w:r>
      <w:r w:rsidR="006501B5">
        <w:rPr>
          <w:color w:val="0B0C0C"/>
          <w:shd w:val="clear" w:color="auto" w:fill="FFFFFF"/>
          <w:lang w:eastAsia="en-GB"/>
        </w:rPr>
        <w:t xml:space="preserve"> in what was once the state of Hyderabad</w:t>
      </w:r>
      <w:r w:rsidR="0083590D">
        <w:rPr>
          <w:color w:val="0B0C0C"/>
          <w:shd w:val="clear" w:color="auto" w:fill="FFFFFF"/>
          <w:lang w:eastAsia="en-GB"/>
        </w:rPr>
        <w:t xml:space="preserve">, representing </w:t>
      </w:r>
      <w:r w:rsidR="00D937F2" w:rsidRPr="00D937F2">
        <w:rPr>
          <w:color w:val="0B0C0C"/>
          <w:shd w:val="clear" w:color="auto" w:fill="FFFFFF"/>
          <w:lang w:eastAsia="en-GB"/>
        </w:rPr>
        <w:t>the U</w:t>
      </w:r>
      <w:r w:rsidR="0083590D">
        <w:rPr>
          <w:color w:val="0B0C0C"/>
          <w:shd w:val="clear" w:color="auto" w:fill="FFFFFF"/>
          <w:lang w:eastAsia="en-GB"/>
        </w:rPr>
        <w:t xml:space="preserve">nited </w:t>
      </w:r>
      <w:r w:rsidR="00D937F2" w:rsidRPr="00D937F2">
        <w:rPr>
          <w:color w:val="0B0C0C"/>
          <w:shd w:val="clear" w:color="auto" w:fill="FFFFFF"/>
          <w:lang w:eastAsia="en-GB"/>
        </w:rPr>
        <w:t>K</w:t>
      </w:r>
      <w:r w:rsidR="0083590D">
        <w:rPr>
          <w:color w:val="0B0C0C"/>
          <w:shd w:val="clear" w:color="auto" w:fill="FFFFFF"/>
          <w:lang w:eastAsia="en-GB"/>
        </w:rPr>
        <w:t>ingdom</w:t>
      </w:r>
      <w:r w:rsidR="00D937F2" w:rsidRPr="00D937F2">
        <w:rPr>
          <w:color w:val="0B0C0C"/>
          <w:shd w:val="clear" w:color="auto" w:fill="FFFFFF"/>
          <w:lang w:eastAsia="en-GB"/>
        </w:rPr>
        <w:t xml:space="preserve"> </w:t>
      </w:r>
      <w:r w:rsidR="0083590D">
        <w:rPr>
          <w:color w:val="0B0C0C"/>
          <w:shd w:val="clear" w:color="auto" w:fill="FFFFFF"/>
          <w:lang w:eastAsia="en-GB"/>
        </w:rPr>
        <w:t>G</w:t>
      </w:r>
      <w:r w:rsidR="00D937F2" w:rsidRPr="00D937F2">
        <w:rPr>
          <w:color w:val="0B0C0C"/>
          <w:shd w:val="clear" w:color="auto" w:fill="FFFFFF"/>
          <w:lang w:eastAsia="en-GB"/>
        </w:rPr>
        <w:t>overnment in Hyderabad</w:t>
      </w:r>
      <w:r w:rsidR="0083590D">
        <w:rPr>
          <w:color w:val="0B0C0C"/>
          <w:shd w:val="clear" w:color="auto" w:fill="FFFFFF"/>
          <w:lang w:eastAsia="en-GB"/>
        </w:rPr>
        <w:t>.</w:t>
      </w:r>
    </w:p>
    <w:p w14:paraId="413656C5" w14:textId="77777777" w:rsidR="00024BF2" w:rsidRPr="00024BF2" w:rsidRDefault="00024BF2" w:rsidP="006501B5">
      <w:pPr>
        <w:keepNext/>
        <w:tabs>
          <w:tab w:val="left" w:pos="567"/>
        </w:tabs>
        <w:autoSpaceDE w:val="0"/>
        <w:spacing w:before="240" w:after="240"/>
        <w:jc w:val="both"/>
        <w:rPr>
          <w:b/>
          <w:bCs/>
        </w:rPr>
      </w:pPr>
      <w:r w:rsidRPr="00C5571E">
        <w:rPr>
          <w:b/>
          <w:bCs/>
        </w:rPr>
        <w:t>(4)</w:t>
      </w:r>
      <w:r w:rsidRPr="00C5571E">
        <w:rPr>
          <w:b/>
          <w:bCs/>
        </w:rPr>
        <w:tab/>
      </w:r>
      <w:r>
        <w:rPr>
          <w:b/>
          <w:bCs/>
        </w:rPr>
        <w:t>What is the law of Hyderabad</w:t>
      </w:r>
      <w:r w:rsidR="00682453">
        <w:rPr>
          <w:b/>
          <w:bCs/>
        </w:rPr>
        <w:t xml:space="preserve"> on this point?</w:t>
      </w:r>
    </w:p>
    <w:p w14:paraId="5CAB8D72" w14:textId="77777777" w:rsidR="00024BF2" w:rsidRDefault="007E195D" w:rsidP="004569CA">
      <w:pPr>
        <w:numPr>
          <w:ilvl w:val="0"/>
          <w:numId w:val="2"/>
        </w:numPr>
        <w:autoSpaceDE w:val="0"/>
        <w:spacing w:before="240" w:after="240"/>
        <w:jc w:val="both"/>
      </w:pPr>
      <w:r>
        <w:t xml:space="preserve">Having concluded that the law of Hyderabad is the </w:t>
      </w:r>
      <w:r w:rsidR="006C5474">
        <w:t xml:space="preserve">properly </w:t>
      </w:r>
      <w:r>
        <w:t>applicable law</w:t>
      </w:r>
      <w:r w:rsidR="0006764E">
        <w:t>, I turn to consider</w:t>
      </w:r>
      <w:r w:rsidR="00BF0468">
        <w:t xml:space="preserve"> the nature of Nizam VII’s authority according to that law.</w:t>
      </w:r>
    </w:p>
    <w:p w14:paraId="3C5E2C00" w14:textId="77777777" w:rsidR="00BF0468" w:rsidRDefault="008C45F9" w:rsidP="004569CA">
      <w:pPr>
        <w:numPr>
          <w:ilvl w:val="0"/>
          <w:numId w:val="2"/>
        </w:numPr>
        <w:autoSpaceDE w:val="0"/>
        <w:spacing w:before="240" w:after="240"/>
        <w:jc w:val="both"/>
      </w:pPr>
      <w:r>
        <w:t>I make the following findings:</w:t>
      </w:r>
    </w:p>
    <w:p w14:paraId="03CAD0D3" w14:textId="77777777" w:rsidR="008C45F9" w:rsidRDefault="008C45F9" w:rsidP="008C45F9">
      <w:pPr>
        <w:numPr>
          <w:ilvl w:val="1"/>
          <w:numId w:val="2"/>
        </w:numPr>
        <w:autoSpaceDE w:val="0"/>
        <w:spacing w:before="240" w:after="240"/>
        <w:jc w:val="both"/>
      </w:pPr>
      <w:r>
        <w:t>Nizam VII was an absolute monarch</w:t>
      </w:r>
      <w:r w:rsidR="00001AA8">
        <w:t>.</w:t>
      </w:r>
      <w:r w:rsidR="004C3BEB">
        <w:rPr>
          <w:rStyle w:val="FootnoteReference"/>
        </w:rPr>
        <w:footnoteReference w:id="140"/>
      </w:r>
      <w:r w:rsidR="00592C84">
        <w:t xml:space="preserve"> There was no distinction between the Nizam’s privy purse </w:t>
      </w:r>
      <w:r w:rsidR="00116C6F">
        <w:t>and the public funds of Hyderabad.</w:t>
      </w:r>
      <w:r w:rsidR="00116C6F">
        <w:rPr>
          <w:rStyle w:val="FootnoteReference"/>
        </w:rPr>
        <w:footnoteReference w:id="141"/>
      </w:r>
      <w:r w:rsidR="00116C6F">
        <w:t xml:space="preserve"> </w:t>
      </w:r>
      <w:r w:rsidR="005720E4">
        <w:t xml:space="preserve">The Nizam’s rights and powers over such property </w:t>
      </w:r>
      <w:r w:rsidR="00A37CDB">
        <w:t>were not restricted, and he was free to appropriate or dispose of such property</w:t>
      </w:r>
      <w:r w:rsidR="0047158A">
        <w:t xml:space="preserve"> at any time and for any purpose, whether public or otherwise, as he thought fit.</w:t>
      </w:r>
      <w:r w:rsidR="0047158A">
        <w:rPr>
          <w:rStyle w:val="FootnoteReference"/>
        </w:rPr>
        <w:footnoteReference w:id="142"/>
      </w:r>
      <w:r w:rsidR="0047158A">
        <w:t xml:space="preserve"> </w:t>
      </w:r>
    </w:p>
    <w:p w14:paraId="16B9D372" w14:textId="77777777" w:rsidR="002D5B9C" w:rsidRDefault="008E636C" w:rsidP="008E636C">
      <w:pPr>
        <w:numPr>
          <w:ilvl w:val="1"/>
          <w:numId w:val="2"/>
        </w:numPr>
        <w:autoSpaceDE w:val="0"/>
        <w:spacing w:before="240" w:after="240"/>
        <w:jc w:val="both"/>
      </w:pPr>
      <w:r>
        <w:t>The Nizam was capable of delegating power</w:t>
      </w:r>
      <w:r w:rsidR="00737F0B">
        <w:t xml:space="preserve">, and </w:t>
      </w:r>
      <w:r w:rsidR="00C74BEF">
        <w:t xml:space="preserve">he </w:t>
      </w:r>
      <w:r w:rsidR="00737F0B">
        <w:t xml:space="preserve">could </w:t>
      </w:r>
      <w:r w:rsidR="00C74BEF">
        <w:t xml:space="preserve">and did </w:t>
      </w:r>
      <w:r w:rsidR="00737F0B">
        <w:t xml:space="preserve">do so by way of formal and complex documents. However, these documents </w:t>
      </w:r>
      <w:r w:rsidR="00367440">
        <w:t>operated as means whereby the Nizam could exercise his power</w:t>
      </w:r>
      <w:r w:rsidR="00141BBC">
        <w:t xml:space="preserve"> through delegation</w:t>
      </w:r>
      <w:r w:rsidR="00367440">
        <w:t xml:space="preserve"> and did not constitute a constraint on </w:t>
      </w:r>
      <w:r w:rsidR="0078232E">
        <w:t>his</w:t>
      </w:r>
      <w:r w:rsidR="00367440">
        <w:t xml:space="preserve"> power. </w:t>
      </w:r>
      <w:r w:rsidR="004412D5">
        <w:t>R</w:t>
      </w:r>
      <w:r w:rsidR="00141BBC">
        <w:t>ules</w:t>
      </w:r>
      <w:r w:rsidR="004412D5">
        <w:t xml:space="preserve"> of this sort</w:t>
      </w:r>
      <w:r w:rsidR="00141BBC">
        <w:t xml:space="preserve"> </w:t>
      </w:r>
      <w:r w:rsidR="00FF40BC">
        <w:t xml:space="preserve">could be revoked or suspended </w:t>
      </w:r>
      <w:r w:rsidR="00141BBC">
        <w:t xml:space="preserve">or overridden </w:t>
      </w:r>
      <w:r w:rsidR="00FF40BC">
        <w:t xml:space="preserve">by </w:t>
      </w:r>
      <w:r w:rsidR="00141BBC">
        <w:t xml:space="preserve">the Nizam </w:t>
      </w:r>
      <w:r w:rsidR="00FF40BC">
        <w:t>at any time.</w:t>
      </w:r>
      <w:r w:rsidR="00141BBC">
        <w:rPr>
          <w:rStyle w:val="FootnoteReference"/>
        </w:rPr>
        <w:footnoteReference w:id="143"/>
      </w:r>
    </w:p>
    <w:p w14:paraId="71F17701" w14:textId="77777777" w:rsidR="00661505" w:rsidRDefault="00746CB9" w:rsidP="008E636C">
      <w:pPr>
        <w:numPr>
          <w:ilvl w:val="1"/>
          <w:numId w:val="2"/>
        </w:numPr>
        <w:autoSpaceDE w:val="0"/>
        <w:spacing w:before="240" w:after="240"/>
        <w:jc w:val="both"/>
      </w:pPr>
      <w:r>
        <w:lastRenderedPageBreak/>
        <w:t xml:space="preserve">Although the Nizam might operate </w:t>
      </w:r>
      <w:r w:rsidR="00E20038">
        <w:t xml:space="preserve">formally – through edicts known as “firmans” </w:t>
      </w:r>
      <w:r w:rsidR="00223ED7">
        <w:t>–</w:t>
      </w:r>
      <w:r w:rsidR="00E20038">
        <w:t xml:space="preserve"> </w:t>
      </w:r>
      <w:r w:rsidR="00223ED7">
        <w:t>his orders might equally well be given informally</w:t>
      </w:r>
      <w:r w:rsidR="00A03890">
        <w:t>, even verbally.</w:t>
      </w:r>
      <w:r w:rsidR="00690FF1">
        <w:t xml:space="preserve"> </w:t>
      </w:r>
      <w:r w:rsidR="00C639EF">
        <w:t xml:space="preserve">In this case, a number of significant transactions – in addition to the </w:t>
      </w:r>
      <w:r w:rsidR="00D81910">
        <w:t>T</w:t>
      </w:r>
      <w:r w:rsidR="00C639EF">
        <w:t xml:space="preserve">ransfer itself </w:t>
      </w:r>
      <w:r w:rsidR="00466E5F">
        <w:t>–</w:t>
      </w:r>
      <w:r w:rsidR="00C639EF">
        <w:t xml:space="preserve"> </w:t>
      </w:r>
      <w:r w:rsidR="00466E5F">
        <w:t xml:space="preserve">took place without specific sanction of Nizam VII. </w:t>
      </w:r>
      <w:r w:rsidR="00B95680">
        <w:t xml:space="preserve">Thus, </w:t>
      </w:r>
      <w:r w:rsidR="00EA56AD">
        <w:t>the creation</w:t>
      </w:r>
      <w:r w:rsidR="008C3D94">
        <w:t xml:space="preserve"> of the Hyderabad </w:t>
      </w:r>
      <w:r w:rsidR="004412D5">
        <w:t>State Bank</w:t>
      </w:r>
      <w:r w:rsidR="00272375">
        <w:t xml:space="preserve"> Account and the creation of the Second Account, as well as the transfers of money </w:t>
      </w:r>
      <w:r w:rsidR="00D81910">
        <w:t>out of an</w:t>
      </w:r>
      <w:r w:rsidR="00820095">
        <w:t>d</w:t>
      </w:r>
      <w:r w:rsidR="00D81910">
        <w:t xml:space="preserve"> </w:t>
      </w:r>
      <w:r w:rsidR="00272375">
        <w:t>between these accounts</w:t>
      </w:r>
      <w:r w:rsidR="00C6263A">
        <w:t>, were not explicitly authorised by Nizam VII. It is, of course, possible that the relevant actors considered</w:t>
      </w:r>
      <w:r w:rsidR="00CC454B">
        <w:t xml:space="preserve"> that these powers </w:t>
      </w:r>
      <w:r w:rsidR="00386C90">
        <w:t>had been</w:t>
      </w:r>
      <w:r w:rsidR="00CC454B">
        <w:t xml:space="preserve"> delegated to them</w:t>
      </w:r>
      <w:r w:rsidR="00E663DC">
        <w:t>, and that specific intervention by the Nizam was unnecessary</w:t>
      </w:r>
      <w:r w:rsidR="00386C90">
        <w:t xml:space="preserve">. I did not have the benefit of submissions as to </w:t>
      </w:r>
      <w:r w:rsidR="002750AF">
        <w:t>whether these acts could be justified by reference to specific delegated or written authority</w:t>
      </w:r>
      <w:r w:rsidR="006B1B38">
        <w:t xml:space="preserve">, </w:t>
      </w:r>
      <w:r w:rsidR="00D81910">
        <w:t>but</w:t>
      </w:r>
      <w:r w:rsidR="00A75FFE">
        <w:t xml:space="preserve"> I am by no means persuaded that this was so in each and every case</w:t>
      </w:r>
      <w:r w:rsidR="00E663DC">
        <w:t xml:space="preserve">. </w:t>
      </w:r>
      <w:r w:rsidR="006B1B38">
        <w:t>It is unnecessary to go into this question in any detail, because all of the parties before me accepted that Nizam VII could act</w:t>
      </w:r>
      <w:r w:rsidR="002711EB">
        <w:t>, authorise and delegate formally or informally according to his will.</w:t>
      </w:r>
      <w:r w:rsidR="00C32E2F">
        <w:t xml:space="preserve"> It was not contended by any of the parties that </w:t>
      </w:r>
      <w:r w:rsidR="00C32E2F">
        <w:rPr>
          <w:u w:val="single"/>
        </w:rPr>
        <w:t>these acts</w:t>
      </w:r>
      <w:r w:rsidR="00C32E2F">
        <w:t xml:space="preserve"> – that is, the establishment of the Hyderabad State Bank Account</w:t>
      </w:r>
      <w:r w:rsidR="00FF3154">
        <w:t xml:space="preserve"> and the establishment of the Second Account, nor any of the dealings on these accounts, apart from the Transfer itself </w:t>
      </w:r>
      <w:r w:rsidR="00F14146">
        <w:t>–</w:t>
      </w:r>
      <w:r w:rsidR="00FF3154">
        <w:t xml:space="preserve"> </w:t>
      </w:r>
      <w:r w:rsidR="00F14146">
        <w:t xml:space="preserve">were done without the authority of Nizam VII, even though no formal instruction, whether </w:t>
      </w:r>
      <w:r w:rsidR="00DB4773">
        <w:t>by way of “firman” or otherwise, could be identified.</w:t>
      </w:r>
    </w:p>
    <w:p w14:paraId="576F6337" w14:textId="77777777" w:rsidR="00850B80" w:rsidRPr="00850B80" w:rsidRDefault="00850B80" w:rsidP="00DB4773">
      <w:pPr>
        <w:keepNext/>
        <w:tabs>
          <w:tab w:val="left" w:pos="567"/>
        </w:tabs>
        <w:autoSpaceDE w:val="0"/>
        <w:spacing w:before="240" w:after="240"/>
        <w:jc w:val="both"/>
        <w:rPr>
          <w:b/>
          <w:bCs/>
        </w:rPr>
      </w:pPr>
      <w:r>
        <w:rPr>
          <w:b/>
          <w:bCs/>
        </w:rPr>
        <w:t>(5)</w:t>
      </w:r>
      <w:r>
        <w:rPr>
          <w:b/>
          <w:bCs/>
        </w:rPr>
        <w:tab/>
        <w:t>The authority of Moin</w:t>
      </w:r>
      <w:r w:rsidR="00F90C58">
        <w:rPr>
          <w:b/>
          <w:bCs/>
        </w:rPr>
        <w:t xml:space="preserve"> as a </w:t>
      </w:r>
      <w:r w:rsidR="00DB23B7">
        <w:rPr>
          <w:b/>
          <w:bCs/>
        </w:rPr>
        <w:t>Hyderabad Government official</w:t>
      </w:r>
    </w:p>
    <w:p w14:paraId="673E0693" w14:textId="77777777" w:rsidR="00850B80" w:rsidRDefault="008A10FE" w:rsidP="004569CA">
      <w:pPr>
        <w:numPr>
          <w:ilvl w:val="0"/>
          <w:numId w:val="2"/>
        </w:numPr>
        <w:autoSpaceDE w:val="0"/>
        <w:spacing w:before="240" w:after="240"/>
        <w:jc w:val="both"/>
      </w:pPr>
      <w:r>
        <w:t>I will consider</w:t>
      </w:r>
      <w:r w:rsidR="00DB23B7">
        <w:t xml:space="preserve"> and make findings in relation to the authority that </w:t>
      </w:r>
      <w:r w:rsidR="00C44DA2">
        <w:t>Moin had at the time</w:t>
      </w:r>
      <w:r w:rsidR="00E67FF5">
        <w:t xml:space="preserve"> of the Transfer</w:t>
      </w:r>
      <w:r w:rsidR="00DB23B7">
        <w:t xml:space="preserve"> later on in the Judgment</w:t>
      </w:r>
      <w:r w:rsidR="00E67FF5">
        <w:t>.</w:t>
      </w:r>
      <w:r w:rsidR="00DB23B7">
        <w:rPr>
          <w:rStyle w:val="FootnoteReference"/>
        </w:rPr>
        <w:footnoteReference w:id="144"/>
      </w:r>
      <w:r w:rsidR="00E67FF5">
        <w:t xml:space="preserve"> </w:t>
      </w:r>
      <w:r w:rsidR="007A57D6">
        <w:t xml:space="preserve">However, it seems to me to be clear that Moin cannot have had any authority deriving from </w:t>
      </w:r>
      <w:r w:rsidR="002B2F41">
        <w:t>his position as an official in the Government of Hyderabad</w:t>
      </w:r>
      <w:r w:rsidR="00DB23B7">
        <w:t>.</w:t>
      </w:r>
      <w:r w:rsidR="002B2F41">
        <w:t xml:space="preserve"> </w:t>
      </w:r>
      <w:r w:rsidR="00DB23B7">
        <w:t>T</w:t>
      </w:r>
      <w:r w:rsidR="002B2F41">
        <w:t>hat authority ceased on 17 September 1948</w:t>
      </w:r>
      <w:r w:rsidR="00DB23B7">
        <w:t>, when Nizam VII accepted his Government’s resignation</w:t>
      </w:r>
      <w:r w:rsidR="002B2F41">
        <w:t>.</w:t>
      </w:r>
      <w:r w:rsidR="00DB23B7">
        <w:rPr>
          <w:rStyle w:val="FootnoteReference"/>
        </w:rPr>
        <w:footnoteReference w:id="145"/>
      </w:r>
    </w:p>
    <w:p w14:paraId="518F2E30" w14:textId="77777777" w:rsidR="00823FE8" w:rsidRDefault="00821A99" w:rsidP="004569CA">
      <w:pPr>
        <w:numPr>
          <w:ilvl w:val="0"/>
          <w:numId w:val="2"/>
        </w:numPr>
        <w:autoSpaceDE w:val="0"/>
        <w:spacing w:before="240" w:after="240"/>
        <w:jc w:val="both"/>
      </w:pPr>
      <w:r>
        <w:t xml:space="preserve">I do not consider that it is possible to say that Moin’s authority </w:t>
      </w:r>
      <w:r w:rsidR="00E32FCF">
        <w:t xml:space="preserve">as an official of the </w:t>
      </w:r>
      <w:r w:rsidR="00810357">
        <w:t>G</w:t>
      </w:r>
      <w:r w:rsidR="00E32FCF">
        <w:t xml:space="preserve">overnment of Hyderabad </w:t>
      </w:r>
      <w:r>
        <w:t>continued</w:t>
      </w:r>
      <w:r w:rsidR="00E32FCF">
        <w:t xml:space="preserve">, notwithstanding the resignation of the </w:t>
      </w:r>
      <w:r w:rsidR="00810357">
        <w:t>G</w:t>
      </w:r>
      <w:r w:rsidR="00E32FCF">
        <w:t>overnment</w:t>
      </w:r>
      <w:r w:rsidR="007D6E6F">
        <w:t xml:space="preserve">, because Nizam VII was in some way under duress. </w:t>
      </w:r>
      <w:r w:rsidR="00480D14">
        <w:t xml:space="preserve">That, I consider, would be to second guess the internal constitutional arrangements of Hyderabad. The Nizam was an absolute ruler: </w:t>
      </w:r>
      <w:r w:rsidR="001D192C">
        <w:t>having recognised his state and his position</w:t>
      </w:r>
      <w:r w:rsidR="000B5E4D">
        <w:t>,</w:t>
      </w:r>
      <w:r w:rsidR="001D192C">
        <w:t xml:space="preserve"> at this time,</w:t>
      </w:r>
      <w:r w:rsidR="000B5E4D">
        <w:t xml:space="preserve"> as the ruler of that state, </w:t>
      </w:r>
      <w:r w:rsidR="006677FC">
        <w:t>I am compelled – by the foreign act of state doctrine</w:t>
      </w:r>
      <w:r w:rsidR="001D192C">
        <w:t xml:space="preserve"> </w:t>
      </w:r>
      <w:r w:rsidR="006677FC">
        <w:t xml:space="preserve">articulated in paragraph </w:t>
      </w:r>
      <w:r w:rsidR="000F4B5A" w:rsidRPr="000F2E99">
        <w:t>183(4)</w:t>
      </w:r>
      <w:r w:rsidR="006677FC">
        <w:t xml:space="preserve"> above – to </w:t>
      </w:r>
      <w:r w:rsidR="001D192C">
        <w:t>recognise his authority</w:t>
      </w:r>
      <w:r w:rsidR="00353450">
        <w:t xml:space="preserve"> and pay it proper regard</w:t>
      </w:r>
      <w:r w:rsidR="001D192C">
        <w:t>.</w:t>
      </w:r>
      <w:r w:rsidR="00353450">
        <w:t xml:space="preserve"> The Ni</w:t>
      </w:r>
      <w:r w:rsidR="00353450" w:rsidRPr="00F15487">
        <w:t xml:space="preserve">zam was undoubtedly capable of dismissing his Government or accepting its resignation, and he did so. </w:t>
      </w:r>
      <w:r w:rsidR="00DC6270" w:rsidRPr="00F15487">
        <w:t xml:space="preserve">At that point, Moin’s authority (for the purposes of this Judgment, at least) </w:t>
      </w:r>
      <w:r w:rsidR="00F15487" w:rsidRPr="00F15487">
        <w:t>as Finance Minister and Minister for External Affairs in Nizam VII’s Government ended.</w:t>
      </w:r>
    </w:p>
    <w:p w14:paraId="7CEBB9C8" w14:textId="77777777" w:rsidR="00810357" w:rsidRDefault="00810357" w:rsidP="004569CA">
      <w:pPr>
        <w:numPr>
          <w:ilvl w:val="0"/>
          <w:numId w:val="2"/>
        </w:numPr>
        <w:autoSpaceDE w:val="0"/>
        <w:spacing w:before="240" w:after="240"/>
        <w:jc w:val="both"/>
      </w:pPr>
      <w:r>
        <w:t>That does not mean to say that Nizam VII did not confer authority on Moin informally – independent of his role as a</w:t>
      </w:r>
      <w:r w:rsidR="00F15487">
        <w:t xml:space="preserve"> Government</w:t>
      </w:r>
      <w:r>
        <w:t xml:space="preserve"> official. That</w:t>
      </w:r>
      <w:r w:rsidR="00DB435C">
        <w:t>, as I say,</w:t>
      </w:r>
      <w:r>
        <w:t xml:space="preserve"> is a matter I will consider</w:t>
      </w:r>
      <w:r w:rsidR="00F15487">
        <w:t xml:space="preserve"> in due course</w:t>
      </w:r>
      <w:r>
        <w:t>.</w:t>
      </w:r>
    </w:p>
    <w:p w14:paraId="7A431F65" w14:textId="77777777" w:rsidR="007D7AC9" w:rsidRPr="00A76C3B" w:rsidRDefault="004B6CC4" w:rsidP="00B14474">
      <w:pPr>
        <w:keepNext/>
        <w:tabs>
          <w:tab w:val="left" w:pos="567"/>
        </w:tabs>
        <w:autoSpaceDE w:val="0"/>
        <w:spacing w:before="240" w:after="240"/>
        <w:ind w:left="567" w:hanging="567"/>
        <w:jc w:val="both"/>
        <w:rPr>
          <w:b/>
          <w:bCs/>
        </w:rPr>
      </w:pPr>
      <w:r>
        <w:rPr>
          <w:b/>
          <w:bCs/>
        </w:rPr>
        <w:lastRenderedPageBreak/>
        <w:t>G</w:t>
      </w:r>
      <w:r w:rsidR="00A76C3B">
        <w:rPr>
          <w:b/>
          <w:bCs/>
        </w:rPr>
        <w:t>.</w:t>
      </w:r>
      <w:r w:rsidR="00A76C3B">
        <w:rPr>
          <w:b/>
          <w:bCs/>
        </w:rPr>
        <w:tab/>
      </w:r>
      <w:r w:rsidR="00703FEA">
        <w:rPr>
          <w:b/>
          <w:bCs/>
        </w:rPr>
        <w:t>ABSOLUTE TRANSFER</w:t>
      </w:r>
      <w:r w:rsidR="00F067C8">
        <w:rPr>
          <w:b/>
          <w:bCs/>
        </w:rPr>
        <w:t xml:space="preserve"> OF THE FUND</w:t>
      </w:r>
      <w:r w:rsidR="00703FEA">
        <w:rPr>
          <w:b/>
          <w:bCs/>
        </w:rPr>
        <w:t xml:space="preserve">: </w:t>
      </w:r>
      <w:r w:rsidR="000C1DE3">
        <w:rPr>
          <w:b/>
          <w:bCs/>
        </w:rPr>
        <w:t>THE ARMS FOR MONEY ARGUMENT</w:t>
      </w:r>
    </w:p>
    <w:p w14:paraId="7C185BB3" w14:textId="77777777" w:rsidR="0013751A" w:rsidRPr="0013751A" w:rsidRDefault="0013751A" w:rsidP="00B14474">
      <w:pPr>
        <w:keepNext/>
        <w:tabs>
          <w:tab w:val="left" w:pos="567"/>
        </w:tabs>
        <w:autoSpaceDE w:val="0"/>
        <w:spacing w:before="240" w:after="240"/>
        <w:jc w:val="both"/>
        <w:rPr>
          <w:b/>
          <w:bCs/>
        </w:rPr>
      </w:pPr>
      <w:r>
        <w:rPr>
          <w:b/>
          <w:bCs/>
        </w:rPr>
        <w:t>(1)</w:t>
      </w:r>
      <w:r>
        <w:rPr>
          <w:b/>
          <w:bCs/>
        </w:rPr>
        <w:tab/>
      </w:r>
      <w:r w:rsidR="00A33CE0">
        <w:rPr>
          <w:b/>
          <w:bCs/>
        </w:rPr>
        <w:t>Introduction</w:t>
      </w:r>
    </w:p>
    <w:p w14:paraId="4D82E587" w14:textId="77777777" w:rsidR="007B57A4" w:rsidRDefault="00412620" w:rsidP="004569CA">
      <w:pPr>
        <w:numPr>
          <w:ilvl w:val="0"/>
          <w:numId w:val="2"/>
        </w:numPr>
        <w:autoSpaceDE w:val="0"/>
        <w:spacing w:before="240" w:after="240"/>
        <w:jc w:val="both"/>
      </w:pPr>
      <w:r>
        <w:t xml:space="preserve">Pakistan’s case was summarised </w:t>
      </w:r>
      <w:r w:rsidR="004C359D">
        <w:t xml:space="preserve">in paragraph </w:t>
      </w:r>
      <w:r w:rsidR="00DE6651">
        <w:t>17(1)</w:t>
      </w:r>
      <w:r w:rsidR="004C359D">
        <w:t xml:space="preserve"> above. </w:t>
      </w:r>
      <w:r w:rsidR="00EE497C">
        <w:t xml:space="preserve">In essence, </w:t>
      </w:r>
      <w:r w:rsidR="002157F8">
        <w:t>Pakistan’s case</w:t>
      </w:r>
      <w:r w:rsidR="00F645F8">
        <w:t xml:space="preserve"> was that the Transfer was </w:t>
      </w:r>
      <w:r w:rsidR="00E73B06">
        <w:t xml:space="preserve">made </w:t>
      </w:r>
      <w:r w:rsidR="00F645F8">
        <w:t>to compensate/reimburse/indemnify Pakistan for assistance provided by her in procuring/facilitating the supply and/or transportation of weapons.</w:t>
      </w:r>
    </w:p>
    <w:p w14:paraId="31AC3D7E" w14:textId="77777777" w:rsidR="001C4DC7" w:rsidRDefault="0075711F" w:rsidP="004569CA">
      <w:pPr>
        <w:numPr>
          <w:ilvl w:val="0"/>
          <w:numId w:val="2"/>
        </w:numPr>
        <w:autoSpaceDE w:val="0"/>
        <w:spacing w:before="240" w:after="240"/>
        <w:jc w:val="both"/>
      </w:pPr>
      <w:r>
        <w:t xml:space="preserve">In Further Information of her pleadings provided by Pakistan, it was suggested that the </w:t>
      </w:r>
      <w:r w:rsidR="00E92492">
        <w:t>circumstances in which the Hyderabad Government Account and the Second Account were set up an</w:t>
      </w:r>
      <w:r w:rsidR="00714666">
        <w:t>d</w:t>
      </w:r>
      <w:r w:rsidR="00E92492">
        <w:t xml:space="preserve"> operated </w:t>
      </w:r>
      <w:r w:rsidR="009E3CEA">
        <w:t xml:space="preserve">suggested a close connection with the clandestine supply of arms to Hyderabad </w:t>
      </w:r>
      <w:r w:rsidR="00F80588">
        <w:t xml:space="preserve">by or through the good offices of Pakistan. Accordingly, </w:t>
      </w:r>
      <w:r w:rsidR="002A0B39">
        <w:t xml:space="preserve">so Pakistan contended, </w:t>
      </w:r>
      <w:r w:rsidR="00F80588">
        <w:t>the purpose and operation of these accounts might very well</w:t>
      </w:r>
      <w:r w:rsidR="001107F0">
        <w:t xml:space="preserve"> assist in inferring the true intentions of the relevant parties when the Transfer was made and the Fund established.</w:t>
      </w:r>
      <w:r w:rsidR="001107F0">
        <w:rPr>
          <w:rStyle w:val="FootnoteReference"/>
        </w:rPr>
        <w:footnoteReference w:id="146"/>
      </w:r>
    </w:p>
    <w:p w14:paraId="37BFCF42" w14:textId="77777777" w:rsidR="00E8572C" w:rsidRDefault="00036836" w:rsidP="005625B0">
      <w:pPr>
        <w:numPr>
          <w:ilvl w:val="0"/>
          <w:numId w:val="2"/>
        </w:numPr>
        <w:autoSpaceDE w:val="0"/>
        <w:spacing w:before="240" w:after="240"/>
        <w:jc w:val="both"/>
      </w:pPr>
      <w:r>
        <w:t>There</w:t>
      </w:r>
      <w:r w:rsidR="00446E0C">
        <w:t xml:space="preserve"> is</w:t>
      </w:r>
      <w:r>
        <w:t xml:space="preserve">, as it seems to me, considerable force in this point. </w:t>
      </w:r>
      <w:r w:rsidR="001642FE">
        <w:t>I</w:t>
      </w:r>
      <w:r w:rsidR="00D24E57">
        <w:t>t is necessary to consider</w:t>
      </w:r>
      <w:r w:rsidR="00E8572C">
        <w:t>:</w:t>
      </w:r>
    </w:p>
    <w:p w14:paraId="547EF190" w14:textId="77777777" w:rsidR="00E8572C" w:rsidRDefault="00E8572C" w:rsidP="00E8572C">
      <w:pPr>
        <w:numPr>
          <w:ilvl w:val="1"/>
          <w:numId w:val="2"/>
        </w:numPr>
        <w:autoSpaceDE w:val="0"/>
        <w:spacing w:before="240" w:after="240"/>
        <w:jc w:val="both"/>
      </w:pPr>
      <w:r>
        <w:t>F</w:t>
      </w:r>
      <w:r w:rsidR="00D24E57">
        <w:t>irst</w:t>
      </w:r>
      <w:r>
        <w:t>,</w:t>
      </w:r>
      <w:r w:rsidR="00D24E57">
        <w:t xml:space="preserve"> whether there was pro</w:t>
      </w:r>
      <w:r w:rsidR="005625B0">
        <w:t>vision of</w:t>
      </w:r>
      <w:r w:rsidR="0054746D">
        <w:t xml:space="preserve"> arms to </w:t>
      </w:r>
      <w:r w:rsidR="006B7011">
        <w:t>Pakistan and to Hyderabad at this time</w:t>
      </w:r>
      <w:r w:rsidR="005625B0">
        <w:t xml:space="preserve"> and </w:t>
      </w:r>
      <w:r>
        <w:t xml:space="preserve">what the purpose of such provision was: </w:t>
      </w:r>
      <w:r w:rsidR="005625B0">
        <w:t xml:space="preserve">Section G(2) below. </w:t>
      </w:r>
    </w:p>
    <w:p w14:paraId="2506124E" w14:textId="77777777" w:rsidR="0099559C" w:rsidRDefault="00E8572C" w:rsidP="00E8572C">
      <w:pPr>
        <w:numPr>
          <w:ilvl w:val="1"/>
          <w:numId w:val="2"/>
        </w:numPr>
        <w:autoSpaceDE w:val="0"/>
        <w:spacing w:before="240" w:after="240"/>
        <w:jc w:val="both"/>
      </w:pPr>
      <w:r>
        <w:t xml:space="preserve">Secondly, the extent to which </w:t>
      </w:r>
      <w:r w:rsidR="00FC0B56">
        <w:t xml:space="preserve">Hyderabad was involved in this provision of arms: Section G(3) below. </w:t>
      </w:r>
    </w:p>
    <w:p w14:paraId="74F910E0" w14:textId="77777777" w:rsidR="001B7F14" w:rsidRDefault="001D704E" w:rsidP="001B7F14">
      <w:pPr>
        <w:numPr>
          <w:ilvl w:val="1"/>
          <w:numId w:val="2"/>
        </w:numPr>
        <w:autoSpaceDE w:val="0"/>
        <w:spacing w:before="240" w:after="240"/>
        <w:jc w:val="both"/>
      </w:pPr>
      <w:r>
        <w:t>Thirdly, the extent to which a connection can be made between the Transfer</w:t>
      </w:r>
      <w:r w:rsidR="001B7F14">
        <w:t>, the provision of weapons, and Hyderabad’s involvement in th</w:t>
      </w:r>
      <w:r w:rsidR="00691692">
        <w:t>e provision of weapons: Section G(4) below.</w:t>
      </w:r>
    </w:p>
    <w:p w14:paraId="120959B7" w14:textId="77777777" w:rsidR="00B13223" w:rsidRDefault="00B13223" w:rsidP="00B13223">
      <w:pPr>
        <w:autoSpaceDE w:val="0"/>
        <w:spacing w:before="240" w:after="240"/>
        <w:ind w:left="567"/>
        <w:jc w:val="both"/>
      </w:pPr>
      <w:r>
        <w:t>My conclusions are stated in Section G(5) below.</w:t>
      </w:r>
    </w:p>
    <w:p w14:paraId="0BC36A2C" w14:textId="77777777" w:rsidR="00BC084D" w:rsidRPr="00F5496B" w:rsidRDefault="00F5496B" w:rsidP="008A20C8">
      <w:pPr>
        <w:keepNext/>
        <w:tabs>
          <w:tab w:val="left" w:pos="567"/>
        </w:tabs>
        <w:autoSpaceDE w:val="0"/>
        <w:spacing w:before="240" w:after="240"/>
        <w:jc w:val="both"/>
        <w:rPr>
          <w:b/>
          <w:bCs/>
        </w:rPr>
      </w:pPr>
      <w:r>
        <w:rPr>
          <w:b/>
          <w:bCs/>
        </w:rPr>
        <w:t>(2)</w:t>
      </w:r>
      <w:r>
        <w:rPr>
          <w:b/>
          <w:bCs/>
        </w:rPr>
        <w:tab/>
      </w:r>
      <w:r w:rsidR="00F3023A">
        <w:rPr>
          <w:b/>
          <w:bCs/>
        </w:rPr>
        <w:t xml:space="preserve">The </w:t>
      </w:r>
      <w:r w:rsidR="00273C8E">
        <w:rPr>
          <w:b/>
          <w:bCs/>
        </w:rPr>
        <w:t xml:space="preserve">provision of </w:t>
      </w:r>
      <w:r w:rsidR="008D742F">
        <w:rPr>
          <w:b/>
          <w:bCs/>
        </w:rPr>
        <w:t>weapons</w:t>
      </w:r>
      <w:r w:rsidR="00273C8E">
        <w:rPr>
          <w:b/>
          <w:bCs/>
        </w:rPr>
        <w:t xml:space="preserve"> </w:t>
      </w:r>
      <w:r w:rsidR="000A636F">
        <w:rPr>
          <w:b/>
          <w:bCs/>
        </w:rPr>
        <w:t>in</w:t>
      </w:r>
      <w:r w:rsidR="00273C8E">
        <w:rPr>
          <w:b/>
          <w:bCs/>
        </w:rPr>
        <w:t xml:space="preserve"> Pakistan and Hyderabad</w:t>
      </w:r>
    </w:p>
    <w:p w14:paraId="62CCBF4C" w14:textId="77777777" w:rsidR="00F3023A" w:rsidRDefault="00BE05F0" w:rsidP="004569CA">
      <w:pPr>
        <w:numPr>
          <w:ilvl w:val="0"/>
          <w:numId w:val="2"/>
        </w:numPr>
        <w:autoSpaceDE w:val="0"/>
        <w:spacing w:before="240" w:after="240"/>
        <w:jc w:val="both"/>
      </w:pPr>
      <w:r>
        <w:t xml:space="preserve">There is no shortage of contemporaneous evidence showing that </w:t>
      </w:r>
      <w:r w:rsidR="002F28E1">
        <w:t>weapons</w:t>
      </w:r>
      <w:r w:rsidR="0076188B">
        <w:t xml:space="preserve"> were being imported into Hyderabad</w:t>
      </w:r>
      <w:r w:rsidR="00BE69D1">
        <w:t xml:space="preserve"> </w:t>
      </w:r>
      <w:r w:rsidR="000A21E2">
        <w:t>and/</w:t>
      </w:r>
      <w:r w:rsidR="00BE69D1">
        <w:t>or into Pakistan for use in Hyderabad</w:t>
      </w:r>
      <w:r w:rsidR="000E2436">
        <w:t xml:space="preserve"> against India</w:t>
      </w:r>
      <w:r w:rsidR="00DF59EB">
        <w:t>.</w:t>
      </w:r>
      <w:r w:rsidR="005A5586">
        <w:t xml:space="preserve"> </w:t>
      </w:r>
      <w:r w:rsidR="003037AB">
        <w:t xml:space="preserve">The weapons – or at least some of them – were </w:t>
      </w:r>
      <w:r w:rsidR="00C65C37">
        <w:t>flown into Pakistan or Hyderabad by Cotton.</w:t>
      </w:r>
    </w:p>
    <w:p w14:paraId="63D3B1FB" w14:textId="77777777" w:rsidR="001E252B" w:rsidRDefault="001E252B" w:rsidP="004569CA">
      <w:pPr>
        <w:numPr>
          <w:ilvl w:val="0"/>
          <w:numId w:val="2"/>
        </w:numPr>
        <w:autoSpaceDE w:val="0"/>
        <w:spacing w:before="240" w:after="240"/>
        <w:jc w:val="both"/>
      </w:pPr>
      <w:r>
        <w:t xml:space="preserve">A minute from Mr Attlee to the Secretary of State for Commonwealth Relations </w:t>
      </w:r>
      <w:r w:rsidR="006E5E9B">
        <w:t>dated 6 July 1948</w:t>
      </w:r>
      <w:r w:rsidR="006E5E9B">
        <w:rPr>
          <w:b/>
          <w:bCs/>
        </w:rPr>
        <w:t xml:space="preserve"> </w:t>
      </w:r>
      <w:r w:rsidR="006E5E9B">
        <w:t>references</w:t>
      </w:r>
      <w:r w:rsidR="008F6A5B">
        <w:t xml:space="preserve"> a minute from the Secretary of State regarding the flying of arms into Hyderabad. </w:t>
      </w:r>
      <w:r w:rsidR="00012142">
        <w:t xml:space="preserve">That minute attached a “note giving the facts”. </w:t>
      </w:r>
      <w:r w:rsidR="00BF536D">
        <w:t>The note provides as follows:</w:t>
      </w:r>
    </w:p>
    <w:p w14:paraId="4B5FCF30" w14:textId="77777777" w:rsidR="00BF536D" w:rsidRDefault="00BF536D" w:rsidP="00BF536D">
      <w:pPr>
        <w:autoSpaceDE w:val="0"/>
        <w:spacing w:before="240" w:after="240"/>
        <w:ind w:left="567"/>
        <w:jc w:val="both"/>
        <w:rPr>
          <w:sz w:val="22"/>
          <w:szCs w:val="22"/>
        </w:rPr>
      </w:pPr>
      <w:r>
        <w:rPr>
          <w:sz w:val="22"/>
          <w:szCs w:val="22"/>
        </w:rPr>
        <w:t>“</w:t>
      </w:r>
      <w:r w:rsidR="003D2CB7">
        <w:rPr>
          <w:sz w:val="22"/>
          <w:szCs w:val="22"/>
        </w:rPr>
        <w:t>There is reason to think</w:t>
      </w:r>
      <w:r w:rsidR="00BC3239">
        <w:rPr>
          <w:sz w:val="22"/>
          <w:szCs w:val="22"/>
        </w:rPr>
        <w:t xml:space="preserve"> that the Hyderabad Government have for some time been trying</w:t>
      </w:r>
      <w:r w:rsidR="000172F5">
        <w:rPr>
          <w:sz w:val="22"/>
          <w:szCs w:val="22"/>
        </w:rPr>
        <w:t>, with at any rate the knowledge, if not the active co-operation, of the Government of Pakistan</w:t>
      </w:r>
      <w:r w:rsidR="00064E04">
        <w:rPr>
          <w:sz w:val="22"/>
          <w:szCs w:val="22"/>
        </w:rPr>
        <w:t>, to secure supplies of arms and ammunition from Europe. The Government of India</w:t>
      </w:r>
      <w:r w:rsidR="00C76B52">
        <w:rPr>
          <w:sz w:val="22"/>
          <w:szCs w:val="22"/>
        </w:rPr>
        <w:t xml:space="preserve">, in breach of the Standstill Agreement </w:t>
      </w:r>
      <w:r w:rsidR="009069F9">
        <w:rPr>
          <w:sz w:val="22"/>
          <w:szCs w:val="22"/>
        </w:rPr>
        <w:t xml:space="preserve">of last November, have provided no supplies of arms since the transfer of power, and have not allowed </w:t>
      </w:r>
      <w:r w:rsidR="00AF5B67">
        <w:rPr>
          <w:sz w:val="22"/>
          <w:szCs w:val="22"/>
        </w:rPr>
        <w:t xml:space="preserve">any supplies from overseas to transit India territory. Hyderabad </w:t>
      </w:r>
      <w:r w:rsidR="00AF5B67">
        <w:rPr>
          <w:sz w:val="22"/>
          <w:szCs w:val="22"/>
        </w:rPr>
        <w:lastRenderedPageBreak/>
        <w:t xml:space="preserve">would no doubt justify its endeavours </w:t>
      </w:r>
      <w:r w:rsidR="007A7C80">
        <w:rPr>
          <w:sz w:val="22"/>
          <w:szCs w:val="22"/>
        </w:rPr>
        <w:t>to smuggle on the ground that they need equipment to maintain law and order</w:t>
      </w:r>
      <w:r w:rsidR="00C23496">
        <w:rPr>
          <w:sz w:val="22"/>
          <w:szCs w:val="22"/>
        </w:rPr>
        <w:t>, and that India has failed to fulfil her duty under the Standstill Agreement.</w:t>
      </w:r>
    </w:p>
    <w:p w14:paraId="359C3895" w14:textId="77777777" w:rsidR="00C23496" w:rsidRDefault="00C23496" w:rsidP="00BF536D">
      <w:pPr>
        <w:autoSpaceDE w:val="0"/>
        <w:spacing w:before="240" w:after="240"/>
        <w:ind w:left="567"/>
        <w:jc w:val="both"/>
        <w:rPr>
          <w:sz w:val="22"/>
          <w:szCs w:val="22"/>
        </w:rPr>
      </w:pPr>
      <w:r>
        <w:rPr>
          <w:sz w:val="22"/>
          <w:szCs w:val="22"/>
        </w:rPr>
        <w:t>2.</w:t>
      </w:r>
      <w:r>
        <w:rPr>
          <w:sz w:val="22"/>
          <w:szCs w:val="22"/>
        </w:rPr>
        <w:tab/>
        <w:t>The facts are very difficult to establish</w:t>
      </w:r>
      <w:r w:rsidR="0028609E">
        <w:rPr>
          <w:sz w:val="22"/>
          <w:szCs w:val="22"/>
        </w:rPr>
        <w:t>. Certain of the information</w:t>
      </w:r>
      <w:r w:rsidR="00E66D8A">
        <w:rPr>
          <w:sz w:val="22"/>
          <w:szCs w:val="22"/>
        </w:rPr>
        <w:t xml:space="preserve"> bearing on them comes from secret sources. There have also been a series of reports from Sir L Grafftey-Smith.</w:t>
      </w:r>
      <w:r w:rsidR="00220804">
        <w:rPr>
          <w:sz w:val="22"/>
          <w:szCs w:val="22"/>
        </w:rPr>
        <w:t xml:space="preserve"> But they are generally either what is common gossip in Karachi; or statements alleged to have been made in conversation </w:t>
      </w:r>
      <w:r w:rsidR="00CA4980">
        <w:rPr>
          <w:sz w:val="22"/>
          <w:szCs w:val="22"/>
        </w:rPr>
        <w:t>by either Mr Cotton, or by two Air Force officers in the Pakistan Service, or (on one occasion</w:t>
      </w:r>
      <w:r w:rsidR="001122A8">
        <w:rPr>
          <w:sz w:val="22"/>
          <w:szCs w:val="22"/>
        </w:rPr>
        <w:t>) by the Pakistan Defence Secretary.</w:t>
      </w:r>
    </w:p>
    <w:p w14:paraId="4533854B" w14:textId="77777777" w:rsidR="001122A8" w:rsidRDefault="001122A8" w:rsidP="00BF536D">
      <w:pPr>
        <w:autoSpaceDE w:val="0"/>
        <w:spacing w:before="240" w:after="240"/>
        <w:ind w:left="567"/>
        <w:jc w:val="both"/>
        <w:rPr>
          <w:sz w:val="22"/>
          <w:szCs w:val="22"/>
        </w:rPr>
      </w:pPr>
      <w:r>
        <w:rPr>
          <w:sz w:val="22"/>
          <w:szCs w:val="22"/>
        </w:rPr>
        <w:t>3.</w:t>
      </w:r>
      <w:r>
        <w:rPr>
          <w:sz w:val="22"/>
          <w:szCs w:val="22"/>
        </w:rPr>
        <w:tab/>
        <w:t>Whilst there is no serious reason to doubt that the traffic is taking place</w:t>
      </w:r>
      <w:r w:rsidR="00A977C3">
        <w:rPr>
          <w:sz w:val="22"/>
          <w:szCs w:val="22"/>
        </w:rPr>
        <w:t>, we should probably find it very difficult to establish the facts in court.”</w:t>
      </w:r>
    </w:p>
    <w:p w14:paraId="648D6DED" w14:textId="77777777" w:rsidR="00A977C3" w:rsidRPr="00C4124D" w:rsidRDefault="00A977C3" w:rsidP="00BF536D">
      <w:pPr>
        <w:autoSpaceDE w:val="0"/>
        <w:spacing w:before="240" w:after="240"/>
        <w:ind w:left="567"/>
        <w:jc w:val="both"/>
        <w:rPr>
          <w:b/>
          <w:bCs/>
        </w:rPr>
      </w:pPr>
      <w:r>
        <w:t xml:space="preserve">The note went on to list those involved </w:t>
      </w:r>
      <w:r w:rsidR="00E409F8">
        <w:t>in the smuggling of weapons. These included Mr Cotton.</w:t>
      </w:r>
    </w:p>
    <w:p w14:paraId="20BF1B94" w14:textId="77777777" w:rsidR="0076188B" w:rsidRDefault="00614923" w:rsidP="00795CF0">
      <w:pPr>
        <w:numPr>
          <w:ilvl w:val="0"/>
          <w:numId w:val="2"/>
        </w:numPr>
        <w:autoSpaceDE w:val="0"/>
        <w:spacing w:before="240" w:after="240"/>
        <w:jc w:val="both"/>
      </w:pPr>
      <w:r>
        <w:t>This note is clearly of the view that t</w:t>
      </w:r>
      <w:r w:rsidR="00BF4966">
        <w:t>he Governments of b</w:t>
      </w:r>
      <w:r w:rsidR="001D29F8">
        <w:t xml:space="preserve">oth </w:t>
      </w:r>
      <w:r w:rsidR="00B94C8E">
        <w:t xml:space="preserve">Pakistan </w:t>
      </w:r>
      <w:r w:rsidR="001D29F8">
        <w:t>and Hyderabad were</w:t>
      </w:r>
      <w:r w:rsidR="00B94C8E">
        <w:t xml:space="preserve"> involved</w:t>
      </w:r>
      <w:r w:rsidR="00B20852">
        <w:t xml:space="preserve"> in the provision of weapons</w:t>
      </w:r>
      <w:r w:rsidR="00B94C8E">
        <w:t xml:space="preserve">. </w:t>
      </w:r>
      <w:r>
        <w:t>Furthermore, i</w:t>
      </w:r>
      <w:r w:rsidR="00B94C8E">
        <w:t xml:space="preserve">n a letter from </w:t>
      </w:r>
      <w:r w:rsidR="009F2C57">
        <w:t>Pakistan’s Ministry of Finance to Mir</w:t>
      </w:r>
      <w:r w:rsidR="00AC2E50">
        <w:t xml:space="preserve"> dated 7 April 1948</w:t>
      </w:r>
      <w:r w:rsidR="009F2C57">
        <w:t xml:space="preserve">, </w:t>
      </w:r>
      <w:r w:rsidR="006E6745">
        <w:t>Mir was introduced to</w:t>
      </w:r>
      <w:r w:rsidR="00C006D1">
        <w:t xml:space="preserve"> </w:t>
      </w:r>
      <w:r w:rsidR="002E4074">
        <w:t>Mohammad</w:t>
      </w:r>
      <w:r w:rsidR="006E6745">
        <w:t xml:space="preserve"> Shoaib</w:t>
      </w:r>
      <w:r w:rsidR="002E4074">
        <w:t xml:space="preserve"> (</w:t>
      </w:r>
      <w:r w:rsidR="002E4074">
        <w:rPr>
          <w:b/>
          <w:bCs/>
        </w:rPr>
        <w:t>Shoaib</w:t>
      </w:r>
      <w:r w:rsidR="002E4074">
        <w:t>)</w:t>
      </w:r>
      <w:r w:rsidR="006E6745">
        <w:t>, who (so the letter said) “is proceeding to the UK</w:t>
      </w:r>
      <w:r w:rsidR="003252B3">
        <w:t xml:space="preserve"> on behalf of the Pakistan Government and with my full authority”. Although the letter </w:t>
      </w:r>
      <w:r w:rsidR="00AD732E">
        <w:t>makes reference to Shoaib’s “mission”, the letter does not descend to particularity about it</w:t>
      </w:r>
      <w:r w:rsidR="0057507A">
        <w:t>s nature</w:t>
      </w:r>
      <w:r w:rsidR="00AD732E">
        <w:t>.</w:t>
      </w:r>
      <w:r w:rsidR="00B51FD9">
        <w:t xml:space="preserve"> Shoaib’s mission in the U</w:t>
      </w:r>
      <w:r w:rsidR="0057507A">
        <w:t xml:space="preserve">nited </w:t>
      </w:r>
      <w:r w:rsidR="00B51FD9">
        <w:t>K</w:t>
      </w:r>
      <w:r w:rsidR="0057507A">
        <w:t>ingdom</w:t>
      </w:r>
      <w:r w:rsidR="00B51FD9">
        <w:t xml:space="preserve"> ended on </w:t>
      </w:r>
      <w:r w:rsidR="006C65B0">
        <w:t>14 July 1948, when he notified the Bank that he would be leaving London for Pakistan.</w:t>
      </w:r>
      <w:r w:rsidR="009C71D5">
        <w:t xml:space="preserve"> Shoaib was </w:t>
      </w:r>
      <w:r w:rsidR="00BA7E39">
        <w:t>the Financial Adviser, Military Finance in</w:t>
      </w:r>
      <w:r w:rsidR="000F2D0E">
        <w:t xml:space="preserve"> the Government of Pakistan</w:t>
      </w:r>
      <w:r w:rsidR="00BA7E39">
        <w:t>.</w:t>
      </w:r>
    </w:p>
    <w:p w14:paraId="5E91C79E" w14:textId="77777777" w:rsidR="001D29F8" w:rsidRDefault="001D29F8" w:rsidP="00795CF0">
      <w:pPr>
        <w:numPr>
          <w:ilvl w:val="0"/>
          <w:numId w:val="2"/>
        </w:numPr>
        <w:autoSpaceDE w:val="0"/>
        <w:spacing w:before="240" w:after="240"/>
        <w:jc w:val="both"/>
      </w:pPr>
      <w:r>
        <w:t>Cotton himself</w:t>
      </w:r>
      <w:r w:rsidR="00BA38BD">
        <w:t xml:space="preserve"> appears to have contracted with – amongst other people – a Hyderabad </w:t>
      </w:r>
      <w:r w:rsidR="00F515F2">
        <w:t>civilian named Najmuddin Khan (</w:t>
      </w:r>
      <w:r w:rsidR="00F515F2">
        <w:rPr>
          <w:b/>
          <w:bCs/>
        </w:rPr>
        <w:t>Najmuddin</w:t>
      </w:r>
      <w:r w:rsidR="00F515F2">
        <w:t xml:space="preserve">) for the import of </w:t>
      </w:r>
      <w:r w:rsidR="000C58CC">
        <w:t>weapons to Hyderabad.</w:t>
      </w:r>
      <w:r w:rsidR="000C58CC">
        <w:rPr>
          <w:rStyle w:val="FootnoteReference"/>
        </w:rPr>
        <w:footnoteReference w:id="147"/>
      </w:r>
    </w:p>
    <w:p w14:paraId="19A3E3D9" w14:textId="77777777" w:rsidR="009F70EA" w:rsidRDefault="00951561" w:rsidP="00795CF0">
      <w:pPr>
        <w:numPr>
          <w:ilvl w:val="0"/>
          <w:numId w:val="2"/>
        </w:numPr>
        <w:autoSpaceDE w:val="0"/>
        <w:spacing w:before="240" w:after="240"/>
        <w:jc w:val="both"/>
      </w:pPr>
      <w:r>
        <w:t xml:space="preserve">In my judgment, the detail of </w:t>
      </w:r>
      <w:r w:rsidR="005C1E31">
        <w:t xml:space="preserve">the </w:t>
      </w:r>
      <w:r w:rsidR="00903AE8">
        <w:t xml:space="preserve">provision of weapons </w:t>
      </w:r>
      <w:r w:rsidR="005C1E31">
        <w:t>into Pakistan and Hyderabad is unimportant</w:t>
      </w:r>
      <w:r w:rsidR="00903AE8">
        <w:t xml:space="preserve"> in this dispute. It is evident that there was such a supply</w:t>
      </w:r>
      <w:r w:rsidR="000B458D">
        <w:t>, and that there was a l</w:t>
      </w:r>
      <w:r w:rsidR="008A506C">
        <w:t>ong-running dispute between Pakistan and Cotton regarding payment</w:t>
      </w:r>
      <w:r w:rsidR="000B458D">
        <w:t xml:space="preserve"> for this supply, which was ultimately resolved by a payment of money by </w:t>
      </w:r>
      <w:r w:rsidR="000163CB">
        <w:t xml:space="preserve">Pakistan </w:t>
      </w:r>
      <w:r w:rsidR="000B458D">
        <w:t xml:space="preserve">to Cotton. </w:t>
      </w:r>
      <w:r w:rsidR="006C3714">
        <w:t>I have no doubt that this story involves a great deal of intrigue, high policy and secrecy</w:t>
      </w:r>
      <w:r w:rsidR="00B51D26">
        <w:t xml:space="preserve">; I strongly suspect that the materials before </w:t>
      </w:r>
      <w:r w:rsidR="00432D5E">
        <w:t xml:space="preserve">me </w:t>
      </w:r>
      <w:r w:rsidR="00B51D26">
        <w:t>do not tell the whole story. But</w:t>
      </w:r>
      <w:r w:rsidR="00536B76">
        <w:t xml:space="preserve">, for the purposes of this dispute, it is necessary only to </w:t>
      </w:r>
      <w:r w:rsidR="009F70EA">
        <w:t>make the following findings:</w:t>
      </w:r>
    </w:p>
    <w:p w14:paraId="3F68C171" w14:textId="77777777" w:rsidR="009F70EA" w:rsidRDefault="008D56EA" w:rsidP="009F70EA">
      <w:pPr>
        <w:numPr>
          <w:ilvl w:val="1"/>
          <w:numId w:val="2"/>
        </w:numPr>
        <w:autoSpaceDE w:val="0"/>
        <w:spacing w:before="240" w:after="240"/>
        <w:jc w:val="both"/>
      </w:pPr>
      <w:r>
        <w:t>There was a supply of weapons to Pakistan and Hyderabad. The purpose of this supply was to resist perceived</w:t>
      </w:r>
      <w:r w:rsidR="00432D5E">
        <w:rPr>
          <w:rStyle w:val="FootnoteReference"/>
        </w:rPr>
        <w:footnoteReference w:id="148"/>
      </w:r>
      <w:r>
        <w:t xml:space="preserve"> Indian aggression towards Hydera</w:t>
      </w:r>
      <w:r w:rsidR="00304E87">
        <w:t>bad.</w:t>
      </w:r>
    </w:p>
    <w:p w14:paraId="30D1DC13" w14:textId="77777777" w:rsidR="006F1B51" w:rsidRDefault="00C26903" w:rsidP="009F70EA">
      <w:pPr>
        <w:numPr>
          <w:ilvl w:val="1"/>
          <w:numId w:val="2"/>
        </w:numPr>
        <w:autoSpaceDE w:val="0"/>
        <w:spacing w:before="240" w:after="240"/>
        <w:jc w:val="both"/>
      </w:pPr>
      <w:r>
        <w:t xml:space="preserve">Whilst I have been shown a great deal of material regarding the specific dealings between </w:t>
      </w:r>
      <w:r w:rsidR="00280160">
        <w:t xml:space="preserve">Pakistan and Cotton regarding the provision of weapons, and whilst I accept that these dealings </w:t>
      </w:r>
      <w:r w:rsidR="008F533F">
        <w:t xml:space="preserve">evidence the supply of arms </w:t>
      </w:r>
      <w:r w:rsidR="0037100C">
        <w:t xml:space="preserve">to Pakistan and Hyderabad for the purpose of resisting perceived India aggression towards Hyderabad, I do not consider that this material </w:t>
      </w:r>
      <w:r w:rsidR="00FA03C6">
        <w:t>demonstrates</w:t>
      </w:r>
      <w:r w:rsidR="00505764">
        <w:t xml:space="preserve"> </w:t>
      </w:r>
      <w:r w:rsidR="00FA03C6">
        <w:t xml:space="preserve">any involvement </w:t>
      </w:r>
      <w:r w:rsidR="004E1A67">
        <w:t>of the</w:t>
      </w:r>
      <w:r w:rsidR="00FA03C6">
        <w:t xml:space="preserve"> Hyderabad</w:t>
      </w:r>
      <w:r w:rsidR="004E1A67">
        <w:t xml:space="preserve"> Government</w:t>
      </w:r>
      <w:r w:rsidR="00FA03C6">
        <w:t xml:space="preserve"> in the provision of such weapons,</w:t>
      </w:r>
      <w:r w:rsidR="00505764">
        <w:t xml:space="preserve"> still less any involvement of the </w:t>
      </w:r>
      <w:r w:rsidR="00F30ABF">
        <w:lastRenderedPageBreak/>
        <w:t xml:space="preserve">Hyderabad State Bank Account, the Second Bank Account or the </w:t>
      </w:r>
      <w:r w:rsidR="006F1B51">
        <w:t>Rahimtoola Account in the provision of such weapons.</w:t>
      </w:r>
    </w:p>
    <w:p w14:paraId="7DF49E70" w14:textId="77777777" w:rsidR="007E7CBC" w:rsidRDefault="006F1B51" w:rsidP="006F1B51">
      <w:pPr>
        <w:numPr>
          <w:ilvl w:val="1"/>
          <w:numId w:val="2"/>
        </w:numPr>
        <w:autoSpaceDE w:val="0"/>
        <w:spacing w:before="240" w:after="240"/>
        <w:jc w:val="both"/>
      </w:pPr>
      <w:r>
        <w:t xml:space="preserve">There is </w:t>
      </w:r>
      <w:r w:rsidR="004E1A67">
        <w:t xml:space="preserve">some </w:t>
      </w:r>
      <w:r w:rsidR="009A3C96">
        <w:t xml:space="preserve">general </w:t>
      </w:r>
      <w:r>
        <w:t xml:space="preserve">evidence – for instance the introduction of Shoaib to </w:t>
      </w:r>
      <w:r w:rsidR="004E1A67">
        <w:t>Mir</w:t>
      </w:r>
      <w:r w:rsidR="00F372DF">
        <w:t xml:space="preserve"> and the evidence of Luschwitz</w:t>
      </w:r>
      <w:r>
        <w:t xml:space="preserve"> – that does point to an involvement by </w:t>
      </w:r>
      <w:r w:rsidR="0063413D">
        <w:t xml:space="preserve">the </w:t>
      </w:r>
      <w:r>
        <w:t>Hyderabad</w:t>
      </w:r>
      <w:r w:rsidR="0063413D">
        <w:t xml:space="preserve"> Government</w:t>
      </w:r>
      <w:r w:rsidR="000E3EEB">
        <w:t>. The further evidence</w:t>
      </w:r>
      <w:r w:rsidR="0063413D">
        <w:t>, over-and-above this, that</w:t>
      </w:r>
      <w:r w:rsidR="000E3EEB">
        <w:t xml:space="preserve"> point</w:t>
      </w:r>
      <w:r w:rsidR="0063413D">
        <w:t>s</w:t>
      </w:r>
      <w:r w:rsidR="000E3EEB">
        <w:t xml:space="preserve"> to</w:t>
      </w:r>
      <w:r w:rsidR="0063413D">
        <w:t xml:space="preserve"> the involvement of the</w:t>
      </w:r>
      <w:r w:rsidR="000E3EEB">
        <w:t xml:space="preserve"> Hyderabad </w:t>
      </w:r>
      <w:r w:rsidR="0063413D">
        <w:t xml:space="preserve">Government in the provision of weapons </w:t>
      </w:r>
      <w:r w:rsidR="000E3EEB">
        <w:t xml:space="preserve">is considered in the next </w:t>
      </w:r>
      <w:r w:rsidR="000A636F">
        <w:t>S</w:t>
      </w:r>
      <w:r w:rsidR="000E3EEB">
        <w:t>ection.</w:t>
      </w:r>
      <w:r>
        <w:t xml:space="preserve"> </w:t>
      </w:r>
    </w:p>
    <w:p w14:paraId="2C6F3137" w14:textId="77777777" w:rsidR="00F3023A" w:rsidRPr="00F3023A" w:rsidRDefault="00F3023A" w:rsidP="004425EB">
      <w:pPr>
        <w:keepNext/>
        <w:tabs>
          <w:tab w:val="left" w:pos="567"/>
        </w:tabs>
        <w:autoSpaceDE w:val="0"/>
        <w:spacing w:before="240" w:after="240"/>
        <w:jc w:val="both"/>
        <w:rPr>
          <w:b/>
          <w:bCs/>
        </w:rPr>
      </w:pPr>
      <w:r>
        <w:rPr>
          <w:b/>
          <w:bCs/>
        </w:rPr>
        <w:t>(3)</w:t>
      </w:r>
      <w:r>
        <w:rPr>
          <w:b/>
          <w:bCs/>
        </w:rPr>
        <w:tab/>
        <w:t xml:space="preserve">Evidence of Hyderabad’s involvement in </w:t>
      </w:r>
      <w:r w:rsidR="000E3EEB">
        <w:rPr>
          <w:b/>
          <w:bCs/>
        </w:rPr>
        <w:t>the provision of weapons</w:t>
      </w:r>
    </w:p>
    <w:p w14:paraId="40BFCEA4" w14:textId="77777777" w:rsidR="0093535C" w:rsidRDefault="00EF0CF9" w:rsidP="00EC557A">
      <w:pPr>
        <w:numPr>
          <w:ilvl w:val="0"/>
          <w:numId w:val="2"/>
        </w:numPr>
        <w:autoSpaceDE w:val="0"/>
        <w:spacing w:before="240" w:after="240"/>
        <w:jc w:val="both"/>
      </w:pPr>
      <w:r>
        <w:t xml:space="preserve">In addition to the evidence described in paragraph </w:t>
      </w:r>
      <w:r w:rsidR="00062D4E">
        <w:t>209(3)</w:t>
      </w:r>
      <w:r>
        <w:t xml:space="preserve"> above, t</w:t>
      </w:r>
      <w:r w:rsidR="00702FD1">
        <w:t xml:space="preserve">here is some general – that is to say, relatively unspecific – evidence of </w:t>
      </w:r>
      <w:r>
        <w:t xml:space="preserve">the </w:t>
      </w:r>
      <w:r w:rsidR="00702FD1">
        <w:t>Hyderabad</w:t>
      </w:r>
      <w:r>
        <w:t xml:space="preserve"> Government’s</w:t>
      </w:r>
      <w:r w:rsidR="00702FD1">
        <w:t xml:space="preserve"> involvement in the provision of weapons. </w:t>
      </w:r>
      <w:r w:rsidR="003F482C">
        <w:t>Most of the evidence was produced by India in the late-1940s as part of an effort to control those Hyderabad/Pakistan elements who were – or who were perceived by India to be – disruptive or in opposition to India’s annexation</w:t>
      </w:r>
      <w:r w:rsidR="00274B8A">
        <w:rPr>
          <w:rStyle w:val="FootnoteReference"/>
        </w:rPr>
        <w:footnoteReference w:id="149"/>
      </w:r>
      <w:r w:rsidR="003F482C">
        <w:t xml:space="preserve"> of Hyderabad. </w:t>
      </w:r>
      <w:r w:rsidR="00962D3F">
        <w:t xml:space="preserve">The evidence clearly must be regarded in this light, but nevertheless I consider that it demonstrates </w:t>
      </w:r>
      <w:r w:rsidR="008C2FC5">
        <w:t xml:space="preserve">an involvement by </w:t>
      </w:r>
      <w:r w:rsidR="0047666C">
        <w:t xml:space="preserve">the </w:t>
      </w:r>
      <w:r w:rsidR="008C2FC5">
        <w:t xml:space="preserve">Hyderabad </w:t>
      </w:r>
      <w:r w:rsidR="0047666C">
        <w:t xml:space="preserve">Government </w:t>
      </w:r>
      <w:r w:rsidR="008C2FC5">
        <w:t>in the funding of the provision of weapons:</w:t>
      </w:r>
    </w:p>
    <w:p w14:paraId="1967443E" w14:textId="77777777" w:rsidR="008C2FC5" w:rsidRDefault="008C2FC5" w:rsidP="008C2FC5">
      <w:pPr>
        <w:numPr>
          <w:ilvl w:val="1"/>
          <w:numId w:val="2"/>
        </w:numPr>
        <w:autoSpaceDE w:val="0"/>
        <w:spacing w:before="240" w:after="240"/>
        <w:jc w:val="both"/>
      </w:pPr>
      <w:r>
        <w:t>Luschwitz said this in Luschwitz 2:</w:t>
      </w:r>
    </w:p>
    <w:p w14:paraId="29B1D01F" w14:textId="77777777" w:rsidR="008C2FC5" w:rsidRPr="00A47F45" w:rsidRDefault="008C2FC5" w:rsidP="008C2FC5">
      <w:pPr>
        <w:autoSpaceDE w:val="0"/>
        <w:spacing w:before="240" w:after="240"/>
        <w:ind w:left="1134"/>
        <w:jc w:val="both"/>
        <w:rPr>
          <w:sz w:val="22"/>
          <w:szCs w:val="22"/>
        </w:rPr>
      </w:pPr>
      <w:r>
        <w:rPr>
          <w:sz w:val="22"/>
          <w:szCs w:val="22"/>
        </w:rPr>
        <w:t>“I don’t understand the working of the foreign Exchange system, but while I was in London, in April 1948, I gathered the following information from various people including [Mirza], that about three million pounds sterling was standing to the credit of [Mir]. Out of this amount, approximately 800,000 pounds sterling was made available to [Shoaib]. He was then in London, and I cannot vouch how this amount was transferred to him. In any case, it was done in a very roundabout way, and indirectly. Out of this sum, [Cotton’s] contract was accommodated for £400,000/-. I cannot swear to the accuracy of these figures.”</w:t>
      </w:r>
    </w:p>
    <w:p w14:paraId="258A07AF" w14:textId="77777777" w:rsidR="008C2FC5" w:rsidRDefault="008C2FC5" w:rsidP="008C2FC5">
      <w:pPr>
        <w:autoSpaceDE w:val="0"/>
        <w:spacing w:before="240" w:after="240"/>
        <w:ind w:left="1134"/>
        <w:jc w:val="both"/>
      </w:pPr>
      <w:r>
        <w:t xml:space="preserve">Luschwitz’s figures are not quite right, but his information otherwise </w:t>
      </w:r>
      <w:r w:rsidR="00E32B62">
        <w:t xml:space="preserve">very much </w:t>
      </w:r>
      <w:r>
        <w:t>corroborates what was going on in relation to the Second Account.</w:t>
      </w:r>
    </w:p>
    <w:p w14:paraId="3B5596EC" w14:textId="77777777" w:rsidR="008C2FC5" w:rsidRPr="002B0BD6" w:rsidRDefault="008C2FC5" w:rsidP="008C2FC5">
      <w:pPr>
        <w:numPr>
          <w:ilvl w:val="1"/>
          <w:numId w:val="2"/>
        </w:numPr>
        <w:autoSpaceDE w:val="0"/>
        <w:spacing w:before="240" w:after="240"/>
        <w:jc w:val="both"/>
      </w:pPr>
      <w:r>
        <w:t>In a letter dated 21 October 1948, India provided the following information to Mr Attlee:</w:t>
      </w:r>
    </w:p>
    <w:p w14:paraId="5D8BA71C" w14:textId="77777777" w:rsidR="008C2FC5" w:rsidRDefault="008C2FC5" w:rsidP="008C2FC5">
      <w:pPr>
        <w:autoSpaceDE w:val="0"/>
        <w:spacing w:before="240" w:after="240"/>
        <w:ind w:left="1134"/>
        <w:jc w:val="both"/>
        <w:rPr>
          <w:sz w:val="22"/>
          <w:szCs w:val="22"/>
        </w:rPr>
      </w:pPr>
      <w:r>
        <w:rPr>
          <w:sz w:val="22"/>
          <w:szCs w:val="22"/>
        </w:rPr>
        <w:t>“Remittances to the extent of 6 crores were sent to London and Karachi Banks since October 1947. These funds were placed at the disposal of Agents General and Finance Minister, Hyderabad, without safeguards against unauthorised payments. Total amount so made available in London, 3 million pounds. Of this amount, one and a half million has been spent. Some important payments made in London are as follows:</w:t>
      </w:r>
    </w:p>
    <w:p w14:paraId="5196D309" w14:textId="77777777" w:rsidR="008C2FC5" w:rsidRDefault="008C2FC5" w:rsidP="008C2FC5">
      <w:pPr>
        <w:autoSpaceDE w:val="0"/>
        <w:spacing w:before="240" w:after="240"/>
        <w:ind w:left="1854" w:hanging="720"/>
        <w:jc w:val="both"/>
        <w:rPr>
          <w:sz w:val="22"/>
          <w:szCs w:val="22"/>
        </w:rPr>
      </w:pPr>
      <w:r>
        <w:rPr>
          <w:sz w:val="22"/>
          <w:szCs w:val="22"/>
        </w:rPr>
        <w:t>(a)</w:t>
      </w:r>
      <w:r>
        <w:rPr>
          <w:sz w:val="22"/>
          <w:szCs w:val="22"/>
        </w:rPr>
        <w:tab/>
        <w:t>890,000 pounds sterling to [Shoaib],</w:t>
      </w:r>
    </w:p>
    <w:p w14:paraId="222ACF65" w14:textId="77777777" w:rsidR="008C2FC5" w:rsidRDefault="008C2FC5" w:rsidP="008C2FC5">
      <w:pPr>
        <w:autoSpaceDE w:val="0"/>
        <w:spacing w:before="240" w:after="240"/>
        <w:ind w:left="1854" w:hanging="720"/>
        <w:jc w:val="both"/>
        <w:rPr>
          <w:sz w:val="22"/>
          <w:szCs w:val="22"/>
        </w:rPr>
      </w:pPr>
      <w:r>
        <w:rPr>
          <w:sz w:val="22"/>
          <w:szCs w:val="22"/>
        </w:rPr>
        <w:t>(b)</w:t>
      </w:r>
      <w:r>
        <w:rPr>
          <w:sz w:val="22"/>
          <w:szCs w:val="22"/>
        </w:rPr>
        <w:tab/>
        <w:t>100,000 pounds to [Cotton],</w:t>
      </w:r>
    </w:p>
    <w:p w14:paraId="5F632856" w14:textId="77777777" w:rsidR="008C2FC5" w:rsidRDefault="008C2FC5" w:rsidP="008C2FC5">
      <w:pPr>
        <w:autoSpaceDE w:val="0"/>
        <w:spacing w:before="240" w:after="240"/>
        <w:ind w:left="1854" w:hanging="720"/>
        <w:jc w:val="both"/>
        <w:rPr>
          <w:sz w:val="22"/>
          <w:szCs w:val="22"/>
        </w:rPr>
      </w:pPr>
      <w:r>
        <w:rPr>
          <w:sz w:val="22"/>
          <w:szCs w:val="22"/>
        </w:rPr>
        <w:t>(c)</w:t>
      </w:r>
      <w:r>
        <w:rPr>
          <w:sz w:val="22"/>
          <w:szCs w:val="22"/>
        </w:rPr>
        <w:tab/>
        <w:t xml:space="preserve">10,000 pounds sterling to Sir Alexander Rogers for conducting negotiations </w:t>
      </w:r>
      <w:r w:rsidR="005B7C8B">
        <w:rPr>
          <w:sz w:val="22"/>
          <w:szCs w:val="22"/>
        </w:rPr>
        <w:t xml:space="preserve">for purchase </w:t>
      </w:r>
      <w:r>
        <w:rPr>
          <w:sz w:val="22"/>
          <w:szCs w:val="22"/>
        </w:rPr>
        <w:t>of Goa,</w:t>
      </w:r>
    </w:p>
    <w:p w14:paraId="7A0F527D" w14:textId="77777777" w:rsidR="008C2FC5" w:rsidRDefault="008C2FC5" w:rsidP="008C2FC5">
      <w:pPr>
        <w:autoSpaceDE w:val="0"/>
        <w:spacing w:before="240" w:after="240"/>
        <w:ind w:left="1854" w:hanging="720"/>
        <w:jc w:val="both"/>
        <w:rPr>
          <w:sz w:val="22"/>
          <w:szCs w:val="22"/>
        </w:rPr>
      </w:pPr>
      <w:r>
        <w:rPr>
          <w:sz w:val="22"/>
          <w:szCs w:val="22"/>
        </w:rPr>
        <w:lastRenderedPageBreak/>
        <w:t>(d)</w:t>
      </w:r>
      <w:r>
        <w:rPr>
          <w:sz w:val="22"/>
          <w:szCs w:val="22"/>
        </w:rPr>
        <w:tab/>
        <w:t>5,000 pounds sterling to Mr Ghula</w:t>
      </w:r>
      <w:r w:rsidR="00ED3ACE" w:rsidRPr="000F2E99">
        <w:rPr>
          <w:sz w:val="22"/>
          <w:szCs w:val="22"/>
        </w:rPr>
        <w:t>m</w:t>
      </w:r>
      <w:r>
        <w:rPr>
          <w:sz w:val="22"/>
          <w:szCs w:val="22"/>
        </w:rPr>
        <w:t xml:space="preserve"> Mohammad, Finance Minister to Pakistan for an unspecified object.</w:t>
      </w:r>
    </w:p>
    <w:p w14:paraId="38DC9127" w14:textId="77777777" w:rsidR="008C2FC5" w:rsidRPr="008C2FC5" w:rsidRDefault="008C2FC5" w:rsidP="008C2FC5">
      <w:pPr>
        <w:autoSpaceDE w:val="0"/>
        <w:spacing w:before="240" w:after="240"/>
        <w:ind w:left="1134"/>
        <w:jc w:val="both"/>
        <w:rPr>
          <w:sz w:val="22"/>
          <w:szCs w:val="22"/>
        </w:rPr>
      </w:pPr>
      <w:r>
        <w:rPr>
          <w:sz w:val="22"/>
          <w:szCs w:val="22"/>
        </w:rPr>
        <w:t>500,000 pounds has been spent on other items about which account has been demanded from Agent General, London. In addition, one million odd pound sterling transferred to account of Pakistan High Commissioner, London; and 450,000 pound sterling to account of [Zahir]…”</w:t>
      </w:r>
    </w:p>
    <w:p w14:paraId="00B955DF" w14:textId="77777777" w:rsidR="006D2451" w:rsidRDefault="00237996" w:rsidP="00EC557A">
      <w:pPr>
        <w:numPr>
          <w:ilvl w:val="0"/>
          <w:numId w:val="2"/>
        </w:numPr>
        <w:autoSpaceDE w:val="0"/>
        <w:spacing w:before="240" w:after="240"/>
        <w:jc w:val="both"/>
      </w:pPr>
      <w:r>
        <w:t xml:space="preserve">Moving from the general to the more specific, </w:t>
      </w:r>
      <w:r w:rsidR="009836FA">
        <w:t xml:space="preserve">Annex 3 </w:t>
      </w:r>
      <w:r w:rsidR="00254DDB">
        <w:t>describes the various transactions which principally took place on the Second Account. Of these</w:t>
      </w:r>
      <w:r w:rsidR="00650B92">
        <w:t xml:space="preserve">, Transactions 3, 4, 6, 7 and 8 are </w:t>
      </w:r>
      <w:r w:rsidR="00577C48">
        <w:t xml:space="preserve">of significance </w:t>
      </w:r>
      <w:r w:rsidR="006D2451">
        <w:t xml:space="preserve">in relation </w:t>
      </w:r>
      <w:r w:rsidR="00577C48">
        <w:t>to</w:t>
      </w:r>
      <w:r w:rsidR="00A74B3A">
        <w:t xml:space="preserve"> the</w:t>
      </w:r>
      <w:r w:rsidR="00577C48">
        <w:t xml:space="preserve"> question of </w:t>
      </w:r>
      <w:r w:rsidR="00645440">
        <w:t>the provision of weapons</w:t>
      </w:r>
      <w:r w:rsidR="00B90481">
        <w:t>:</w:t>
      </w:r>
    </w:p>
    <w:p w14:paraId="611FF12D" w14:textId="77777777" w:rsidR="00EC557A" w:rsidRDefault="00EC557A" w:rsidP="006D2451">
      <w:pPr>
        <w:numPr>
          <w:ilvl w:val="1"/>
          <w:numId w:val="2"/>
        </w:numPr>
        <w:autoSpaceDE w:val="0"/>
        <w:spacing w:before="240" w:after="240"/>
        <w:jc w:val="both"/>
      </w:pPr>
      <w:r>
        <w:t>In a letter from Shoaib to Mir, Shoaib says:</w:t>
      </w:r>
    </w:p>
    <w:p w14:paraId="217428C9" w14:textId="77777777" w:rsidR="00EC557A" w:rsidRDefault="00EC557A" w:rsidP="006D2451">
      <w:pPr>
        <w:autoSpaceDE w:val="0"/>
        <w:spacing w:before="240" w:after="240"/>
        <w:ind w:left="1134"/>
        <w:jc w:val="both"/>
        <w:rPr>
          <w:sz w:val="22"/>
          <w:szCs w:val="22"/>
        </w:rPr>
      </w:pPr>
      <w:r>
        <w:rPr>
          <w:sz w:val="22"/>
          <w:szCs w:val="22"/>
        </w:rPr>
        <w:t>“As arranged with your Govt, kindly transfer to my account at the Westminster Bank, amounts as follows:</w:t>
      </w:r>
    </w:p>
    <w:p w14:paraId="004D795F" w14:textId="77777777" w:rsidR="00EC557A" w:rsidRDefault="00EC557A" w:rsidP="006D2451">
      <w:pPr>
        <w:autoSpaceDE w:val="0"/>
        <w:spacing w:before="240" w:after="240"/>
        <w:ind w:left="1134"/>
        <w:jc w:val="both"/>
        <w:rPr>
          <w:sz w:val="22"/>
          <w:szCs w:val="22"/>
        </w:rPr>
      </w:pPr>
      <w:r>
        <w:rPr>
          <w:sz w:val="22"/>
          <w:szCs w:val="22"/>
        </w:rPr>
        <w:t>£500,000</w:t>
      </w:r>
    </w:p>
    <w:p w14:paraId="3735D687" w14:textId="77777777" w:rsidR="00EC557A" w:rsidRDefault="00EC557A" w:rsidP="006D2451">
      <w:pPr>
        <w:autoSpaceDE w:val="0"/>
        <w:spacing w:before="240" w:after="240"/>
        <w:ind w:left="1134"/>
        <w:jc w:val="both"/>
        <w:rPr>
          <w:sz w:val="22"/>
          <w:szCs w:val="22"/>
        </w:rPr>
      </w:pPr>
      <w:r>
        <w:rPr>
          <w:sz w:val="22"/>
          <w:szCs w:val="22"/>
        </w:rPr>
        <w:t>£250,000</w:t>
      </w:r>
    </w:p>
    <w:p w14:paraId="2773C88C" w14:textId="77777777" w:rsidR="00EC557A" w:rsidRDefault="00EC557A" w:rsidP="006D2451">
      <w:pPr>
        <w:autoSpaceDE w:val="0"/>
        <w:spacing w:before="240" w:after="240"/>
        <w:ind w:left="1134"/>
        <w:jc w:val="both"/>
        <w:rPr>
          <w:sz w:val="22"/>
          <w:szCs w:val="22"/>
        </w:rPr>
      </w:pPr>
      <w:r>
        <w:rPr>
          <w:sz w:val="22"/>
          <w:szCs w:val="22"/>
        </w:rPr>
        <w:t>£100,000</w:t>
      </w:r>
    </w:p>
    <w:p w14:paraId="1FE15A02" w14:textId="77777777" w:rsidR="00EC557A" w:rsidRDefault="00EC557A" w:rsidP="006D2451">
      <w:pPr>
        <w:autoSpaceDE w:val="0"/>
        <w:spacing w:before="240" w:after="240"/>
        <w:ind w:left="1134"/>
        <w:jc w:val="both"/>
        <w:rPr>
          <w:sz w:val="22"/>
          <w:szCs w:val="22"/>
        </w:rPr>
      </w:pPr>
      <w:r>
        <w:rPr>
          <w:sz w:val="22"/>
          <w:szCs w:val="22"/>
        </w:rPr>
        <w:t>£44,000 when requested by Col Mirza.</w:t>
      </w:r>
    </w:p>
    <w:p w14:paraId="2346CC94" w14:textId="77777777" w:rsidR="00EC557A" w:rsidRPr="00613E4A" w:rsidRDefault="00EC557A" w:rsidP="006D2451">
      <w:pPr>
        <w:autoSpaceDE w:val="0"/>
        <w:spacing w:before="240" w:after="240"/>
        <w:ind w:left="1134"/>
        <w:jc w:val="both"/>
        <w:rPr>
          <w:sz w:val="22"/>
          <w:szCs w:val="22"/>
        </w:rPr>
      </w:pPr>
      <w:r>
        <w:rPr>
          <w:sz w:val="22"/>
          <w:szCs w:val="22"/>
        </w:rPr>
        <w:t>This is for OD.”</w:t>
      </w:r>
    </w:p>
    <w:p w14:paraId="6E23190A" w14:textId="77777777" w:rsidR="00F3023A" w:rsidRPr="00AF5D38" w:rsidRDefault="00EC557A" w:rsidP="006D2451">
      <w:pPr>
        <w:autoSpaceDE w:val="0"/>
        <w:spacing w:before="240" w:after="240"/>
        <w:ind w:left="1134"/>
        <w:jc w:val="both"/>
      </w:pPr>
      <w:r>
        <w:t>The letter is undated, but</w:t>
      </w:r>
      <w:r w:rsidR="00DF4CD2">
        <w:t xml:space="preserve"> the four payments described match </w:t>
      </w:r>
      <w:r w:rsidR="0094621E">
        <w:t>the amounts of Tran</w:t>
      </w:r>
      <w:r w:rsidR="00645440">
        <w:t>s</w:t>
      </w:r>
      <w:r w:rsidR="0094621E">
        <w:t xml:space="preserve">action 4 (£500,000), </w:t>
      </w:r>
      <w:r w:rsidR="00512FEA">
        <w:t>Transaction 3 (£250,000), Transa</w:t>
      </w:r>
      <w:r w:rsidR="00512FEA" w:rsidRPr="00AF5D38">
        <w:t>ction 6 (£100,000) and Transaction 7 (£44,000)</w:t>
      </w:r>
      <w:r w:rsidR="008B0C8A" w:rsidRPr="00AF5D38">
        <w:t xml:space="preserve">. </w:t>
      </w:r>
      <w:r w:rsidR="00AF5D38" w:rsidRPr="00AF5D38">
        <w:t>Colonel Iskander Mirza</w:t>
      </w:r>
      <w:r w:rsidR="00C16606">
        <w:t xml:space="preserve"> (</w:t>
      </w:r>
      <w:r w:rsidR="00C16606">
        <w:rPr>
          <w:b/>
          <w:bCs/>
        </w:rPr>
        <w:t>Mirza</w:t>
      </w:r>
      <w:r w:rsidR="00C16606">
        <w:t>)</w:t>
      </w:r>
      <w:r w:rsidR="00AF5D38">
        <w:t xml:space="preserve"> was</w:t>
      </w:r>
      <w:r w:rsidR="00AF5D38" w:rsidRPr="00AF5D38">
        <w:t xml:space="preserve"> at all material times the Secretary of Defence of Pakistan.</w:t>
      </w:r>
      <w:r w:rsidR="00C16606" w:rsidRPr="00C16606">
        <w:t xml:space="preserve"> </w:t>
      </w:r>
      <w:r w:rsidR="00C16606" w:rsidRPr="00AF5D38">
        <w:t>It is not known who or what “OD” was.</w:t>
      </w:r>
    </w:p>
    <w:p w14:paraId="53847537" w14:textId="77777777" w:rsidR="008B0C8A" w:rsidRPr="008B0C8A" w:rsidRDefault="00E40D4F" w:rsidP="006D2451">
      <w:pPr>
        <w:numPr>
          <w:ilvl w:val="1"/>
          <w:numId w:val="2"/>
        </w:numPr>
        <w:autoSpaceDE w:val="0"/>
        <w:spacing w:before="240" w:after="240"/>
        <w:jc w:val="both"/>
      </w:pPr>
      <w:r>
        <w:t>Apart from this letter, the Transactions are documented in the following way:</w:t>
      </w:r>
    </w:p>
    <w:p w14:paraId="1B919E11" w14:textId="77777777" w:rsidR="00506ED2" w:rsidRDefault="00577C48" w:rsidP="006D2451">
      <w:pPr>
        <w:numPr>
          <w:ilvl w:val="2"/>
          <w:numId w:val="2"/>
        </w:numPr>
        <w:autoSpaceDE w:val="0"/>
        <w:spacing w:before="240" w:after="240"/>
        <w:jc w:val="both"/>
      </w:pPr>
      <w:r>
        <w:rPr>
          <w:i/>
          <w:iCs/>
        </w:rPr>
        <w:t>Transaction 3.</w:t>
      </w:r>
      <w:r>
        <w:t xml:space="preserve"> This was a payment, out of the Second Account</w:t>
      </w:r>
      <w:r w:rsidR="006005B4">
        <w:t>, of £250,000 to Shoaib</w:t>
      </w:r>
      <w:r w:rsidR="000E1340">
        <w:t>, made on 16 April 1948</w:t>
      </w:r>
      <w:r w:rsidR="00457523">
        <w:t>.</w:t>
      </w:r>
      <w:r w:rsidR="000E1340">
        <w:t xml:space="preserve"> The payment appears to have been initiated by Rahimtoola</w:t>
      </w:r>
      <w:r w:rsidR="00526BAA">
        <w:t xml:space="preserve"> in a letter dated 16 April 1948 to Mir</w:t>
      </w:r>
      <w:r w:rsidR="00506ED2">
        <w:t>. The letter states:</w:t>
      </w:r>
    </w:p>
    <w:p w14:paraId="3C69B8E9" w14:textId="77777777" w:rsidR="00506ED2" w:rsidRDefault="00506ED2" w:rsidP="006D2451">
      <w:pPr>
        <w:autoSpaceDE w:val="0"/>
        <w:spacing w:before="240" w:after="240"/>
        <w:ind w:left="1814"/>
        <w:jc w:val="both"/>
        <w:rPr>
          <w:sz w:val="22"/>
          <w:szCs w:val="22"/>
        </w:rPr>
      </w:pPr>
      <w:r>
        <w:rPr>
          <w:sz w:val="22"/>
          <w:szCs w:val="22"/>
        </w:rPr>
        <w:t>“</w:t>
      </w:r>
      <w:r w:rsidR="00EF39DE">
        <w:rPr>
          <w:sz w:val="22"/>
          <w:szCs w:val="22"/>
        </w:rPr>
        <w:t xml:space="preserve">As desired by the Finance Minister, HEH the Nizam’s Government, I would like to draw from the account </w:t>
      </w:r>
      <w:r w:rsidR="002B0526">
        <w:rPr>
          <w:sz w:val="22"/>
          <w:szCs w:val="22"/>
        </w:rPr>
        <w:t>opened in the name of HEH the Nizam’s Government with Westminster Bank, a sum of £250,000</w:t>
      </w:r>
      <w:r w:rsidR="008477FE">
        <w:rPr>
          <w:sz w:val="22"/>
          <w:szCs w:val="22"/>
        </w:rPr>
        <w:t>…</w:t>
      </w:r>
      <w:r w:rsidR="005B7C8B">
        <w:rPr>
          <w:sz w:val="22"/>
          <w:szCs w:val="22"/>
        </w:rPr>
        <w:t>Kindly</w:t>
      </w:r>
      <w:r w:rsidR="008477FE">
        <w:rPr>
          <w:sz w:val="22"/>
          <w:szCs w:val="22"/>
        </w:rPr>
        <w:t xml:space="preserve"> ask the bank to place this amount at the disposal of </w:t>
      </w:r>
      <w:r w:rsidR="00B76E38">
        <w:rPr>
          <w:sz w:val="22"/>
          <w:szCs w:val="22"/>
        </w:rPr>
        <w:t>Mr Shoaib, whose specimen signature attested by me</w:t>
      </w:r>
      <w:r w:rsidR="00500264">
        <w:rPr>
          <w:sz w:val="22"/>
          <w:szCs w:val="22"/>
        </w:rPr>
        <w:t xml:space="preserve"> is enclosed.</w:t>
      </w:r>
    </w:p>
    <w:p w14:paraId="3EE7881A" w14:textId="77777777" w:rsidR="00500264" w:rsidRPr="00506ED2" w:rsidRDefault="00500264" w:rsidP="006D2451">
      <w:pPr>
        <w:autoSpaceDE w:val="0"/>
        <w:spacing w:before="240" w:after="240"/>
        <w:ind w:left="1814"/>
        <w:jc w:val="both"/>
        <w:rPr>
          <w:sz w:val="22"/>
          <w:szCs w:val="22"/>
        </w:rPr>
      </w:pPr>
      <w:r>
        <w:rPr>
          <w:sz w:val="22"/>
          <w:szCs w:val="22"/>
        </w:rPr>
        <w:t>The details and pa</w:t>
      </w:r>
      <w:r w:rsidR="005B7C8B">
        <w:rPr>
          <w:sz w:val="22"/>
          <w:szCs w:val="22"/>
        </w:rPr>
        <w:t>p</w:t>
      </w:r>
      <w:r>
        <w:rPr>
          <w:sz w:val="22"/>
          <w:szCs w:val="22"/>
        </w:rPr>
        <w:t>ers regarding these accounts will be kept by us.”</w:t>
      </w:r>
    </w:p>
    <w:p w14:paraId="535D35E5" w14:textId="77777777" w:rsidR="00BB6ACD" w:rsidRPr="00375797" w:rsidRDefault="00DF2DAD" w:rsidP="006D2451">
      <w:pPr>
        <w:autoSpaceDE w:val="0"/>
        <w:spacing w:before="240" w:after="240"/>
        <w:ind w:left="1814"/>
        <w:jc w:val="both"/>
      </w:pPr>
      <w:r>
        <w:t xml:space="preserve">By a letter of the same date, Mir </w:t>
      </w:r>
      <w:r w:rsidR="00375797">
        <w:t>instructed the Bank to “place at the disposal of [Shoaib] a sum of £250,000</w:t>
      </w:r>
      <w:r w:rsidR="0099123C">
        <w:t>”</w:t>
      </w:r>
      <w:r w:rsidR="001D0A30">
        <w:t xml:space="preserve"> from the Second Account</w:t>
      </w:r>
      <w:r w:rsidR="00375797">
        <w:t>.</w:t>
      </w:r>
      <w:r w:rsidR="0099123C">
        <w:t xml:space="preserve"> As a result, the Bank opened an account in the name of Shoaib, to which it credited the sum of £250,000</w:t>
      </w:r>
      <w:r w:rsidR="001D0A30">
        <w:t xml:space="preserve"> from the Second Account</w:t>
      </w:r>
      <w:r w:rsidR="0099123C">
        <w:t>.</w:t>
      </w:r>
      <w:r w:rsidR="009877EB">
        <w:t xml:space="preserve"> Shoaib was notified of this on 16 </w:t>
      </w:r>
      <w:r w:rsidR="001A0822">
        <w:t>April 1948.</w:t>
      </w:r>
    </w:p>
    <w:p w14:paraId="39E973F9" w14:textId="77777777" w:rsidR="008D12C7" w:rsidRPr="008D12C7" w:rsidRDefault="000B1C0A" w:rsidP="006D2451">
      <w:pPr>
        <w:numPr>
          <w:ilvl w:val="2"/>
          <w:numId w:val="2"/>
        </w:numPr>
        <w:autoSpaceDE w:val="0"/>
        <w:spacing w:before="240" w:after="240"/>
        <w:jc w:val="both"/>
      </w:pPr>
      <w:r>
        <w:rPr>
          <w:i/>
          <w:iCs/>
        </w:rPr>
        <w:lastRenderedPageBreak/>
        <w:t>Transaction 4.</w:t>
      </w:r>
      <w:r w:rsidR="00677A62">
        <w:t xml:space="preserve"> This was a payment, out of the Second Account, of £500,000 to Shoaib, made on </w:t>
      </w:r>
      <w:r w:rsidR="00142D18">
        <w:t>30 April 1948.</w:t>
      </w:r>
      <w:r w:rsidR="00495A27">
        <w:t xml:space="preserve"> </w:t>
      </w:r>
      <w:r w:rsidR="000F7D7A">
        <w:t xml:space="preserve">On </w:t>
      </w:r>
      <w:r w:rsidR="003C1E9A">
        <w:t xml:space="preserve">29 April 1948, Mir requested that the Bank “place at the disposal of [Shoaib] </w:t>
      </w:r>
      <w:r w:rsidR="001D0A30">
        <w:t xml:space="preserve">a sum of £500,000” from the Second Account. </w:t>
      </w:r>
      <w:r w:rsidR="00695627">
        <w:t>On the same day, Shoaib requested that his account with the Bank be credited by this amount</w:t>
      </w:r>
      <w:r w:rsidR="0020406C">
        <w:t>, which duly occurred.</w:t>
      </w:r>
    </w:p>
    <w:p w14:paraId="4C12F2DE" w14:textId="77777777" w:rsidR="000B1C0A" w:rsidRDefault="000B1C0A" w:rsidP="00820095">
      <w:pPr>
        <w:numPr>
          <w:ilvl w:val="2"/>
          <w:numId w:val="2"/>
        </w:numPr>
        <w:autoSpaceDE w:val="0"/>
        <w:spacing w:before="240" w:after="240"/>
        <w:jc w:val="both"/>
      </w:pPr>
      <w:r>
        <w:rPr>
          <w:i/>
          <w:iCs/>
        </w:rPr>
        <w:t>Transaction 6.</w:t>
      </w:r>
      <w:r w:rsidR="00142D18">
        <w:t xml:space="preserve"> This was a payment, out of the Second Account, of £100,000 to Shoaib, made on 18 June 1948.</w:t>
      </w:r>
      <w:r w:rsidR="00D36F6E">
        <w:t xml:space="preserve"> The payment was authorised by Mir in a letter to the Bank </w:t>
      </w:r>
      <w:r w:rsidR="000041F0">
        <w:t>dated 18 June 1948, stating “[p]lease pay to the account of [Shoaib] with you a sum of £100,000…”</w:t>
      </w:r>
      <w:r w:rsidR="009933C9">
        <w:t>.</w:t>
      </w:r>
    </w:p>
    <w:p w14:paraId="0DFC1F92" w14:textId="77777777" w:rsidR="00FD2D92" w:rsidRDefault="00500954" w:rsidP="00820095">
      <w:pPr>
        <w:autoSpaceDE w:val="0"/>
        <w:spacing w:before="240" w:after="240"/>
        <w:ind w:left="1814"/>
        <w:jc w:val="both"/>
      </w:pPr>
      <w:r>
        <w:t xml:space="preserve">In a letter dated 26 June 1948, Mir </w:t>
      </w:r>
      <w:r w:rsidR="008067E0">
        <w:t>wrote to “HEPM” and “HFM” stating:</w:t>
      </w:r>
    </w:p>
    <w:p w14:paraId="1C53CD41" w14:textId="77777777" w:rsidR="008067E0" w:rsidRDefault="00602A0D" w:rsidP="006D2451">
      <w:pPr>
        <w:autoSpaceDE w:val="0"/>
        <w:spacing w:before="240" w:after="240"/>
        <w:ind w:left="1814"/>
        <w:jc w:val="both"/>
        <w:rPr>
          <w:sz w:val="22"/>
          <w:szCs w:val="22"/>
        </w:rPr>
      </w:pPr>
      <w:r>
        <w:rPr>
          <w:sz w:val="22"/>
          <w:szCs w:val="22"/>
        </w:rPr>
        <w:t xml:space="preserve">“As ordered by your Excellency and HFM the following transfers have been intimated to </w:t>
      </w:r>
      <w:r w:rsidR="001E6E73">
        <w:rPr>
          <w:sz w:val="22"/>
          <w:szCs w:val="22"/>
        </w:rPr>
        <w:t>the Westminster Bank, Lothbury (Head Office), London:</w:t>
      </w:r>
    </w:p>
    <w:p w14:paraId="55F5E657" w14:textId="77777777" w:rsidR="001E6E73" w:rsidRDefault="001E6E73" w:rsidP="006D2451">
      <w:pPr>
        <w:autoSpaceDE w:val="0"/>
        <w:spacing w:before="240" w:after="240"/>
        <w:ind w:left="1814"/>
        <w:jc w:val="both"/>
        <w:rPr>
          <w:sz w:val="22"/>
          <w:szCs w:val="22"/>
        </w:rPr>
      </w:pPr>
      <w:r>
        <w:rPr>
          <w:sz w:val="22"/>
          <w:szCs w:val="22"/>
        </w:rPr>
        <w:t>18-6-48</w:t>
      </w:r>
      <w:r>
        <w:rPr>
          <w:sz w:val="22"/>
          <w:szCs w:val="22"/>
        </w:rPr>
        <w:tab/>
      </w:r>
      <w:r w:rsidR="00AB1A98">
        <w:rPr>
          <w:sz w:val="22"/>
          <w:szCs w:val="22"/>
        </w:rPr>
        <w:tab/>
        <w:t>£100,000</w:t>
      </w:r>
      <w:r w:rsidR="00C53962">
        <w:rPr>
          <w:sz w:val="22"/>
          <w:szCs w:val="22"/>
        </w:rPr>
        <w:tab/>
      </w:r>
      <w:r w:rsidR="00AB1A98">
        <w:rPr>
          <w:sz w:val="22"/>
          <w:szCs w:val="22"/>
        </w:rPr>
        <w:t>[Sho</w:t>
      </w:r>
      <w:r w:rsidR="00D918CE">
        <w:rPr>
          <w:sz w:val="22"/>
          <w:szCs w:val="22"/>
        </w:rPr>
        <w:t>a</w:t>
      </w:r>
      <w:r w:rsidR="00AB1A98">
        <w:rPr>
          <w:sz w:val="22"/>
          <w:szCs w:val="22"/>
        </w:rPr>
        <w:t>ib]</w:t>
      </w:r>
    </w:p>
    <w:p w14:paraId="55928C7E" w14:textId="77777777" w:rsidR="00AB1A98" w:rsidRDefault="00C53962" w:rsidP="006D2451">
      <w:pPr>
        <w:autoSpaceDE w:val="0"/>
        <w:spacing w:before="240" w:after="240"/>
        <w:ind w:left="1814"/>
        <w:jc w:val="both"/>
        <w:rPr>
          <w:sz w:val="22"/>
          <w:szCs w:val="22"/>
        </w:rPr>
      </w:pPr>
      <w:r>
        <w:rPr>
          <w:sz w:val="22"/>
          <w:szCs w:val="22"/>
        </w:rPr>
        <w:t>21-6-48</w:t>
      </w:r>
      <w:r>
        <w:rPr>
          <w:sz w:val="22"/>
          <w:szCs w:val="22"/>
        </w:rPr>
        <w:tab/>
        <w:t>)</w:t>
      </w:r>
      <w:r>
        <w:rPr>
          <w:sz w:val="22"/>
          <w:szCs w:val="22"/>
        </w:rPr>
        <w:tab/>
        <w:t xml:space="preserve">£5,000 </w:t>
      </w:r>
      <w:r>
        <w:rPr>
          <w:sz w:val="22"/>
          <w:szCs w:val="22"/>
        </w:rPr>
        <w:tab/>
      </w:r>
      <w:r>
        <w:rPr>
          <w:sz w:val="22"/>
          <w:szCs w:val="22"/>
        </w:rPr>
        <w:tab/>
        <w:t>Mr Ghulam Mohamed</w:t>
      </w:r>
    </w:p>
    <w:p w14:paraId="7224A566" w14:textId="77777777" w:rsidR="00C53962" w:rsidRDefault="00C53962" w:rsidP="006D2451">
      <w:pPr>
        <w:autoSpaceDE w:val="0"/>
        <w:spacing w:before="240" w:after="240"/>
        <w:ind w:left="2534" w:firstLine="306"/>
        <w:jc w:val="both"/>
        <w:rPr>
          <w:sz w:val="22"/>
          <w:szCs w:val="22"/>
        </w:rPr>
      </w:pPr>
      <w:r>
        <w:rPr>
          <w:sz w:val="22"/>
          <w:szCs w:val="22"/>
        </w:rPr>
        <w:t>)</w:t>
      </w:r>
      <w:r>
        <w:rPr>
          <w:sz w:val="22"/>
          <w:szCs w:val="22"/>
        </w:rPr>
        <w:tab/>
        <w:t>£44,000</w:t>
      </w:r>
      <w:r>
        <w:rPr>
          <w:sz w:val="22"/>
          <w:szCs w:val="22"/>
        </w:rPr>
        <w:tab/>
      </w:r>
      <w:r w:rsidR="0073296E">
        <w:rPr>
          <w:sz w:val="22"/>
          <w:szCs w:val="22"/>
        </w:rPr>
        <w:tab/>
        <w:t>[Sho</w:t>
      </w:r>
      <w:r w:rsidR="00D918CE">
        <w:rPr>
          <w:sz w:val="22"/>
          <w:szCs w:val="22"/>
        </w:rPr>
        <w:t>a</w:t>
      </w:r>
      <w:r w:rsidR="0073296E">
        <w:rPr>
          <w:sz w:val="22"/>
          <w:szCs w:val="22"/>
        </w:rPr>
        <w:t>ib]</w:t>
      </w:r>
    </w:p>
    <w:p w14:paraId="02EA1BEA" w14:textId="77777777" w:rsidR="0073296E" w:rsidRPr="00602A0D" w:rsidRDefault="0073296E" w:rsidP="006D2451">
      <w:pPr>
        <w:autoSpaceDE w:val="0"/>
        <w:spacing w:before="240" w:after="240"/>
        <w:ind w:left="1814"/>
        <w:jc w:val="both"/>
        <w:rPr>
          <w:sz w:val="22"/>
          <w:szCs w:val="22"/>
        </w:rPr>
      </w:pPr>
      <w:r>
        <w:rPr>
          <w:sz w:val="22"/>
          <w:szCs w:val="22"/>
        </w:rPr>
        <w:tab/>
      </w:r>
      <w:r>
        <w:rPr>
          <w:sz w:val="22"/>
          <w:szCs w:val="22"/>
        </w:rPr>
        <w:tab/>
        <w:t>)</w:t>
      </w:r>
      <w:r>
        <w:rPr>
          <w:sz w:val="22"/>
          <w:szCs w:val="22"/>
        </w:rPr>
        <w:tab/>
        <w:t>£100,000</w:t>
      </w:r>
      <w:r>
        <w:rPr>
          <w:sz w:val="22"/>
          <w:szCs w:val="22"/>
        </w:rPr>
        <w:tab/>
        <w:t>under control of [</w:t>
      </w:r>
      <w:r w:rsidR="00D918CE">
        <w:rPr>
          <w:sz w:val="22"/>
          <w:szCs w:val="22"/>
        </w:rPr>
        <w:t xml:space="preserve">Shoaib] for </w:t>
      </w:r>
      <w:r w:rsidR="00B466F4">
        <w:rPr>
          <w:sz w:val="22"/>
          <w:szCs w:val="22"/>
        </w:rPr>
        <w:t>[</w:t>
      </w:r>
      <w:r w:rsidR="00D918CE">
        <w:rPr>
          <w:sz w:val="22"/>
          <w:szCs w:val="22"/>
        </w:rPr>
        <w:t>Cotton</w:t>
      </w:r>
      <w:r w:rsidR="00B466F4">
        <w:rPr>
          <w:sz w:val="22"/>
          <w:szCs w:val="22"/>
        </w:rPr>
        <w:t>]</w:t>
      </w:r>
      <w:r w:rsidR="00D918CE">
        <w:rPr>
          <w:sz w:val="22"/>
          <w:szCs w:val="22"/>
        </w:rPr>
        <w:t>”</w:t>
      </w:r>
    </w:p>
    <w:p w14:paraId="6A3D9C2C" w14:textId="77777777" w:rsidR="00D918CE" w:rsidRPr="00D918CE" w:rsidRDefault="00D918CE" w:rsidP="006D2451">
      <w:pPr>
        <w:autoSpaceDE w:val="0"/>
        <w:spacing w:before="240" w:after="240"/>
        <w:ind w:left="1814"/>
        <w:jc w:val="both"/>
      </w:pPr>
      <w:r>
        <w:t xml:space="preserve">The first £100,000 is – by its amount and date – obviously Transaction </w:t>
      </w:r>
      <w:r w:rsidR="002E11AD">
        <w:t>6</w:t>
      </w:r>
      <w:r w:rsidR="00B466F4">
        <w:t xml:space="preserve">; </w:t>
      </w:r>
      <w:r w:rsidR="00720C7C">
        <w:t>the £44,000 and the second £100,000 would appear to be Transactions 7 and 8</w:t>
      </w:r>
      <w:r w:rsidR="00755D75">
        <w:t xml:space="preserve">. The letter is </w:t>
      </w:r>
      <w:r w:rsidR="00DB261F">
        <w:t xml:space="preserve">significant because it shows Mir reporting to the Hyderabad Government on transactions being undertaken for Hyderabad. </w:t>
      </w:r>
      <w:r w:rsidR="00CC7E84">
        <w:t>It is speculation, but I infer from all the circumstances that “HEPM” is a reference to His Excellency the Prime Minister – Laik Ali – and that “HFM”</w:t>
      </w:r>
      <w:r w:rsidR="005B02A4">
        <w:t xml:space="preserve"> is a reference to Hyderabad Finance Minister – Moin.</w:t>
      </w:r>
    </w:p>
    <w:p w14:paraId="589D3EB8" w14:textId="77777777" w:rsidR="000B1C0A" w:rsidRDefault="000B1C0A" w:rsidP="006D2451">
      <w:pPr>
        <w:numPr>
          <w:ilvl w:val="2"/>
          <w:numId w:val="2"/>
        </w:numPr>
        <w:autoSpaceDE w:val="0"/>
        <w:spacing w:before="240" w:after="240"/>
        <w:jc w:val="both"/>
      </w:pPr>
      <w:r>
        <w:rPr>
          <w:i/>
          <w:iCs/>
        </w:rPr>
        <w:t>Transaction 7</w:t>
      </w:r>
      <w:r>
        <w:t>.</w:t>
      </w:r>
      <w:r w:rsidR="00142D18">
        <w:t xml:space="preserve"> This was a payment, out of the Second Account, of £44,000 to Shoaib, made on </w:t>
      </w:r>
      <w:r w:rsidR="00F450F5">
        <w:t>21 June</w:t>
      </w:r>
      <w:r w:rsidR="00142D18">
        <w:t xml:space="preserve"> 1948.</w:t>
      </w:r>
      <w:r w:rsidR="001318A8">
        <w:t xml:space="preserve"> There is a letter</w:t>
      </w:r>
      <w:r w:rsidR="002E35AF">
        <w:t xml:space="preserve"> </w:t>
      </w:r>
      <w:r w:rsidR="002E35AF">
        <w:rPr>
          <w:u w:val="single"/>
        </w:rPr>
        <w:t>to</w:t>
      </w:r>
      <w:r w:rsidR="002E35AF">
        <w:t xml:space="preserve"> Mir from </w:t>
      </w:r>
      <w:r w:rsidR="00940E1F">
        <w:t>Mirza</w:t>
      </w:r>
      <w:r w:rsidR="00940E1F">
        <w:rPr>
          <w:rStyle w:val="FootnoteReference"/>
        </w:rPr>
        <w:footnoteReference w:id="150"/>
      </w:r>
      <w:r w:rsidR="002E35AF">
        <w:t xml:space="preserve"> requesting that Shoaib’s account with the Bank be credited with the sum of £44,000</w:t>
      </w:r>
      <w:r w:rsidR="00267F26">
        <w:t>.</w:t>
      </w:r>
      <w:r w:rsidR="004F703B">
        <w:t xml:space="preserve"> The request to the Bank </w:t>
      </w:r>
      <w:r w:rsidR="00492C9F">
        <w:t>to effect this transaction was made by Mir on the same day.</w:t>
      </w:r>
    </w:p>
    <w:p w14:paraId="237BF78E" w14:textId="77777777" w:rsidR="00577C48" w:rsidRDefault="000B1C0A" w:rsidP="006D2451">
      <w:pPr>
        <w:numPr>
          <w:ilvl w:val="2"/>
          <w:numId w:val="2"/>
        </w:numPr>
        <w:autoSpaceDE w:val="0"/>
        <w:spacing w:before="240" w:after="240"/>
        <w:jc w:val="both"/>
      </w:pPr>
      <w:r>
        <w:rPr>
          <w:i/>
          <w:iCs/>
        </w:rPr>
        <w:t>Transaction 8</w:t>
      </w:r>
      <w:r w:rsidRPr="000B1C0A">
        <w:t>.</w:t>
      </w:r>
      <w:r w:rsidR="00506ED2">
        <w:t xml:space="preserve"> </w:t>
      </w:r>
      <w:r w:rsidR="002E11AD">
        <w:t xml:space="preserve">This was a payment to Barclays Bank in the amount of £100,000 </w:t>
      </w:r>
      <w:r w:rsidR="00B466F4">
        <w:t>in favour of Cotton under the control of Shoaib out of the Second Account.</w:t>
      </w:r>
      <w:r w:rsidR="00ED5D50">
        <w:t xml:space="preserve"> On 21 June 1948, Mir wrote to </w:t>
      </w:r>
      <w:r w:rsidR="00CD5C5C">
        <w:t>the Bank, requesting that the Second Account be debited “with a sum of…£100,000</w:t>
      </w:r>
      <w:r w:rsidR="0040024D">
        <w:t>…and establish an irrevocable credit with Barclays Bank Ltd</w:t>
      </w:r>
      <w:r w:rsidR="006D6C17">
        <w:t>…in favour of F Sidney Cotton of 3 Seamore Place, Curzon Street, W1</w:t>
      </w:r>
      <w:r w:rsidR="00B23572">
        <w:t>, authorising the said Barclays Bank to release various sums to the said F Sidney Cotton</w:t>
      </w:r>
      <w:r w:rsidR="0049043A">
        <w:t xml:space="preserve"> as may be directed by Mr M Shoaib”</w:t>
      </w:r>
      <w:r w:rsidR="000155C5">
        <w:t>.</w:t>
      </w:r>
      <w:r w:rsidR="00ED5D50">
        <w:t xml:space="preserve"> </w:t>
      </w:r>
    </w:p>
    <w:p w14:paraId="65D4CCD7" w14:textId="77777777" w:rsidR="0043272A" w:rsidRDefault="00313407" w:rsidP="006D2451">
      <w:pPr>
        <w:numPr>
          <w:ilvl w:val="1"/>
          <w:numId w:val="2"/>
        </w:numPr>
        <w:autoSpaceDE w:val="0"/>
        <w:spacing w:before="240" w:after="240"/>
        <w:jc w:val="both"/>
      </w:pPr>
      <w:r>
        <w:lastRenderedPageBreak/>
        <w:t xml:space="preserve">I find that Transactions 3, </w:t>
      </w:r>
      <w:r w:rsidR="00FD14F5">
        <w:t>4</w:t>
      </w:r>
      <w:r w:rsidR="003B12CC">
        <w:t xml:space="preserve">, 6, 7 and 8 were all payments for the acquisition and/or transport of weapons or similar </w:t>
      </w:r>
      <w:r w:rsidR="003B12CC" w:rsidRPr="003B12CC">
        <w:rPr>
          <w:i/>
          <w:iCs/>
        </w:rPr>
        <w:t>materiel</w:t>
      </w:r>
      <w:r w:rsidR="003B12CC">
        <w:t xml:space="preserve"> to Pakistan and/or to Hyderabad. </w:t>
      </w:r>
      <w:r w:rsidR="0043272A">
        <w:t xml:space="preserve">It is difficult to be more specific </w:t>
      </w:r>
      <w:r w:rsidR="00F975DC">
        <w:t xml:space="preserve">as to the precise nature of the transactions, </w:t>
      </w:r>
      <w:r w:rsidR="0043272A">
        <w:t>but this broad conclusion is justified by the evidence:</w:t>
      </w:r>
    </w:p>
    <w:p w14:paraId="2FC32E2C" w14:textId="77777777" w:rsidR="000C7F91" w:rsidRDefault="0043272A" w:rsidP="006D2451">
      <w:pPr>
        <w:numPr>
          <w:ilvl w:val="2"/>
          <w:numId w:val="2"/>
        </w:numPr>
        <w:autoSpaceDE w:val="0"/>
        <w:spacing w:before="240" w:after="240"/>
        <w:jc w:val="both"/>
      </w:pPr>
      <w:r>
        <w:t xml:space="preserve">The payments </w:t>
      </w:r>
      <w:r w:rsidR="00984FA7">
        <w:t xml:space="preserve">out of the Second Account </w:t>
      </w:r>
      <w:r w:rsidRPr="00751778">
        <w:t xml:space="preserve">were </w:t>
      </w:r>
      <w:r w:rsidR="00D66AE7" w:rsidRPr="00751778">
        <w:t>in</w:t>
      </w:r>
      <w:r w:rsidR="00A5195B" w:rsidRPr="00751778">
        <w:t>i</w:t>
      </w:r>
      <w:r w:rsidR="00D66AE7" w:rsidRPr="00751778">
        <w:t>tiated by</w:t>
      </w:r>
      <w:r w:rsidR="00D66AE7">
        <w:t xml:space="preserve"> either Shoaib or Mirza, who</w:t>
      </w:r>
      <w:r w:rsidR="00BD40DB">
        <w:t xml:space="preserve"> were both involved in the Pakistan military establishment, Shoaib </w:t>
      </w:r>
      <w:r w:rsidR="000C7F91">
        <w:t>in Pakistan’s Ministry of Finance as the Financial Adviser, Military Finance and Mirza as Pakistan’s Secretary of Defence.</w:t>
      </w:r>
    </w:p>
    <w:p w14:paraId="6DCF0E32" w14:textId="77777777" w:rsidR="00B363AB" w:rsidRDefault="00984FA7" w:rsidP="006D2451">
      <w:pPr>
        <w:numPr>
          <w:ilvl w:val="2"/>
          <w:numId w:val="2"/>
        </w:numPr>
        <w:autoSpaceDE w:val="0"/>
        <w:spacing w:before="240" w:after="240"/>
        <w:jc w:val="both"/>
      </w:pPr>
      <w:r>
        <w:t>At least some of the payments out of</w:t>
      </w:r>
      <w:r w:rsidR="003B12CC">
        <w:t xml:space="preserve"> </w:t>
      </w:r>
      <w:r>
        <w:t xml:space="preserve">the Second Account </w:t>
      </w:r>
      <w:r w:rsidR="00FA3710">
        <w:t xml:space="preserve">went </w:t>
      </w:r>
      <w:r w:rsidR="00E032DA">
        <w:t xml:space="preserve">indirectly </w:t>
      </w:r>
      <w:r w:rsidR="00FA3710">
        <w:t>to Cotton</w:t>
      </w:r>
      <w:r w:rsidR="00E032DA">
        <w:t xml:space="preserve"> or were earmarked for his use</w:t>
      </w:r>
      <w:r w:rsidR="00FA3710">
        <w:t xml:space="preserve"> who, as I have described, was himself implicated in the supply and transport of weapons</w:t>
      </w:r>
      <w:r w:rsidR="00AF13F3">
        <w:t>. Thus, Transaction</w:t>
      </w:r>
      <w:r w:rsidR="005D0E6F">
        <w:t xml:space="preserve"> </w:t>
      </w:r>
      <w:r w:rsidR="00AF13F3">
        <w:t>8</w:t>
      </w:r>
      <w:r w:rsidR="007F2037">
        <w:t xml:space="preserve"> expressly reference</w:t>
      </w:r>
      <w:r w:rsidR="00652A61">
        <w:t>s</w:t>
      </w:r>
      <w:r w:rsidR="007F2037">
        <w:t xml:space="preserve"> Cotton. </w:t>
      </w:r>
    </w:p>
    <w:p w14:paraId="3B60878E" w14:textId="77777777" w:rsidR="00544F3B" w:rsidRDefault="00B363AB" w:rsidP="006D2451">
      <w:pPr>
        <w:numPr>
          <w:ilvl w:val="2"/>
          <w:numId w:val="2"/>
        </w:numPr>
        <w:autoSpaceDE w:val="0"/>
        <w:spacing w:before="240" w:after="240"/>
        <w:jc w:val="both"/>
      </w:pPr>
      <w:r>
        <w:t>S</w:t>
      </w:r>
      <w:r w:rsidR="006A5E07">
        <w:t>ome payments out of Shoaib’s account with the Bank can also be shown to have gone to Cotton</w:t>
      </w:r>
      <w:r w:rsidR="009B12E1">
        <w:t xml:space="preserve">: </w:t>
      </w:r>
      <w:r w:rsidR="000C3745">
        <w:t xml:space="preserve">a payment of £140,000 to the Aeronautical and Industrial Research Corporation </w:t>
      </w:r>
      <w:r w:rsidR="00C03F29">
        <w:t xml:space="preserve">Ltd was authorised on 29 April 1948. The company’s address was given as </w:t>
      </w:r>
      <w:r w:rsidR="001828E9">
        <w:t>“3 Seamore Place, Curzon Street, W1”, which was Cotton’s address.</w:t>
      </w:r>
      <w:r w:rsidR="001828E9">
        <w:rPr>
          <w:rStyle w:val="FootnoteReference"/>
        </w:rPr>
        <w:footnoteReference w:id="151"/>
      </w:r>
    </w:p>
    <w:p w14:paraId="013D21F0" w14:textId="77777777" w:rsidR="00FF7626" w:rsidRDefault="008D410D" w:rsidP="008139B5">
      <w:pPr>
        <w:numPr>
          <w:ilvl w:val="0"/>
          <w:numId w:val="2"/>
        </w:numPr>
        <w:autoSpaceDE w:val="0"/>
        <w:spacing w:before="240" w:after="240"/>
        <w:jc w:val="both"/>
      </w:pPr>
      <w:r>
        <w:t xml:space="preserve">This expenditure – and its purpose – was well-known to the </w:t>
      </w:r>
      <w:r w:rsidR="00FF7626">
        <w:t>Hyderabad authorities:</w:t>
      </w:r>
    </w:p>
    <w:p w14:paraId="214BB561" w14:textId="77777777" w:rsidR="00FF7626" w:rsidRDefault="000D1F71" w:rsidP="00FF7626">
      <w:pPr>
        <w:numPr>
          <w:ilvl w:val="1"/>
          <w:numId w:val="2"/>
        </w:numPr>
        <w:autoSpaceDE w:val="0"/>
        <w:spacing w:before="240" w:after="240"/>
        <w:jc w:val="both"/>
      </w:pPr>
      <w:r>
        <w:t xml:space="preserve">On 26 January 1948, </w:t>
      </w:r>
      <w:r w:rsidR="00E407F2">
        <w:t xml:space="preserve">Nizam VII issued a firman </w:t>
      </w:r>
      <w:r w:rsidR="003D75B0">
        <w:t xml:space="preserve">which referred to “the reservation </w:t>
      </w:r>
      <w:r w:rsidR="00390A0B">
        <w:t>of the sterling balances held with the Imperial Bank of India, London, wholly for the purchase of machinery”</w:t>
      </w:r>
      <w:r w:rsidR="00093908">
        <w:t>, and commanded “the Sterling amounts held by the Finance Department in their account in England</w:t>
      </w:r>
      <w:r w:rsidR="009D6DDF">
        <w:t xml:space="preserve"> should be reserved wholly for the purchase of machinery and the utilisation of this amount for objects of personal nature </w:t>
      </w:r>
      <w:r w:rsidR="00C96026">
        <w:t>should be prohibited”.</w:t>
      </w:r>
      <w:r w:rsidR="00786E49">
        <w:rPr>
          <w:rStyle w:val="FootnoteReference"/>
        </w:rPr>
        <w:footnoteReference w:id="152"/>
      </w:r>
      <w:r w:rsidR="00517F8A">
        <w:t xml:space="preserve"> </w:t>
      </w:r>
      <w:r w:rsidR="00955D8B">
        <w:t xml:space="preserve">Hyderabad had more foreign currency at its disposal </w:t>
      </w:r>
      <w:r w:rsidR="00EE2146">
        <w:t xml:space="preserve">than simply the money in the </w:t>
      </w:r>
      <w:r w:rsidR="002B5F5F">
        <w:t>Hyderabad State Bank Account or the Second Account.</w:t>
      </w:r>
      <w:r w:rsidR="00BC6C93">
        <w:rPr>
          <w:rStyle w:val="FootnoteReference"/>
        </w:rPr>
        <w:footnoteReference w:id="153"/>
      </w:r>
      <w:r w:rsidR="002B5F5F">
        <w:t xml:space="preserve"> </w:t>
      </w:r>
      <w:r w:rsidR="00DB6B9B">
        <w:t>It may, therefore, be that the reference to these sterling amounts was to money still held with the Imperial Bank of India</w:t>
      </w:r>
      <w:r w:rsidR="008966F5">
        <w:t xml:space="preserve"> and not that transferred </w:t>
      </w:r>
      <w:r w:rsidR="008966F5">
        <w:rPr>
          <w:u w:val="single"/>
        </w:rPr>
        <w:t>from</w:t>
      </w:r>
      <w:r w:rsidR="008966F5">
        <w:t xml:space="preserve"> the Imperial Bank of India to the Hyderabad State Bank Account with the Bank. </w:t>
      </w:r>
      <w:r w:rsidR="00607ED7">
        <w:t xml:space="preserve">Equally, I do not need to speculate whether the reference to “machinery” </w:t>
      </w:r>
      <w:r w:rsidR="007A7E1B">
        <w:t xml:space="preserve">was a euphemistic reference to weapons. What I derive from this firman is that </w:t>
      </w:r>
      <w:r w:rsidR="00345F6D">
        <w:t>the Hyderabad foreign currency reserves were the subject of interest and control by Nizam VII himself.</w:t>
      </w:r>
      <w:r w:rsidR="008966F5">
        <w:t xml:space="preserve"> </w:t>
      </w:r>
    </w:p>
    <w:p w14:paraId="7079FEC3" w14:textId="77777777" w:rsidR="00801237" w:rsidRDefault="00801237" w:rsidP="00FF7626">
      <w:pPr>
        <w:numPr>
          <w:ilvl w:val="1"/>
          <w:numId w:val="2"/>
        </w:numPr>
        <w:autoSpaceDE w:val="0"/>
        <w:spacing w:before="240" w:after="240"/>
        <w:jc w:val="both"/>
      </w:pPr>
      <w:r>
        <w:t xml:space="preserve">On </w:t>
      </w:r>
      <w:r w:rsidR="00824C3A">
        <w:t>13 June 1948</w:t>
      </w:r>
      <w:r w:rsidR="00567B3A">
        <w:t xml:space="preserve">, Nizam VII issued a “most secret” firman. </w:t>
      </w:r>
      <w:r w:rsidR="00EB5504">
        <w:t>It stated:</w:t>
      </w:r>
    </w:p>
    <w:p w14:paraId="132F70D9" w14:textId="77777777" w:rsidR="00EB5504" w:rsidRDefault="00EB5504" w:rsidP="00EB5504">
      <w:pPr>
        <w:autoSpaceDE w:val="0"/>
        <w:spacing w:before="240" w:after="240"/>
        <w:ind w:left="1134"/>
        <w:jc w:val="both"/>
        <w:rPr>
          <w:sz w:val="22"/>
          <w:szCs w:val="22"/>
        </w:rPr>
      </w:pPr>
      <w:r>
        <w:rPr>
          <w:sz w:val="22"/>
          <w:szCs w:val="22"/>
        </w:rPr>
        <w:t xml:space="preserve">“The instructions issued and the action taken by the Prime Minister </w:t>
      </w:r>
      <w:r w:rsidR="008B3FF5">
        <w:rPr>
          <w:sz w:val="22"/>
          <w:szCs w:val="22"/>
        </w:rPr>
        <w:t>in view of the emergency conditions in the matter of transferring of £ Sterling One Million</w:t>
      </w:r>
      <w:r w:rsidR="009200EB">
        <w:rPr>
          <w:sz w:val="22"/>
          <w:szCs w:val="22"/>
        </w:rPr>
        <w:t xml:space="preserve"> from the Government Funds in favour of Mir Nawaz Jung and incurring expenditure therefrom on </w:t>
      </w:r>
      <w:r w:rsidR="009200EB">
        <w:rPr>
          <w:sz w:val="22"/>
          <w:szCs w:val="22"/>
        </w:rPr>
        <w:lastRenderedPageBreak/>
        <w:t>official purposes from time to time</w:t>
      </w:r>
      <w:r w:rsidR="001F3D13">
        <w:rPr>
          <w:sz w:val="22"/>
          <w:szCs w:val="22"/>
        </w:rPr>
        <w:t xml:space="preserve"> for various secret objects as stated in the Prime Minister’s English Arzdasht dated 5 June 1948</w:t>
      </w:r>
      <w:r w:rsidR="001F3D13">
        <w:rPr>
          <w:rStyle w:val="FootnoteReference"/>
          <w:sz w:val="22"/>
          <w:szCs w:val="22"/>
        </w:rPr>
        <w:footnoteReference w:id="154"/>
      </w:r>
      <w:r w:rsidR="00A80894">
        <w:rPr>
          <w:sz w:val="22"/>
          <w:szCs w:val="22"/>
        </w:rPr>
        <w:t xml:space="preserve"> is confirmed and sanctioned</w:t>
      </w:r>
      <w:r w:rsidR="004363C9">
        <w:rPr>
          <w:sz w:val="22"/>
          <w:szCs w:val="22"/>
        </w:rPr>
        <w:t>.</w:t>
      </w:r>
    </w:p>
    <w:p w14:paraId="1E08E337" w14:textId="77777777" w:rsidR="004363C9" w:rsidRDefault="004363C9" w:rsidP="00EB5504">
      <w:pPr>
        <w:autoSpaceDE w:val="0"/>
        <w:spacing w:before="240" w:after="240"/>
        <w:ind w:left="1134"/>
        <w:jc w:val="both"/>
        <w:rPr>
          <w:sz w:val="22"/>
          <w:szCs w:val="22"/>
        </w:rPr>
      </w:pPr>
      <w:r>
        <w:rPr>
          <w:sz w:val="22"/>
          <w:szCs w:val="22"/>
        </w:rPr>
        <w:t>…</w:t>
      </w:r>
    </w:p>
    <w:p w14:paraId="5601792A" w14:textId="77777777" w:rsidR="004363C9" w:rsidRPr="00EB5504" w:rsidRDefault="004363C9" w:rsidP="00EB5504">
      <w:pPr>
        <w:autoSpaceDE w:val="0"/>
        <w:spacing w:before="240" w:after="240"/>
        <w:ind w:left="1134"/>
        <w:jc w:val="both"/>
        <w:rPr>
          <w:sz w:val="22"/>
          <w:szCs w:val="22"/>
        </w:rPr>
      </w:pPr>
      <w:r>
        <w:rPr>
          <w:sz w:val="22"/>
          <w:szCs w:val="22"/>
        </w:rPr>
        <w:t>3.</w:t>
      </w:r>
      <w:r>
        <w:rPr>
          <w:sz w:val="22"/>
          <w:szCs w:val="22"/>
        </w:rPr>
        <w:tab/>
        <w:t xml:space="preserve">A Statement of the expenses incurred will be subsequently submitted direct to </w:t>
      </w:r>
      <w:r w:rsidR="00EE7753">
        <w:rPr>
          <w:sz w:val="22"/>
          <w:szCs w:val="22"/>
        </w:rPr>
        <w:t xml:space="preserve">me and it will be sufficient if, for the purpose of settlement of accounts, only a certificate to the effect </w:t>
      </w:r>
      <w:r w:rsidR="00714126">
        <w:rPr>
          <w:sz w:val="22"/>
          <w:szCs w:val="22"/>
        </w:rPr>
        <w:t>that these expenses have really been incurred with my sanction on Government objects is sent to the Controller-General of Accounts &amp; Audit.</w:t>
      </w:r>
      <w:r w:rsidR="00A80D00">
        <w:rPr>
          <w:sz w:val="22"/>
          <w:szCs w:val="22"/>
        </w:rPr>
        <w:t xml:space="preserve"> If expenses of a similar nature are incurred in future, then similar procedure will be adopted in respect of their accounts, etc.”</w:t>
      </w:r>
    </w:p>
    <w:p w14:paraId="11922557" w14:textId="77777777" w:rsidR="003545C8" w:rsidRPr="00285032" w:rsidRDefault="00F011C3" w:rsidP="003545C8">
      <w:pPr>
        <w:autoSpaceDE w:val="0"/>
        <w:spacing w:before="240" w:after="240"/>
        <w:ind w:left="1134"/>
        <w:jc w:val="both"/>
      </w:pPr>
      <w:r>
        <w:t>This firman</w:t>
      </w:r>
      <w:r w:rsidR="00C73D02">
        <w:t xml:space="preserve"> demonstrates an understanding </w:t>
      </w:r>
      <w:r w:rsidR="005078F4">
        <w:t>on the part of the Nizam of</w:t>
      </w:r>
      <w:r w:rsidR="00505A32">
        <w:t>:</w:t>
      </w:r>
      <w:r w:rsidR="005078F4">
        <w:t xml:space="preserve"> </w:t>
      </w:r>
      <w:r w:rsidR="00505A32">
        <w:rPr>
          <w:i/>
          <w:iCs/>
        </w:rPr>
        <w:t xml:space="preserve">(i) </w:t>
      </w:r>
      <w:r w:rsidR="005078F4">
        <w:t>the establishment of the Second Account</w:t>
      </w:r>
      <w:r w:rsidR="00505A32">
        <w:t xml:space="preserve">; </w:t>
      </w:r>
      <w:r w:rsidR="00505A32">
        <w:rPr>
          <w:i/>
          <w:iCs/>
        </w:rPr>
        <w:t>(ii)</w:t>
      </w:r>
      <w:r w:rsidR="00505A32">
        <w:t xml:space="preserve"> the transfer of £1 million </w:t>
      </w:r>
      <w:r w:rsidR="00285032">
        <w:t xml:space="preserve">into that account; </w:t>
      </w:r>
      <w:r w:rsidR="00285032">
        <w:rPr>
          <w:i/>
          <w:iCs/>
        </w:rPr>
        <w:t>(iii)</w:t>
      </w:r>
      <w:r w:rsidR="005078F4">
        <w:t xml:space="preserve"> the role of Mir</w:t>
      </w:r>
      <w:r w:rsidR="00285032">
        <w:t xml:space="preserve">; and </w:t>
      </w:r>
      <w:r w:rsidR="00285032">
        <w:rPr>
          <w:i/>
          <w:iCs/>
        </w:rPr>
        <w:t>(iv)</w:t>
      </w:r>
      <w:r w:rsidR="00285032">
        <w:t xml:space="preserve"> the use of the Second Acco</w:t>
      </w:r>
      <w:r w:rsidR="00AC4A9B">
        <w:t>unt to further “various secret objects” for “official purposes”. There can be no doubt that Nizam VII knew what was going on</w:t>
      </w:r>
      <w:r w:rsidR="0057020D">
        <w:t>, was authorising transactions like Transactions</w:t>
      </w:r>
      <w:r w:rsidR="00AC105A">
        <w:t xml:space="preserve"> 3, 4, 6, 7 and 8 and was content for transactions like that to be accounted for </w:t>
      </w:r>
      <w:r w:rsidR="0053138C">
        <w:t>in the manner described in paragraph 3 of the firman.</w:t>
      </w:r>
    </w:p>
    <w:p w14:paraId="2EAF2F5B" w14:textId="77777777" w:rsidR="008139B5" w:rsidRDefault="00835C2F" w:rsidP="00FF7626">
      <w:pPr>
        <w:numPr>
          <w:ilvl w:val="1"/>
          <w:numId w:val="2"/>
        </w:numPr>
        <w:autoSpaceDE w:val="0"/>
        <w:spacing w:before="240" w:after="240"/>
        <w:jc w:val="both"/>
      </w:pPr>
      <w:r>
        <w:t>On 5 September 1948, Laik Ali</w:t>
      </w:r>
      <w:r w:rsidR="00C80BB3">
        <w:t xml:space="preserve"> wrote to the Hyderabad Controller-General explaining certain expenditure</w:t>
      </w:r>
      <w:r w:rsidR="00190B67">
        <w:t>:</w:t>
      </w:r>
    </w:p>
    <w:p w14:paraId="11B88B1B" w14:textId="77777777" w:rsidR="00190B67" w:rsidRDefault="00190B67" w:rsidP="00FF7626">
      <w:pPr>
        <w:autoSpaceDE w:val="0"/>
        <w:spacing w:before="240" w:after="240"/>
        <w:ind w:left="1134"/>
        <w:jc w:val="both"/>
        <w:rPr>
          <w:sz w:val="22"/>
          <w:szCs w:val="22"/>
        </w:rPr>
      </w:pPr>
      <w:r>
        <w:rPr>
          <w:sz w:val="22"/>
          <w:szCs w:val="22"/>
        </w:rPr>
        <w:t xml:space="preserve">“…I had authorised an expenditure </w:t>
      </w:r>
      <w:r w:rsidR="00135FF3">
        <w:rPr>
          <w:sz w:val="22"/>
          <w:szCs w:val="22"/>
        </w:rPr>
        <w:t>of £ one million to be incurred by our Agent-General at London, out of the balance of the £ two millions</w:t>
      </w:r>
      <w:r w:rsidR="000F0E51">
        <w:rPr>
          <w:sz w:val="22"/>
          <w:szCs w:val="22"/>
        </w:rPr>
        <w:t>, held by the Government with the Westminster Bank, London.</w:t>
      </w:r>
    </w:p>
    <w:p w14:paraId="6FBD4480" w14:textId="77777777" w:rsidR="005C564C" w:rsidRPr="00190B67" w:rsidRDefault="005C564C" w:rsidP="00FF7626">
      <w:pPr>
        <w:autoSpaceDE w:val="0"/>
        <w:spacing w:before="240" w:after="240"/>
        <w:ind w:left="1134"/>
        <w:jc w:val="both"/>
        <w:rPr>
          <w:sz w:val="22"/>
          <w:szCs w:val="22"/>
        </w:rPr>
      </w:pPr>
      <w:r>
        <w:rPr>
          <w:sz w:val="22"/>
          <w:szCs w:val="22"/>
        </w:rPr>
        <w:t xml:space="preserve">The above amounts were reported </w:t>
      </w:r>
      <w:r w:rsidR="005126AC">
        <w:rPr>
          <w:sz w:val="22"/>
          <w:szCs w:val="22"/>
        </w:rPr>
        <w:t xml:space="preserve">by the two Agents-General at London and Karachi to have been utilised on the purchase of miscellaneous equipment and stores on demand </w:t>
      </w:r>
      <w:r w:rsidR="00073E79">
        <w:rPr>
          <w:sz w:val="22"/>
          <w:szCs w:val="22"/>
        </w:rPr>
        <w:t xml:space="preserve">of the Army Commander. On the basis of this, the expenditure may be booked under 41-Misc </w:t>
      </w:r>
      <w:r w:rsidR="0005754C">
        <w:rPr>
          <w:sz w:val="22"/>
          <w:szCs w:val="22"/>
        </w:rPr>
        <w:t>–</w:t>
      </w:r>
      <w:r w:rsidR="00073E79">
        <w:rPr>
          <w:sz w:val="22"/>
          <w:szCs w:val="22"/>
        </w:rPr>
        <w:t xml:space="preserve"> MISCELLANEOUS</w:t>
      </w:r>
      <w:r w:rsidR="0005754C">
        <w:rPr>
          <w:sz w:val="22"/>
          <w:szCs w:val="22"/>
        </w:rPr>
        <w:t>.”</w:t>
      </w:r>
    </w:p>
    <w:p w14:paraId="4AF9DD75" w14:textId="77777777" w:rsidR="0053138C" w:rsidRDefault="0053138C" w:rsidP="0053138C">
      <w:pPr>
        <w:autoSpaceDE w:val="0"/>
        <w:spacing w:before="240" w:after="240"/>
        <w:ind w:left="1134"/>
        <w:jc w:val="both"/>
      </w:pPr>
      <w:r>
        <w:t>It is clea</w:t>
      </w:r>
      <w:r w:rsidR="00315E7A">
        <w:t>r</w:t>
      </w:r>
      <w:r>
        <w:t xml:space="preserve"> that the </w:t>
      </w:r>
      <w:r w:rsidR="00315E7A">
        <w:t>accounting process authorised by Nizam VII was being followed.</w:t>
      </w:r>
    </w:p>
    <w:p w14:paraId="6EB1AE30" w14:textId="77777777" w:rsidR="00190B67" w:rsidRDefault="00692E21" w:rsidP="00FF7626">
      <w:pPr>
        <w:numPr>
          <w:ilvl w:val="1"/>
          <w:numId w:val="2"/>
        </w:numPr>
        <w:autoSpaceDE w:val="0"/>
        <w:spacing w:before="240" w:after="240"/>
        <w:jc w:val="both"/>
      </w:pPr>
      <w:r>
        <w:t>On 14 September 1948, Moin wrote to Mir in the following terms:</w:t>
      </w:r>
    </w:p>
    <w:p w14:paraId="31745BBA" w14:textId="77777777" w:rsidR="00692E21" w:rsidRPr="001145FC" w:rsidRDefault="00692E21" w:rsidP="00FF7626">
      <w:pPr>
        <w:autoSpaceDE w:val="0"/>
        <w:spacing w:before="240" w:after="240"/>
        <w:ind w:left="1134"/>
        <w:jc w:val="both"/>
        <w:rPr>
          <w:sz w:val="22"/>
          <w:szCs w:val="22"/>
        </w:rPr>
      </w:pPr>
      <w:r>
        <w:rPr>
          <w:sz w:val="22"/>
          <w:szCs w:val="22"/>
        </w:rPr>
        <w:t>“</w:t>
      </w:r>
      <w:r w:rsidR="00692411">
        <w:rPr>
          <w:sz w:val="22"/>
          <w:szCs w:val="22"/>
        </w:rPr>
        <w:t xml:space="preserve">This is to inform you that under orders of the Nizam, the Prime Minister has certified as secret expenditure </w:t>
      </w:r>
      <w:r w:rsidR="00EA1B3E">
        <w:rPr>
          <w:sz w:val="22"/>
          <w:szCs w:val="22"/>
        </w:rPr>
        <w:t>the amount totalling one million pounds sterling from the account of the Nizam’s Government with the [Bank]</w:t>
      </w:r>
      <w:r w:rsidR="00800ADD">
        <w:rPr>
          <w:sz w:val="22"/>
          <w:szCs w:val="22"/>
        </w:rPr>
        <w:t>. The certificate has been recorded with the Comptroller General of Accounts and Audit at Hyderabad.”</w:t>
      </w:r>
    </w:p>
    <w:p w14:paraId="57EFC4D0" w14:textId="77777777" w:rsidR="00F23406" w:rsidRPr="00F23406" w:rsidRDefault="005E4773" w:rsidP="00754578">
      <w:pPr>
        <w:numPr>
          <w:ilvl w:val="0"/>
          <w:numId w:val="2"/>
        </w:numPr>
        <w:autoSpaceDE w:val="0"/>
        <w:spacing w:before="240" w:after="240"/>
        <w:jc w:val="both"/>
        <w:rPr>
          <w:b/>
          <w:bCs/>
        </w:rPr>
      </w:pPr>
      <w:r>
        <w:t xml:space="preserve">In light of this evidence, </w:t>
      </w:r>
      <w:r w:rsidR="00754578">
        <w:t xml:space="preserve">I </w:t>
      </w:r>
      <w:r w:rsidR="0093535C">
        <w:t>find that</w:t>
      </w:r>
      <w:r w:rsidR="00F23406">
        <w:t>:</w:t>
      </w:r>
    </w:p>
    <w:p w14:paraId="245E3C07" w14:textId="77777777" w:rsidR="0093535C" w:rsidRPr="00F23406" w:rsidRDefault="00F23406" w:rsidP="00F23406">
      <w:pPr>
        <w:numPr>
          <w:ilvl w:val="1"/>
          <w:numId w:val="2"/>
        </w:numPr>
        <w:autoSpaceDE w:val="0"/>
        <w:spacing w:before="240" w:after="240"/>
        <w:jc w:val="both"/>
        <w:rPr>
          <w:b/>
          <w:bCs/>
        </w:rPr>
      </w:pPr>
      <w:r>
        <w:t>T</w:t>
      </w:r>
      <w:r w:rsidR="005E4773">
        <w:t xml:space="preserve">he Government </w:t>
      </w:r>
      <w:r w:rsidR="00D600FD">
        <w:t xml:space="preserve">of </w:t>
      </w:r>
      <w:r w:rsidR="00AD6C78">
        <w:t>Hyderabad was</w:t>
      </w:r>
      <w:r w:rsidR="000C789B">
        <w:t xml:space="preserve"> involved in the funding of the provision of weapons in its own defence</w:t>
      </w:r>
      <w:r w:rsidR="00111014">
        <w:t xml:space="preserve"> against the perceived aggression of India</w:t>
      </w:r>
      <w:r w:rsidR="000C789B">
        <w:t>.</w:t>
      </w:r>
      <w:r w:rsidR="00111014">
        <w:t xml:space="preserve"> </w:t>
      </w:r>
      <w:r w:rsidR="00F368EC">
        <w:t xml:space="preserve">It is impossible to be certain as to the extent </w:t>
      </w:r>
      <w:r w:rsidR="00BD7951">
        <w:t>of the purchases of weapons by the Government of Hyderabad</w:t>
      </w:r>
      <w:r w:rsidR="0023371F">
        <w:t xml:space="preserve">: </w:t>
      </w:r>
      <w:r w:rsidR="00106420">
        <w:t xml:space="preserve">Hyderabad had access to </w:t>
      </w:r>
      <w:r w:rsidR="00A36CBE">
        <w:t>sterling balances</w:t>
      </w:r>
      <w:r w:rsidR="00106420">
        <w:t>, over and above those contained in the Hyderabad State Bank Account and the Second Account</w:t>
      </w:r>
      <w:r w:rsidR="00A36CBE">
        <w:t>,</w:t>
      </w:r>
      <w:r w:rsidR="00106420">
        <w:t xml:space="preserve"> </w:t>
      </w:r>
      <w:r w:rsidR="00A36CBE">
        <w:t xml:space="preserve">with which to fund such purchases. </w:t>
      </w:r>
      <w:r w:rsidR="002356A9">
        <w:t xml:space="preserve">Additionally, </w:t>
      </w:r>
      <w:r w:rsidR="002C16B5">
        <w:t xml:space="preserve">as I have described, </w:t>
      </w:r>
      <w:r w:rsidR="00937D7E">
        <w:t xml:space="preserve">the Government of </w:t>
      </w:r>
      <w:r w:rsidR="002356A9">
        <w:t>Pakistan itself funded some</w:t>
      </w:r>
      <w:r w:rsidR="002C16B5">
        <w:t xml:space="preserve"> weapons purchases</w:t>
      </w:r>
      <w:r w:rsidR="00F83D58">
        <w:t>.</w:t>
      </w:r>
    </w:p>
    <w:p w14:paraId="4E319190" w14:textId="77777777" w:rsidR="002356A9" w:rsidRPr="0055015A" w:rsidRDefault="00F23406" w:rsidP="004320E2">
      <w:pPr>
        <w:numPr>
          <w:ilvl w:val="1"/>
          <w:numId w:val="2"/>
        </w:numPr>
        <w:autoSpaceDE w:val="0"/>
        <w:spacing w:before="240" w:after="240"/>
        <w:jc w:val="both"/>
        <w:rPr>
          <w:b/>
          <w:bCs/>
        </w:rPr>
      </w:pPr>
      <w:r>
        <w:lastRenderedPageBreak/>
        <w:t xml:space="preserve">The Second Account was </w:t>
      </w:r>
      <w:r w:rsidR="002356A9">
        <w:t>clearly implicated</w:t>
      </w:r>
      <w:r w:rsidR="004320E2">
        <w:t xml:space="preserve"> in the purchase of some of these weapons. It is possible to tie a number of transactions taking place on the Second Account to </w:t>
      </w:r>
      <w:r w:rsidR="00D77BD8">
        <w:t>weapons purchases</w:t>
      </w:r>
      <w:r w:rsidR="001A143D">
        <w:t>. Such purchases tended to be intermediated by Shoaib</w:t>
      </w:r>
      <w:r w:rsidR="001434C7">
        <w:t xml:space="preserve">, and the general process appears to have been that Shoaib would instruct </w:t>
      </w:r>
      <w:r w:rsidR="005C0C62">
        <w:t>Mir to make a transfer to him, and he (Shoaib) would then procure the weapons</w:t>
      </w:r>
      <w:r w:rsidR="00C71035">
        <w:t>, either directly or through persons such as Cotton</w:t>
      </w:r>
      <w:r w:rsidR="005C0C62">
        <w:t>.</w:t>
      </w:r>
    </w:p>
    <w:p w14:paraId="5EAA23EB" w14:textId="77777777" w:rsidR="0055015A" w:rsidRPr="0037057A" w:rsidRDefault="0037057A" w:rsidP="004320E2">
      <w:pPr>
        <w:numPr>
          <w:ilvl w:val="1"/>
          <w:numId w:val="2"/>
        </w:numPr>
        <w:autoSpaceDE w:val="0"/>
        <w:spacing w:before="240" w:after="240"/>
        <w:jc w:val="both"/>
      </w:pPr>
      <w:r w:rsidRPr="0037057A">
        <w:t xml:space="preserve">Nizam </w:t>
      </w:r>
      <w:r>
        <w:t xml:space="preserve">VII was </w:t>
      </w:r>
      <w:r w:rsidR="00FF17A4">
        <w:t>aware of</w:t>
      </w:r>
      <w:r w:rsidR="00451ED8">
        <w:t xml:space="preserve"> and approved of this use of the </w:t>
      </w:r>
      <w:r w:rsidR="00B0162A">
        <w:t xml:space="preserve">Second Account. </w:t>
      </w:r>
      <w:r w:rsidR="005A0711">
        <w:t xml:space="preserve">Nizam VII </w:t>
      </w:r>
      <w:r w:rsidR="000E2F12">
        <w:t xml:space="preserve">appreciated the importance of Hyderabad’s sterling balances for the purpose of purchasing weapons, and </w:t>
      </w:r>
      <w:r w:rsidR="00E57914">
        <w:t>included the Second Account.</w:t>
      </w:r>
      <w:r w:rsidR="006B48D4">
        <w:t xml:space="preserve"> The “most secret” firman of June 1948</w:t>
      </w:r>
      <w:r w:rsidR="00A34503">
        <w:t xml:space="preserve"> sanctioned weapons purchases, and put in place </w:t>
      </w:r>
      <w:r w:rsidR="00774A87">
        <w:t xml:space="preserve">a </w:t>
      </w:r>
      <w:r w:rsidR="00977389">
        <w:t>process for the monitoring of</w:t>
      </w:r>
      <w:r w:rsidR="009E2B47">
        <w:t xml:space="preserve"> and accounting for</w:t>
      </w:r>
      <w:r w:rsidR="00977389">
        <w:t xml:space="preserve"> expenditure, which was followed by </w:t>
      </w:r>
      <w:r w:rsidR="0067492A">
        <w:t>officials in Nizam VII’s administration.</w:t>
      </w:r>
    </w:p>
    <w:p w14:paraId="4030C9B6" w14:textId="77777777" w:rsidR="002356A9" w:rsidRDefault="007F4324" w:rsidP="007F4324">
      <w:pPr>
        <w:numPr>
          <w:ilvl w:val="0"/>
          <w:numId w:val="2"/>
        </w:numPr>
        <w:autoSpaceDE w:val="0"/>
        <w:spacing w:before="240" w:after="240"/>
        <w:jc w:val="both"/>
        <w:rPr>
          <w:b/>
          <w:bCs/>
        </w:rPr>
      </w:pPr>
      <w:r>
        <w:t>These conclusions are supported by o</w:t>
      </w:r>
      <w:r w:rsidR="004122D2">
        <w:t>ne</w:t>
      </w:r>
      <w:r>
        <w:t xml:space="preserve"> </w:t>
      </w:r>
      <w:r w:rsidR="00B5260A">
        <w:t xml:space="preserve">other </w:t>
      </w:r>
      <w:r>
        <w:t>indicator</w:t>
      </w:r>
      <w:r w:rsidR="001E5449">
        <w:t>.</w:t>
      </w:r>
      <w:r w:rsidR="00CA35E4">
        <w:t xml:space="preserve"> </w:t>
      </w:r>
      <w:r w:rsidR="002924EB">
        <w:t>The Nizam’s policy towards India was controversial within his own Government. Clearly, Moin and Mir supported it; equally clearly, Gupta did not</w:t>
      </w:r>
      <w:r w:rsidR="00E83203">
        <w:t xml:space="preserve">, as is evidenced by his </w:t>
      </w:r>
      <w:r w:rsidR="00183D7B">
        <w:t>assiduity in freezing the Second Account and the Rahimtoola Account</w:t>
      </w:r>
      <w:r w:rsidR="002924EB">
        <w:t>. I am sure that there were other officials</w:t>
      </w:r>
      <w:r w:rsidR="005A70BA">
        <w:t xml:space="preserve"> who </w:t>
      </w:r>
      <w:r w:rsidR="000654B8">
        <w:t xml:space="preserve">favoured </w:t>
      </w:r>
      <w:r w:rsidR="00DD3F6A">
        <w:t xml:space="preserve">either </w:t>
      </w:r>
      <w:r w:rsidR="00DA68B0">
        <w:t xml:space="preserve">alliance with </w:t>
      </w:r>
      <w:r w:rsidR="000654B8">
        <w:t xml:space="preserve">India or </w:t>
      </w:r>
      <w:r w:rsidR="00DA68B0">
        <w:t xml:space="preserve">with </w:t>
      </w:r>
      <w:r w:rsidR="000654B8">
        <w:t xml:space="preserve">Pakistan in </w:t>
      </w:r>
      <w:r w:rsidR="002924EB">
        <w:t xml:space="preserve">this controversial matter. </w:t>
      </w:r>
      <w:r w:rsidR="00CA35E4">
        <w:t xml:space="preserve">The </w:t>
      </w:r>
      <w:r w:rsidR="00AB3520">
        <w:t>Second Account was operated</w:t>
      </w:r>
      <w:r w:rsidR="00500594">
        <w:t xml:space="preserve"> in a manner intended to </w:t>
      </w:r>
      <w:r w:rsidR="00DA68B0">
        <w:t xml:space="preserve">enable </w:t>
      </w:r>
      <w:r w:rsidR="00A43CA2">
        <w:t xml:space="preserve">a “pro-Pakistan” weapons policy to be implemented </w:t>
      </w:r>
      <w:r w:rsidR="00D96B85">
        <w:t xml:space="preserve">without interference from “pro-India” Hyderabad officials. Thus, the Second Account </w:t>
      </w:r>
      <w:r w:rsidR="008327A2">
        <w:t>had very different signatories for its operation than the Hyderabad State Bank Account,</w:t>
      </w:r>
      <w:r w:rsidR="008327A2">
        <w:rPr>
          <w:rStyle w:val="FootnoteReference"/>
        </w:rPr>
        <w:footnoteReference w:id="155"/>
      </w:r>
      <w:r w:rsidR="008327A2">
        <w:t xml:space="preserve"> and was operated</w:t>
      </w:r>
      <w:r w:rsidR="00AB3520">
        <w:t xml:space="preserve"> </w:t>
      </w:r>
      <w:r w:rsidR="00604BA2">
        <w:t>under conditions of some secrecy</w:t>
      </w:r>
      <w:r w:rsidR="001E5449">
        <w:t xml:space="preserve">, whereby the Bank </w:t>
      </w:r>
      <w:r w:rsidR="00C12AB4">
        <w:t xml:space="preserve">accounted </w:t>
      </w:r>
      <w:r w:rsidR="001D261C">
        <w:t>for transactions</w:t>
      </w:r>
      <w:r w:rsidR="00752917">
        <w:t xml:space="preserve"> not to the Nizam’s Government in Hyderabad but to the </w:t>
      </w:r>
      <w:r w:rsidR="000E236B">
        <w:t>Agent General (Mir) in London.</w:t>
      </w:r>
      <w:r w:rsidR="000E236B">
        <w:rPr>
          <w:rStyle w:val="FootnoteReference"/>
        </w:rPr>
        <w:footnoteReference w:id="156"/>
      </w:r>
      <w:r w:rsidR="000E236B">
        <w:t xml:space="preserve"> </w:t>
      </w:r>
      <w:r w:rsidR="002D73E7">
        <w:t xml:space="preserve">All of this suggests a secret process, in which the Nizam </w:t>
      </w:r>
      <w:r w:rsidR="00746AD1">
        <w:t xml:space="preserve">himself </w:t>
      </w:r>
      <w:r w:rsidR="002D73E7">
        <w:t xml:space="preserve">was complicit, but by no means all of his Government. </w:t>
      </w:r>
      <w:r w:rsidR="006F7598">
        <w:t xml:space="preserve">The process was secret because it </w:t>
      </w:r>
      <w:r w:rsidR="008204F3">
        <w:t>involved (controversially) aligning Hyderabad with Pakistan and not India.</w:t>
      </w:r>
      <w:r w:rsidR="003F06EE">
        <w:t xml:space="preserve"> That suggests that the Second Account was established for the specific purpose of weapons purchases, which indeed it was substantially used for.</w:t>
      </w:r>
      <w:r w:rsidR="001D261C">
        <w:t xml:space="preserve"> </w:t>
      </w:r>
    </w:p>
    <w:p w14:paraId="2AB70EB4" w14:textId="77777777" w:rsidR="001B51F5" w:rsidRPr="00161AB6" w:rsidRDefault="00161AB6" w:rsidP="008A0240">
      <w:pPr>
        <w:keepNext/>
        <w:tabs>
          <w:tab w:val="left" w:pos="567"/>
        </w:tabs>
        <w:autoSpaceDE w:val="0"/>
        <w:spacing w:before="240" w:after="240"/>
        <w:jc w:val="both"/>
        <w:rPr>
          <w:b/>
          <w:bCs/>
        </w:rPr>
      </w:pPr>
      <w:r w:rsidRPr="00161AB6">
        <w:rPr>
          <w:b/>
          <w:bCs/>
        </w:rPr>
        <w:t>(4)</w:t>
      </w:r>
      <w:r w:rsidRPr="00161AB6">
        <w:rPr>
          <w:b/>
          <w:bCs/>
        </w:rPr>
        <w:tab/>
      </w:r>
      <w:r w:rsidR="008569D5">
        <w:rPr>
          <w:b/>
          <w:bCs/>
        </w:rPr>
        <w:t xml:space="preserve">Connection between </w:t>
      </w:r>
      <w:r w:rsidRPr="00161AB6">
        <w:rPr>
          <w:b/>
          <w:bCs/>
        </w:rPr>
        <w:t xml:space="preserve">the Transfer and the provision of </w:t>
      </w:r>
      <w:r w:rsidR="008D742F">
        <w:rPr>
          <w:b/>
          <w:bCs/>
        </w:rPr>
        <w:t>weapons</w:t>
      </w:r>
    </w:p>
    <w:p w14:paraId="4BBBE316" w14:textId="77777777" w:rsidR="00F7056E" w:rsidRDefault="007D46CE" w:rsidP="004569CA">
      <w:pPr>
        <w:numPr>
          <w:ilvl w:val="0"/>
          <w:numId w:val="2"/>
        </w:numPr>
        <w:autoSpaceDE w:val="0"/>
        <w:spacing w:before="240" w:after="240"/>
        <w:jc w:val="both"/>
      </w:pPr>
      <w:r>
        <w:t xml:space="preserve">Pakistan’s </w:t>
      </w:r>
      <w:r w:rsidR="00AD1812">
        <w:t>Arms for Money Argument</w:t>
      </w:r>
      <w:r>
        <w:t xml:space="preserve"> </w:t>
      </w:r>
      <w:r w:rsidR="001100AF">
        <w:t xml:space="preserve">amounts to this: that the Transfer was – in some </w:t>
      </w:r>
      <w:r w:rsidR="00AD1812">
        <w:t xml:space="preserve">unspecified </w:t>
      </w:r>
      <w:r w:rsidR="001100AF">
        <w:t xml:space="preserve">way </w:t>
      </w:r>
      <w:r w:rsidR="004A05B0">
        <w:t>–</w:t>
      </w:r>
      <w:r w:rsidR="001100AF">
        <w:t xml:space="preserve"> </w:t>
      </w:r>
      <w:r w:rsidR="004A05B0">
        <w:t>recompense to Pakistan for the procurement and transport of arms</w:t>
      </w:r>
      <w:r w:rsidR="00961B15">
        <w:t>. I cannot accept this contention</w:t>
      </w:r>
      <w:r w:rsidR="00D75E23">
        <w:t xml:space="preserve"> and reject it </w:t>
      </w:r>
      <w:r w:rsidR="006E529B">
        <w:t>for the f</w:t>
      </w:r>
      <w:r w:rsidR="00F7056E">
        <w:t>ollowing reasons:</w:t>
      </w:r>
    </w:p>
    <w:p w14:paraId="020398B7" w14:textId="77777777" w:rsidR="00F7056E" w:rsidRDefault="00F7056E" w:rsidP="00F7056E">
      <w:pPr>
        <w:numPr>
          <w:ilvl w:val="1"/>
          <w:numId w:val="2"/>
        </w:numPr>
        <w:autoSpaceDE w:val="0"/>
        <w:spacing w:before="240" w:after="240"/>
        <w:jc w:val="both"/>
      </w:pPr>
      <w:r>
        <w:t xml:space="preserve">Whilst the Second Account </w:t>
      </w:r>
      <w:r w:rsidR="00DE5BBF">
        <w:t xml:space="preserve">was used, as I have found, for the purchase of weapons, </w:t>
      </w:r>
      <w:r w:rsidR="00137FD2">
        <w:t xml:space="preserve">specific drawdowns were made from the account for specific – albeit now </w:t>
      </w:r>
      <w:r w:rsidR="00C67750">
        <w:t xml:space="preserve">not specifically </w:t>
      </w:r>
      <w:r w:rsidR="00137FD2">
        <w:t xml:space="preserve">known – purposes. </w:t>
      </w:r>
      <w:r w:rsidR="002916EB">
        <w:t>In other words, whilst the money in the Second Account might have been earmarked for the purpose</w:t>
      </w:r>
      <w:r w:rsidR="00040E50">
        <w:t xml:space="preserve"> of purchasing weapons, the money remained the Nizam’s until disbursed</w:t>
      </w:r>
      <w:r w:rsidR="00036AED">
        <w:t xml:space="preserve"> for a particular purpose and pursuant to a particular request</w:t>
      </w:r>
      <w:r w:rsidR="00040E50">
        <w:t>.</w:t>
      </w:r>
      <w:r w:rsidR="000D32AB">
        <w:t xml:space="preserve"> Drawdowns from the account, although under a veil of confidentiality, were accounted for at the highest levels.</w:t>
      </w:r>
    </w:p>
    <w:p w14:paraId="5F065029" w14:textId="77777777" w:rsidR="00F91140" w:rsidRDefault="00040E50" w:rsidP="00F91140">
      <w:pPr>
        <w:numPr>
          <w:ilvl w:val="1"/>
          <w:numId w:val="2"/>
        </w:numPr>
        <w:autoSpaceDE w:val="0"/>
        <w:spacing w:before="240" w:after="240"/>
        <w:jc w:val="both"/>
      </w:pPr>
      <w:r>
        <w:t xml:space="preserve">I can see no reason why </w:t>
      </w:r>
      <w:r w:rsidR="0002435C">
        <w:t>Moin – acting on behalf of Nizam VII – would have transferred t</w:t>
      </w:r>
      <w:r w:rsidR="000D32AB">
        <w:t>he</w:t>
      </w:r>
      <w:r w:rsidR="0002435C">
        <w:t xml:space="preserve"> entire balance </w:t>
      </w:r>
      <w:r w:rsidR="004756C3">
        <w:t xml:space="preserve">from the Second Account to the Rahimtoola Account </w:t>
      </w:r>
      <w:r w:rsidR="00CD504F">
        <w:t xml:space="preserve">without any clear understanding of how this money would be used and without any </w:t>
      </w:r>
      <w:r w:rsidR="00CD504F">
        <w:lastRenderedPageBreak/>
        <w:t xml:space="preserve">control so as to ensure that </w:t>
      </w:r>
      <w:r w:rsidR="00802BC5">
        <w:t xml:space="preserve">any agreed use was observed. </w:t>
      </w:r>
      <w:r w:rsidR="00467658">
        <w:t xml:space="preserve">There is no evidence of any such understanding; and no evidence of any effort on the part of </w:t>
      </w:r>
      <w:r w:rsidR="00917F70">
        <w:t xml:space="preserve">Moin (or any other Hyderabad Government official) to ensure that the money was used properly. </w:t>
      </w:r>
      <w:r w:rsidR="00802BC5">
        <w:t xml:space="preserve">If there had been any substance in the Arms for Money Argument, there would have been some evidence </w:t>
      </w:r>
      <w:r w:rsidR="00937004">
        <w:t>to support the existence of this underlying purpose.</w:t>
      </w:r>
      <w:r w:rsidR="00F91140">
        <w:t xml:space="preserve"> </w:t>
      </w:r>
      <w:r w:rsidR="00706904">
        <w:t xml:space="preserve">Whilst I note Mr Qureshi’s point that these were secret and sensitive matters, and that this would have affected the documentary record, the fact is that there </w:t>
      </w:r>
      <w:r w:rsidR="00706904">
        <w:rPr>
          <w:u w:val="single"/>
        </w:rPr>
        <w:t>are</w:t>
      </w:r>
      <w:r w:rsidR="00706904">
        <w:t xml:space="preserve"> surviving documents regarding the transfer (as I consider below) </w:t>
      </w:r>
      <w:r w:rsidR="00D85E53">
        <w:t>which contradict and do not support the Arms for Money Argument.</w:t>
      </w:r>
    </w:p>
    <w:p w14:paraId="103E3122" w14:textId="77777777" w:rsidR="009D4729" w:rsidRDefault="00F91140" w:rsidP="006015B8">
      <w:pPr>
        <w:numPr>
          <w:ilvl w:val="1"/>
          <w:numId w:val="2"/>
        </w:numPr>
        <w:autoSpaceDE w:val="0"/>
        <w:spacing w:before="240" w:after="240"/>
        <w:jc w:val="both"/>
      </w:pPr>
      <w:r>
        <w:t>I appreciate that because the Rahimtoola Account was frozen shortly after it was created</w:t>
      </w:r>
      <w:r w:rsidR="00B00773">
        <w:rPr>
          <w:rStyle w:val="FootnoteReference"/>
        </w:rPr>
        <w:footnoteReference w:id="157"/>
      </w:r>
      <w:r w:rsidR="00B00773">
        <w:t xml:space="preserve"> there are no inferences to be drawn from transactions occurring on the Rahimtoola Account: there were no such transactions. But</w:t>
      </w:r>
      <w:r w:rsidR="00B7323C">
        <w:t xml:space="preserve"> I consider there would have been some material evidencing the </w:t>
      </w:r>
      <w:r w:rsidR="00B7323C">
        <w:rPr>
          <w:u w:val="single"/>
        </w:rPr>
        <w:t>type</w:t>
      </w:r>
      <w:r w:rsidR="00B7323C">
        <w:t xml:space="preserve"> of transaction that </w:t>
      </w:r>
      <w:r w:rsidR="006015B8">
        <w:t xml:space="preserve">Moin and Rahimtoola (and, perhaps, others) expected to </w:t>
      </w:r>
      <w:r w:rsidR="003B31AF">
        <w:t>occur</w:t>
      </w:r>
      <w:r w:rsidR="006015B8">
        <w:t>, whether that be weapons purchases in the future or reimbursement for past purchases of weapons. T</w:t>
      </w:r>
      <w:r w:rsidR="00833217">
        <w:t>here was a precision in the drawing down of monies</w:t>
      </w:r>
      <w:r w:rsidR="006015B8">
        <w:t xml:space="preserve"> from the Second Account </w:t>
      </w:r>
      <w:r w:rsidR="00833217">
        <w:t xml:space="preserve">and in the accounting of those monies that </w:t>
      </w:r>
      <w:r w:rsidR="00DE42DF">
        <w:t xml:space="preserve">is entirely inconsistent with Moin transferring the entire balance of the Second Account </w:t>
      </w:r>
      <w:r w:rsidR="006015B8">
        <w:t xml:space="preserve">away from Nizam VII </w:t>
      </w:r>
      <w:r w:rsidR="004B2427">
        <w:t xml:space="preserve">in unspecified payment for unspecified goods or services. </w:t>
      </w:r>
      <w:r w:rsidR="00D31295">
        <w:t xml:space="preserve">The transactional history of the Second Account shows that </w:t>
      </w:r>
      <w:r w:rsidR="00BB2EE4">
        <w:t xml:space="preserve">payments </w:t>
      </w:r>
      <w:r w:rsidR="00D31295">
        <w:t xml:space="preserve">out </w:t>
      </w:r>
      <w:r w:rsidR="00BB2EE4">
        <w:t xml:space="preserve">were made in defined amounts, as and when needed by </w:t>
      </w:r>
      <w:r w:rsidR="00EB1163">
        <w:t>Shoaib.</w:t>
      </w:r>
      <w:r w:rsidR="00E56776">
        <w:t xml:space="preserve"> Shoaib generally requested Mir to effect the drawdown. </w:t>
      </w:r>
      <w:r w:rsidR="00C462D2">
        <w:t xml:space="preserve">No arrangements were made for </w:t>
      </w:r>
      <w:r w:rsidR="00E56776">
        <w:t xml:space="preserve">this pattern </w:t>
      </w:r>
      <w:r w:rsidR="00C462D2">
        <w:t xml:space="preserve">to continue after the </w:t>
      </w:r>
      <w:r w:rsidR="007F3154">
        <w:t xml:space="preserve">Transfer. </w:t>
      </w:r>
    </w:p>
    <w:p w14:paraId="3CEF8F9D" w14:textId="77777777" w:rsidR="00D30DC9" w:rsidRDefault="00352408" w:rsidP="007F3154">
      <w:pPr>
        <w:numPr>
          <w:ilvl w:val="1"/>
          <w:numId w:val="2"/>
        </w:numPr>
        <w:autoSpaceDE w:val="0"/>
        <w:spacing w:before="240" w:after="240"/>
        <w:jc w:val="both"/>
      </w:pPr>
      <w:r>
        <w:t xml:space="preserve">There was no demand or request from Pakistan that the money be transferred. </w:t>
      </w:r>
      <w:r w:rsidR="00D30DC9">
        <w:t xml:space="preserve">Again, it seems to me that if there were substance in the Arms for Money Argument, Pakistan would have at least requested – and perhaps demanded – the </w:t>
      </w:r>
      <w:r w:rsidR="00C462D2">
        <w:t>T</w:t>
      </w:r>
      <w:r w:rsidR="00D30DC9">
        <w:t>ransfer.</w:t>
      </w:r>
    </w:p>
    <w:p w14:paraId="4D653E98" w14:textId="77777777" w:rsidR="00CB1475" w:rsidRPr="004B2D86" w:rsidRDefault="00CB1475" w:rsidP="00CB1475">
      <w:pPr>
        <w:numPr>
          <w:ilvl w:val="1"/>
          <w:numId w:val="2"/>
        </w:numPr>
        <w:autoSpaceDE w:val="0"/>
        <w:spacing w:before="240" w:after="240"/>
        <w:jc w:val="both"/>
      </w:pPr>
      <w:r>
        <w:t xml:space="preserve">In short, there is nothing to suggest that the </w:t>
      </w:r>
      <w:r w:rsidR="00C462D2">
        <w:t>T</w:t>
      </w:r>
      <w:r>
        <w:t xml:space="preserve">ransfer was anything to do with payment </w:t>
      </w:r>
      <w:r w:rsidRPr="00CC701C">
        <w:t>for weapons, apart from the evi</w:t>
      </w:r>
      <w:r w:rsidRPr="004B2D86">
        <w:t xml:space="preserve">dence of </w:t>
      </w:r>
      <w:r w:rsidRPr="00751778">
        <w:t>Shaharyar</w:t>
      </w:r>
      <w:r w:rsidRPr="004B2D86">
        <w:t xml:space="preserve">. In </w:t>
      </w:r>
      <w:r w:rsidRPr="00751778">
        <w:t>Shaharyar 1</w:t>
      </w:r>
      <w:r w:rsidRPr="004B2D86">
        <w:t xml:space="preserve">, </w:t>
      </w:r>
      <w:r w:rsidRPr="00751778">
        <w:t>Shaharyar</w:t>
      </w:r>
      <w:r w:rsidRPr="004B2D86">
        <w:t xml:space="preserve"> seeks to establish a connection between the Fund and the provision of arms to Hyderabad. His evidence is entirely at second hand, deriving from conversations he had with Mir in London between 1960 and 1962. </w:t>
      </w:r>
      <w:r w:rsidRPr="00751778">
        <w:t>Shaharyar</w:t>
      </w:r>
      <w:r w:rsidRPr="004B2D86">
        <w:t xml:space="preserve"> 1 states:</w:t>
      </w:r>
    </w:p>
    <w:p w14:paraId="401F2EC7" w14:textId="77777777" w:rsidR="00CB1475" w:rsidRDefault="00CB1475" w:rsidP="00CB1475">
      <w:pPr>
        <w:autoSpaceDE w:val="0"/>
        <w:spacing w:before="240" w:after="240"/>
        <w:ind w:left="1854" w:hanging="720"/>
        <w:jc w:val="both"/>
        <w:rPr>
          <w:sz w:val="22"/>
          <w:szCs w:val="22"/>
        </w:rPr>
      </w:pPr>
      <w:r>
        <w:rPr>
          <w:sz w:val="22"/>
          <w:szCs w:val="22"/>
        </w:rPr>
        <w:t>“7.</w:t>
      </w:r>
      <w:r>
        <w:rPr>
          <w:sz w:val="22"/>
          <w:szCs w:val="22"/>
        </w:rPr>
        <w:tab/>
        <w:t>My awareness of the Hyderabad Fund dispute developed during my time as Third Secretary in the High Commission for Pakistan in London from 1960 until 1962. Prior to that, I believe the decisions of the English Court had been referred to in my classes as a law student at Cambridge.</w:t>
      </w:r>
    </w:p>
    <w:p w14:paraId="07524ECE" w14:textId="77777777" w:rsidR="00CB1475" w:rsidRDefault="00CB1475" w:rsidP="00CB1475">
      <w:pPr>
        <w:autoSpaceDE w:val="0"/>
        <w:spacing w:before="240" w:after="240"/>
        <w:ind w:left="1854" w:hanging="720"/>
        <w:jc w:val="both"/>
        <w:rPr>
          <w:sz w:val="22"/>
          <w:szCs w:val="22"/>
        </w:rPr>
      </w:pPr>
      <w:r>
        <w:rPr>
          <w:sz w:val="22"/>
          <w:szCs w:val="22"/>
        </w:rPr>
        <w:t>8.</w:t>
      </w:r>
      <w:r>
        <w:rPr>
          <w:sz w:val="22"/>
          <w:szCs w:val="22"/>
        </w:rPr>
        <w:tab/>
        <w:t>So far as I can recall, from my early interactions with [Mir] onwards, we discussed the Hyderabad Fund matter. I was told by [Mir] that the Nizam was seeking to compensate Pakistan for the assistance which she had provided to Hyderabad and the Nizam.</w:t>
      </w:r>
    </w:p>
    <w:p w14:paraId="7BA5E563" w14:textId="77777777" w:rsidR="00CB1475" w:rsidRDefault="00CB1475" w:rsidP="00CB1475">
      <w:pPr>
        <w:autoSpaceDE w:val="0"/>
        <w:spacing w:before="240" w:after="240"/>
        <w:ind w:left="1854" w:hanging="720"/>
        <w:jc w:val="both"/>
        <w:rPr>
          <w:sz w:val="22"/>
          <w:szCs w:val="22"/>
        </w:rPr>
      </w:pPr>
      <w:r>
        <w:rPr>
          <w:sz w:val="22"/>
          <w:szCs w:val="22"/>
        </w:rPr>
        <w:t>9.</w:t>
      </w:r>
      <w:r>
        <w:rPr>
          <w:sz w:val="22"/>
          <w:szCs w:val="22"/>
        </w:rPr>
        <w:tab/>
        <w:t xml:space="preserve">Subsequently, I believe [Mir] offered to assist the Government of Pakistan in providing evidence to advance a claim for the Hyderabad Fund and I </w:t>
      </w:r>
      <w:r>
        <w:rPr>
          <w:sz w:val="22"/>
          <w:szCs w:val="22"/>
        </w:rPr>
        <w:lastRenderedPageBreak/>
        <w:t>communicated that offer to the Foreign Office. Apart from the negotiations I refer to below, I had no further substantive involvement in this matter thereafter.</w:t>
      </w:r>
    </w:p>
    <w:p w14:paraId="265DFBC8" w14:textId="77777777" w:rsidR="00CB1475" w:rsidRDefault="00CB1475" w:rsidP="00CB1475">
      <w:pPr>
        <w:autoSpaceDE w:val="0"/>
        <w:spacing w:before="240" w:after="240"/>
        <w:ind w:left="1854" w:hanging="720"/>
        <w:jc w:val="both"/>
        <w:rPr>
          <w:sz w:val="22"/>
          <w:szCs w:val="22"/>
        </w:rPr>
      </w:pPr>
      <w:r>
        <w:rPr>
          <w:sz w:val="22"/>
          <w:szCs w:val="22"/>
        </w:rPr>
        <w:t>10.</w:t>
      </w:r>
      <w:r>
        <w:rPr>
          <w:sz w:val="22"/>
          <w:szCs w:val="22"/>
        </w:rPr>
        <w:tab/>
        <w:t>By way of context, it was in the period from early 1948 onwards that the Indian Government had exacerbated tensions, and eventually launched a military campaign against Hyderabad to absorb the state into India. In that regard, whilst the matter was somewhat sensitive, I was aware from discussions within my political and social circles that Pakistan had been assisting in the transfer of arms and other equipment to Hyderabad to enable Hyderabad to defend itself. I had understood from these discussions that a Second World War pilot, Mr Cotton, was flying night sorties from Karachi to Hyderabad for the purposes of these transfers.</w:t>
      </w:r>
    </w:p>
    <w:p w14:paraId="7E90E206" w14:textId="77777777" w:rsidR="00CB1475" w:rsidRDefault="00CB1475" w:rsidP="00CB1475">
      <w:pPr>
        <w:autoSpaceDE w:val="0"/>
        <w:spacing w:before="240" w:after="240"/>
        <w:ind w:left="1854" w:hanging="720"/>
        <w:jc w:val="both"/>
        <w:rPr>
          <w:sz w:val="22"/>
          <w:szCs w:val="22"/>
        </w:rPr>
      </w:pPr>
      <w:r>
        <w:rPr>
          <w:sz w:val="22"/>
          <w:szCs w:val="22"/>
        </w:rPr>
        <w:t>11.</w:t>
      </w:r>
      <w:r>
        <w:rPr>
          <w:sz w:val="22"/>
          <w:szCs w:val="22"/>
        </w:rPr>
        <w:tab/>
        <w:t>Accordingly, to my mind, [Mir’s] reference to the assistance Pakistan had provided to Hyderabad was a reference to such military assistance, as well as political assistance Pakistan had given to Hyderabad. As far as I am aware, the military assistance was not publicly acknowledged, being a matter of extreme sensitivity.</w:t>
      </w:r>
    </w:p>
    <w:p w14:paraId="173BED21" w14:textId="77777777" w:rsidR="00CB1475" w:rsidRPr="00347E68" w:rsidRDefault="00CB1475" w:rsidP="00CB1475">
      <w:pPr>
        <w:autoSpaceDE w:val="0"/>
        <w:spacing w:before="240" w:after="240"/>
        <w:ind w:left="1854" w:hanging="720"/>
        <w:jc w:val="both"/>
        <w:rPr>
          <w:sz w:val="22"/>
          <w:szCs w:val="22"/>
        </w:rPr>
      </w:pPr>
      <w:r>
        <w:rPr>
          <w:sz w:val="22"/>
          <w:szCs w:val="22"/>
        </w:rPr>
        <w:t>12.</w:t>
      </w:r>
      <w:r>
        <w:rPr>
          <w:sz w:val="22"/>
          <w:szCs w:val="22"/>
        </w:rPr>
        <w:tab/>
        <w:t>I kept in touch with [Mir] and met with him until shortly before his death in 1996. During the period 1982 until 1987, I worked as Additional Secretary in charge of UN Affairs, based in the Mission in Geneva. [Mir] lived in Geneva at that time and I often met with him. After 1987, I spoke to [Mir] from time to time and we would touch upon the Hyderabad Fund matter. In particular, I would give him a brief insight into negotiations that were on-going between Mr Dixit, Indian Foreign Secretary from 1991 to 1994, and me, during my time as Foreign Secretary of Pakistan from 1990 until 1994, in an attempt to settle the dispute. In my view, as a diplomat, irrespective of the legal entitlement, a negotiated solution between India, Pakistan [and the Princes] was the most desirable outcome. Regret</w:t>
      </w:r>
      <w:r w:rsidR="00FF17BF">
        <w:rPr>
          <w:sz w:val="22"/>
          <w:szCs w:val="22"/>
        </w:rPr>
        <w:t>t</w:t>
      </w:r>
      <w:r>
        <w:rPr>
          <w:sz w:val="22"/>
          <w:szCs w:val="22"/>
        </w:rPr>
        <w:t>ably, Mr Dix</w:t>
      </w:r>
      <w:r w:rsidR="000F2E99">
        <w:rPr>
          <w:sz w:val="22"/>
          <w:szCs w:val="22"/>
        </w:rPr>
        <w:t>i</w:t>
      </w:r>
      <w:r>
        <w:rPr>
          <w:sz w:val="22"/>
          <w:szCs w:val="22"/>
        </w:rPr>
        <w:t>t and I both retired in 1994 and we were unable to achieve this outcome.”</w:t>
      </w:r>
    </w:p>
    <w:p w14:paraId="7104C2A8" w14:textId="77777777" w:rsidR="00CB1475" w:rsidRDefault="00CB1475" w:rsidP="00CB1475">
      <w:pPr>
        <w:autoSpaceDE w:val="0"/>
        <w:spacing w:before="240" w:after="240"/>
        <w:ind w:left="1134"/>
        <w:jc w:val="both"/>
      </w:pPr>
      <w:r>
        <w:t xml:space="preserve">Whilst I have no doubt as to </w:t>
      </w:r>
      <w:r w:rsidRPr="00CC701C">
        <w:rPr>
          <w:sz w:val="22"/>
          <w:szCs w:val="22"/>
        </w:rPr>
        <w:t>Shaharyar</w:t>
      </w:r>
      <w:r>
        <w:t xml:space="preserve">’s honesty in making his statement, </w:t>
      </w:r>
      <w:r w:rsidRPr="00CC701C">
        <w:rPr>
          <w:sz w:val="22"/>
          <w:szCs w:val="22"/>
        </w:rPr>
        <w:t>Shaharyar</w:t>
      </w:r>
      <w:r>
        <w:t xml:space="preserve"> 1 is of little assistance to me. I am entirely prepared to accept that Pakistan’s role in arming Hyderabad was, in the decades after 1948, a sensitive one. But the critical question lies in relation to the intention of funding of such armaments from the Second Account. Here, </w:t>
      </w:r>
      <w:r w:rsidRPr="00CC701C">
        <w:rPr>
          <w:sz w:val="22"/>
          <w:szCs w:val="22"/>
        </w:rPr>
        <w:t>Shaharyar</w:t>
      </w:r>
      <w:r>
        <w:t>’s evidence is at second-hand – deriving simply from what Mir told him. What is more, what Mir told him is remarkably unspecific. It amounts</w:t>
      </w:r>
      <w:r w:rsidR="003A745A">
        <w:t>, in essence,</w:t>
      </w:r>
      <w:r>
        <w:t xml:space="preserve"> to a single sentence:</w:t>
      </w:r>
    </w:p>
    <w:p w14:paraId="5EACA5A9" w14:textId="77777777" w:rsidR="00CB1475" w:rsidRDefault="00CB1475" w:rsidP="00CB1475">
      <w:pPr>
        <w:autoSpaceDE w:val="0"/>
        <w:spacing w:before="240" w:after="240"/>
        <w:ind w:left="1134"/>
        <w:jc w:val="both"/>
      </w:pPr>
      <w:r>
        <w:rPr>
          <w:sz w:val="22"/>
          <w:szCs w:val="22"/>
        </w:rPr>
        <w:t>“I was told by [Mir] that the Nizam was seeking to compensate Pakistan for the assistance which she had provided to Hyderabad and the Nizam.”</w:t>
      </w:r>
    </w:p>
    <w:p w14:paraId="205C1D56" w14:textId="77777777" w:rsidR="00CB1475" w:rsidRDefault="009C6A22" w:rsidP="009C6A22">
      <w:pPr>
        <w:autoSpaceDE w:val="0"/>
        <w:spacing w:before="240" w:after="240"/>
        <w:ind w:left="1134"/>
        <w:jc w:val="both"/>
      </w:pPr>
      <w:r>
        <w:t xml:space="preserve">I am afraid this evidence is entirely insufficient to support the edifice that Pakistan sought to build on it. </w:t>
      </w:r>
    </w:p>
    <w:p w14:paraId="08DE3706" w14:textId="77777777" w:rsidR="00D30DC9" w:rsidRDefault="009C6A22" w:rsidP="007F3154">
      <w:pPr>
        <w:numPr>
          <w:ilvl w:val="1"/>
          <w:numId w:val="2"/>
        </w:numPr>
        <w:autoSpaceDE w:val="0"/>
        <w:spacing w:before="240" w:after="240"/>
        <w:jc w:val="both"/>
      </w:pPr>
      <w:r>
        <w:t xml:space="preserve">It is not simply that there is an </w:t>
      </w:r>
      <w:r w:rsidRPr="009C6A22">
        <w:rPr>
          <w:u w:val="single"/>
        </w:rPr>
        <w:t>absence</w:t>
      </w:r>
      <w:r>
        <w:t xml:space="preserve"> of evidence in support of the A</w:t>
      </w:r>
      <w:r w:rsidR="00542290">
        <w:t xml:space="preserve">rms for Money Argument. </w:t>
      </w:r>
      <w:r w:rsidR="005A416F">
        <w:t>Three</w:t>
      </w:r>
      <w:r w:rsidR="00542290">
        <w:t xml:space="preserve"> factors positively point in another directio</w:t>
      </w:r>
      <w:r w:rsidR="005A416F">
        <w:t>n:</w:t>
      </w:r>
    </w:p>
    <w:p w14:paraId="4FF19F4B" w14:textId="77777777" w:rsidR="00D30DC9" w:rsidRDefault="005A416F" w:rsidP="005A416F">
      <w:pPr>
        <w:numPr>
          <w:ilvl w:val="2"/>
          <w:numId w:val="2"/>
        </w:numPr>
        <w:autoSpaceDE w:val="0"/>
        <w:spacing w:before="240" w:after="240"/>
        <w:jc w:val="both"/>
      </w:pPr>
      <w:r w:rsidRPr="005A416F">
        <w:rPr>
          <w:u w:val="single"/>
        </w:rPr>
        <w:t>I</w:t>
      </w:r>
      <w:r w:rsidR="00542290" w:rsidRPr="005A416F">
        <w:rPr>
          <w:u w:val="single"/>
        </w:rPr>
        <w:t>f</w:t>
      </w:r>
      <w:r w:rsidR="00542290">
        <w:t xml:space="preserve"> the purpose of the Transfer was in some way to pay for weapons, Mir not Moin would have been involved. </w:t>
      </w:r>
      <w:r w:rsidR="00BE1429">
        <w:t>A</w:t>
      </w:r>
      <w:r w:rsidR="00542290">
        <w:t>s the various transactions on the Second Account indicate</w:t>
      </w:r>
      <w:r w:rsidR="008524CB">
        <w:t xml:space="preserve"> (as set out in Annex 3 and as described in paragraph </w:t>
      </w:r>
      <w:r w:rsidR="002C1712">
        <w:t>211 above</w:t>
      </w:r>
      <w:r w:rsidR="004E34DE" w:rsidRPr="000F2E99">
        <w:t>)</w:t>
      </w:r>
      <w:r w:rsidR="00542290" w:rsidRPr="000F2E99">
        <w:t>,</w:t>
      </w:r>
      <w:r w:rsidR="00542290">
        <w:t xml:space="preserve"> </w:t>
      </w:r>
      <w:r w:rsidR="00BE1429">
        <w:t xml:space="preserve">it was Mir and not Moin </w:t>
      </w:r>
      <w:r w:rsidR="00542290">
        <w:t xml:space="preserve">who </w:t>
      </w:r>
      <w:r w:rsidR="00BE1429">
        <w:t>sanctioned the various withdrawals.</w:t>
      </w:r>
      <w:r w:rsidR="00542290">
        <w:t xml:space="preserve"> I regard the fact that it was Moin who effected the Transfer </w:t>
      </w:r>
      <w:r w:rsidR="00BE65D6">
        <w:t xml:space="preserve">as being a </w:t>
      </w:r>
      <w:r w:rsidR="00BE65D6">
        <w:lastRenderedPageBreak/>
        <w:t xml:space="preserve">significant indicator that the purpose of the Transfer was </w:t>
      </w:r>
      <w:r w:rsidR="00BE1429">
        <w:t>not related to the purchase of weapons.</w:t>
      </w:r>
    </w:p>
    <w:p w14:paraId="0378F058" w14:textId="77777777" w:rsidR="00BE1429" w:rsidRDefault="00BE1429" w:rsidP="005A416F">
      <w:pPr>
        <w:numPr>
          <w:ilvl w:val="2"/>
          <w:numId w:val="2"/>
        </w:numPr>
        <w:autoSpaceDE w:val="0"/>
        <w:spacing w:before="240" w:after="240"/>
        <w:jc w:val="both"/>
      </w:pPr>
      <w:r>
        <w:t xml:space="preserve">What is more, </w:t>
      </w:r>
      <w:r w:rsidR="00F66995">
        <w:t xml:space="preserve">the documents that exist in relation to the Transfer – particularly the 15 September 1948 exchange of letters between Moin and Rahimtoola – utterly fail to support the </w:t>
      </w:r>
      <w:r w:rsidR="00A77C91">
        <w:t xml:space="preserve">Arms for Money Argument. I will consider, in due course, the significance of the use of the word “trust” in this correspondence: </w:t>
      </w:r>
      <w:r w:rsidR="004666C4">
        <w:t xml:space="preserve">the only point that needs to be made for the present </w:t>
      </w:r>
      <w:r w:rsidR="00007F33">
        <w:t xml:space="preserve">is that according to Moin’s and Rahimtoola’s own words </w:t>
      </w:r>
      <w:r w:rsidR="00634CD5">
        <w:t>the Transfer was not in payment of weapons but “in trust”.</w:t>
      </w:r>
    </w:p>
    <w:p w14:paraId="51A90941" w14:textId="77777777" w:rsidR="00DE3E4B" w:rsidRDefault="00634CD5" w:rsidP="00AD53DA">
      <w:pPr>
        <w:numPr>
          <w:ilvl w:val="2"/>
          <w:numId w:val="2"/>
        </w:numPr>
        <w:autoSpaceDE w:val="0"/>
        <w:spacing w:before="240" w:after="240"/>
        <w:jc w:val="both"/>
      </w:pPr>
      <w:r>
        <w:t>T</w:t>
      </w:r>
      <w:r w:rsidR="005C0689">
        <w:t xml:space="preserve">here is a far more plausible explanation for the Transfer, which is that Moin was concerned to ensure that the Fund did not end up in India’s hands. </w:t>
      </w:r>
      <w:r w:rsidR="001E49B5">
        <w:t xml:space="preserve">In short, in light of events in Hyderabad, Moin was </w:t>
      </w:r>
      <w:r w:rsidR="00CB01F0">
        <w:t>making sure that the Fund was held safely away from India. In reaching this conclusion as to the p</w:t>
      </w:r>
      <w:r w:rsidR="00F06025">
        <w:t xml:space="preserve">urpose of the Transfer, I am not necessarily finding that </w:t>
      </w:r>
      <w:r w:rsidR="007121AE">
        <w:t>the Safeguarding Argument</w:t>
      </w:r>
      <w:r w:rsidR="00F06025">
        <w:t>,</w:t>
      </w:r>
      <w:r w:rsidR="007121AE">
        <w:t xml:space="preserve"> as advanced by Pakistan</w:t>
      </w:r>
      <w:r w:rsidR="00202466">
        <w:t>,</w:t>
      </w:r>
      <w:r w:rsidR="007121AE">
        <w:t xml:space="preserve"> </w:t>
      </w:r>
      <w:r w:rsidR="00202466">
        <w:t xml:space="preserve">is </w:t>
      </w:r>
      <w:r w:rsidR="007121AE">
        <w:t>correct</w:t>
      </w:r>
      <w:r w:rsidR="00202466">
        <w:t>.</w:t>
      </w:r>
      <w:r w:rsidR="007121AE">
        <w:t xml:space="preserve"> </w:t>
      </w:r>
      <w:r w:rsidR="00202466">
        <w:t>T</w:t>
      </w:r>
      <w:r w:rsidR="007121AE">
        <w:t>h</w:t>
      </w:r>
      <w:r w:rsidR="00202466">
        <w:t>e</w:t>
      </w:r>
      <w:r w:rsidR="007121AE">
        <w:t xml:space="preserve"> </w:t>
      </w:r>
      <w:r w:rsidR="00202466">
        <w:t>Safeguarding A</w:t>
      </w:r>
      <w:r w:rsidR="007121AE">
        <w:t>rgument</w:t>
      </w:r>
      <w:r w:rsidR="00202466">
        <w:t>, as framed by Pakistan,</w:t>
      </w:r>
      <w:r w:rsidR="007121AE">
        <w:t xml:space="preserve"> </w:t>
      </w:r>
      <w:r w:rsidR="0005122D">
        <w:t xml:space="preserve">postulates an </w:t>
      </w:r>
      <w:r w:rsidR="0005122D">
        <w:rPr>
          <w:u w:val="single"/>
        </w:rPr>
        <w:t>absolute</w:t>
      </w:r>
      <w:r w:rsidR="0005122D">
        <w:t xml:space="preserve"> transfer.</w:t>
      </w:r>
      <w:r w:rsidR="00202466">
        <w:t xml:space="preserve"> </w:t>
      </w:r>
      <w:r w:rsidR="00B56C15">
        <w:t xml:space="preserve">The Princes and India, for their part, contended that there was no </w:t>
      </w:r>
      <w:r w:rsidR="00B56C15">
        <w:rPr>
          <w:u w:val="single"/>
        </w:rPr>
        <w:t>absolute</w:t>
      </w:r>
      <w:r w:rsidR="00B56C15">
        <w:t xml:space="preserve"> transfer, but rather a</w:t>
      </w:r>
      <w:r w:rsidR="00DA72FD">
        <w:t xml:space="preserve"> transfer on trust</w:t>
      </w:r>
      <w:r w:rsidR="00D02F4F">
        <w:t xml:space="preserve">. </w:t>
      </w:r>
      <w:r w:rsidR="00EB772D">
        <w:t>That argument – whereby only the legal interest in the Fund was transferred – might be said to be</w:t>
      </w:r>
      <w:r w:rsidR="005F53D5">
        <w:t xml:space="preserve"> a variant of the Safeguarding Argument</w:t>
      </w:r>
      <w:r w:rsidR="00EB772D">
        <w:t xml:space="preserve"> and was, </w:t>
      </w:r>
      <w:r w:rsidR="006F2219">
        <w:t xml:space="preserve">according to the Princes and India, </w:t>
      </w:r>
      <w:r w:rsidR="00647ACF">
        <w:t>a proper explanation of the Transfer.</w:t>
      </w:r>
      <w:r w:rsidR="00753AD6">
        <w:t xml:space="preserve"> I consider the nature of the transfer and the Safeguarding Argument in Section</w:t>
      </w:r>
      <w:r w:rsidR="0005122D">
        <w:t xml:space="preserve"> H below. </w:t>
      </w:r>
      <w:r w:rsidR="003C220B">
        <w:t xml:space="preserve">For present purposes, I simply conclude that </w:t>
      </w:r>
      <w:r w:rsidR="0005122D">
        <w:t xml:space="preserve">I consider </w:t>
      </w:r>
      <w:r w:rsidR="003C220B">
        <w:t xml:space="preserve">it </w:t>
      </w:r>
      <w:r w:rsidR="0005122D">
        <w:t xml:space="preserve">to be clear beyond doubt that </w:t>
      </w:r>
      <w:r w:rsidR="00C20AA8">
        <w:t>“safeguarding”</w:t>
      </w:r>
      <w:r w:rsidR="006F2219">
        <w:t xml:space="preserve"> in some form or other</w:t>
      </w:r>
      <w:r w:rsidR="00C20AA8">
        <w:t xml:space="preserve"> – getting the money away from India</w:t>
      </w:r>
      <w:r w:rsidR="003C220B">
        <w:t>’s potential clutches</w:t>
      </w:r>
      <w:r w:rsidR="00C20AA8">
        <w:t xml:space="preserve"> – was Moin’s object</w:t>
      </w:r>
      <w:r w:rsidR="003C220B">
        <w:t xml:space="preserve"> in effecting the Transfer.</w:t>
      </w:r>
      <w:r w:rsidR="000011C0">
        <w:t xml:space="preserve"> It had nothing to do with the payment of weapons.</w:t>
      </w:r>
    </w:p>
    <w:p w14:paraId="5CD4DFAC" w14:textId="77777777" w:rsidR="00C93253" w:rsidRPr="00C93253" w:rsidRDefault="00C93253" w:rsidP="00AD53DA">
      <w:pPr>
        <w:keepNext/>
        <w:tabs>
          <w:tab w:val="left" w:pos="567"/>
        </w:tabs>
        <w:autoSpaceDE w:val="0"/>
        <w:spacing w:before="240" w:after="240"/>
        <w:jc w:val="both"/>
        <w:rPr>
          <w:b/>
          <w:bCs/>
        </w:rPr>
      </w:pPr>
      <w:r>
        <w:rPr>
          <w:b/>
          <w:bCs/>
        </w:rPr>
        <w:t>(5)</w:t>
      </w:r>
      <w:r>
        <w:rPr>
          <w:b/>
          <w:bCs/>
        </w:rPr>
        <w:tab/>
        <w:t>Conclusion</w:t>
      </w:r>
    </w:p>
    <w:p w14:paraId="6D95BA40" w14:textId="77777777" w:rsidR="00C93253" w:rsidRPr="00DE3E4B" w:rsidRDefault="00AD53DA" w:rsidP="00894BF7">
      <w:pPr>
        <w:numPr>
          <w:ilvl w:val="0"/>
          <w:numId w:val="2"/>
        </w:numPr>
        <w:autoSpaceDE w:val="0"/>
        <w:spacing w:before="240" w:after="240"/>
        <w:jc w:val="both"/>
      </w:pPr>
      <w:r>
        <w:t xml:space="preserve">Although the Government of Hyderabad </w:t>
      </w:r>
      <w:r w:rsidR="008F15E2">
        <w:t xml:space="preserve">was involved in the purchase of weapons in order to resist </w:t>
      </w:r>
      <w:r w:rsidR="00A26BEB">
        <w:t xml:space="preserve">what </w:t>
      </w:r>
      <w:r w:rsidR="008F15E2">
        <w:t>Nizam VI</w:t>
      </w:r>
      <w:r w:rsidR="00A26BEB">
        <w:t>I saw as attempts by India forcibly to annex Hyderabad</w:t>
      </w:r>
      <w:r w:rsidR="00FA44E3">
        <w:t xml:space="preserve">, and although the Second Account was used to pay for some of these weapons, I do not consider that the Transfer had anything to do with the purchase of weapons </w:t>
      </w:r>
      <w:r w:rsidR="00EF154F">
        <w:t>or the compensation of Pakistan (in any way) for the purchase of weapons. The purpose of the Transfer was, as I have found it, entirely different. F</w:t>
      </w:r>
      <w:r>
        <w:t>or these reasons, I reject the Arms for Money Argument.</w:t>
      </w:r>
    </w:p>
    <w:p w14:paraId="24171141" w14:textId="77777777" w:rsidR="00AF676E" w:rsidRDefault="00161AB6" w:rsidP="00AF5AC7">
      <w:pPr>
        <w:keepNext/>
        <w:tabs>
          <w:tab w:val="left" w:pos="567"/>
        </w:tabs>
        <w:autoSpaceDE w:val="0"/>
        <w:spacing w:before="240" w:after="240"/>
        <w:jc w:val="both"/>
        <w:rPr>
          <w:b/>
          <w:bCs/>
        </w:rPr>
      </w:pPr>
      <w:r>
        <w:rPr>
          <w:b/>
          <w:bCs/>
        </w:rPr>
        <w:t>H</w:t>
      </w:r>
      <w:r w:rsidR="00BF0298">
        <w:rPr>
          <w:b/>
          <w:bCs/>
        </w:rPr>
        <w:t>.</w:t>
      </w:r>
      <w:r w:rsidR="00BF0298">
        <w:rPr>
          <w:b/>
          <w:bCs/>
        </w:rPr>
        <w:tab/>
      </w:r>
      <w:r w:rsidR="00C93253">
        <w:rPr>
          <w:b/>
          <w:bCs/>
        </w:rPr>
        <w:t xml:space="preserve">ABSOLUTE TRANSFER OF THE FUND: THE </w:t>
      </w:r>
      <w:r w:rsidR="00A33D4A">
        <w:rPr>
          <w:b/>
          <w:bCs/>
        </w:rPr>
        <w:t>SAFEGUARDING</w:t>
      </w:r>
      <w:r w:rsidR="00C93253">
        <w:rPr>
          <w:b/>
          <w:bCs/>
        </w:rPr>
        <w:t xml:space="preserve"> ARGUMENT</w:t>
      </w:r>
    </w:p>
    <w:p w14:paraId="23FDA296" w14:textId="77777777" w:rsidR="007B57A4" w:rsidRPr="00BF0298" w:rsidRDefault="00AF676E" w:rsidP="00AF5AC7">
      <w:pPr>
        <w:keepNext/>
        <w:tabs>
          <w:tab w:val="left" w:pos="567"/>
        </w:tabs>
        <w:autoSpaceDE w:val="0"/>
        <w:spacing w:before="240" w:after="240"/>
        <w:jc w:val="both"/>
        <w:rPr>
          <w:b/>
          <w:bCs/>
        </w:rPr>
      </w:pPr>
      <w:r>
        <w:rPr>
          <w:b/>
          <w:bCs/>
        </w:rPr>
        <w:t>(1)</w:t>
      </w:r>
      <w:r>
        <w:rPr>
          <w:b/>
          <w:bCs/>
        </w:rPr>
        <w:tab/>
        <w:t xml:space="preserve">Introduction </w:t>
      </w:r>
    </w:p>
    <w:p w14:paraId="54532244" w14:textId="77777777" w:rsidR="00806B9A" w:rsidRDefault="0078719D" w:rsidP="00806B9A">
      <w:pPr>
        <w:numPr>
          <w:ilvl w:val="0"/>
          <w:numId w:val="2"/>
        </w:numPr>
        <w:autoSpaceDE w:val="0"/>
        <w:spacing w:before="240" w:after="240"/>
        <w:jc w:val="both"/>
      </w:pPr>
      <w:r>
        <w:t xml:space="preserve">I have concluded, </w:t>
      </w:r>
      <w:r w:rsidR="00AF5AC7">
        <w:t>in</w:t>
      </w:r>
      <w:r>
        <w:t xml:space="preserve"> </w:t>
      </w:r>
      <w:r w:rsidR="005B02D1">
        <w:t>my consideration of the Arms for Money Argument, that the purpose</w:t>
      </w:r>
      <w:r w:rsidR="00AF5AC7">
        <w:t xml:space="preserve"> – or, at least, Moin’s purpose – in effecting </w:t>
      </w:r>
      <w:r w:rsidR="005B02D1">
        <w:t xml:space="preserve">the Transfer was </w:t>
      </w:r>
      <w:r w:rsidR="00AF5AC7">
        <w:t>to</w:t>
      </w:r>
      <w:r w:rsidR="005B02D1">
        <w:t xml:space="preserve"> “safeguard”</w:t>
      </w:r>
      <w:r w:rsidR="00AF5AC7">
        <w:t xml:space="preserve"> the Fund</w:t>
      </w:r>
      <w:r w:rsidR="005B02D1">
        <w:t xml:space="preserve">. </w:t>
      </w:r>
      <w:r w:rsidR="00F130B5">
        <w:t xml:space="preserve">That does not, however, mean that I have concluded that the Safeguarding Argument – as contended for by Pakistan and as summarised in paragraph </w:t>
      </w:r>
      <w:r w:rsidR="00EF7084">
        <w:t>17(2)</w:t>
      </w:r>
      <w:r w:rsidR="00F130B5">
        <w:t xml:space="preserve"> above </w:t>
      </w:r>
      <w:r w:rsidR="00B43736">
        <w:t>–</w:t>
      </w:r>
      <w:r w:rsidR="00F130B5">
        <w:t xml:space="preserve"> </w:t>
      </w:r>
      <w:r w:rsidR="00B43736">
        <w:t>succeeds.</w:t>
      </w:r>
      <w:r w:rsidR="000C4455">
        <w:t xml:space="preserve"> </w:t>
      </w:r>
      <w:r w:rsidR="00A15F2C">
        <w:t xml:space="preserve">Whilst </w:t>
      </w:r>
      <w:r w:rsidR="000C4455">
        <w:t xml:space="preserve">I am satisfied that the purpose of the Transfer was to </w:t>
      </w:r>
      <w:r w:rsidR="005F7A61">
        <w:t>render the Fund less accessible to India on India’s successful annexation of Hyderbad</w:t>
      </w:r>
      <w:r w:rsidR="00A15F2C">
        <w:t xml:space="preserve">, it </w:t>
      </w:r>
      <w:r w:rsidR="005F7A61">
        <w:t>does not follow from this</w:t>
      </w:r>
      <w:r w:rsidR="00302E46">
        <w:t xml:space="preserve"> that </w:t>
      </w:r>
      <w:r w:rsidR="00C27EB7">
        <w:t xml:space="preserve">the Transfer was </w:t>
      </w:r>
      <w:r w:rsidR="00C27EB7" w:rsidRPr="003C6766">
        <w:rPr>
          <w:u w:val="single"/>
        </w:rPr>
        <w:t>absolutely</w:t>
      </w:r>
      <w:r w:rsidR="00C27EB7">
        <w:t xml:space="preserve"> </w:t>
      </w:r>
      <w:r w:rsidR="00A15F2C">
        <w:t>for</w:t>
      </w:r>
      <w:r w:rsidR="00C27EB7">
        <w:t xml:space="preserve"> the benefit of Pakistan</w:t>
      </w:r>
      <w:r w:rsidR="00090CA0">
        <w:t xml:space="preserve"> (as Pakistan contended)</w:t>
      </w:r>
      <w:r w:rsidR="00806B9A">
        <w:t xml:space="preserve"> or, indeed, </w:t>
      </w:r>
      <w:r w:rsidR="00806B9A">
        <w:rPr>
          <w:u w:val="single"/>
        </w:rPr>
        <w:t>absolutely</w:t>
      </w:r>
      <w:r w:rsidR="00806B9A">
        <w:t xml:space="preserve"> for the benefit of Rahimtoola in his personal capacity.</w:t>
      </w:r>
    </w:p>
    <w:p w14:paraId="14567960" w14:textId="77777777" w:rsidR="002B2B8D" w:rsidRDefault="00806B9A" w:rsidP="001E1EF7">
      <w:pPr>
        <w:numPr>
          <w:ilvl w:val="0"/>
          <w:numId w:val="2"/>
        </w:numPr>
        <w:autoSpaceDE w:val="0"/>
        <w:spacing w:before="240" w:after="240"/>
        <w:jc w:val="both"/>
      </w:pPr>
      <w:r>
        <w:lastRenderedPageBreak/>
        <w:t xml:space="preserve">The Princes </w:t>
      </w:r>
      <w:r w:rsidR="00A23BE7">
        <w:t xml:space="preserve">and India contended that the Transfer was made on trust. The trustee, it was contended, was Rahimtoola in his personal capacity. </w:t>
      </w:r>
      <w:r w:rsidR="002B2B8D">
        <w:t xml:space="preserve">Three different sorts of trust were contended for by the </w:t>
      </w:r>
      <w:r w:rsidR="00DF403B">
        <w:t>Princes and India:</w:t>
      </w:r>
    </w:p>
    <w:p w14:paraId="547B1637" w14:textId="77777777" w:rsidR="00DF403B" w:rsidRDefault="00DF403B" w:rsidP="00DF403B">
      <w:pPr>
        <w:numPr>
          <w:ilvl w:val="1"/>
          <w:numId w:val="2"/>
        </w:numPr>
        <w:autoSpaceDE w:val="0"/>
        <w:spacing w:before="240" w:after="240"/>
        <w:jc w:val="both"/>
      </w:pPr>
      <w:r>
        <w:t>An express trust</w:t>
      </w:r>
      <w:r w:rsidR="006E3C3B">
        <w:t xml:space="preserve"> in favour of Nizam VII</w:t>
      </w:r>
      <w:r>
        <w:t>;</w:t>
      </w:r>
    </w:p>
    <w:p w14:paraId="11101A9E" w14:textId="77777777" w:rsidR="00DF403B" w:rsidRDefault="00DF403B" w:rsidP="00DF403B">
      <w:pPr>
        <w:numPr>
          <w:ilvl w:val="1"/>
          <w:numId w:val="2"/>
        </w:numPr>
        <w:autoSpaceDE w:val="0"/>
        <w:spacing w:before="240" w:after="240"/>
        <w:jc w:val="both"/>
      </w:pPr>
      <w:r>
        <w:t>A constructive trust</w:t>
      </w:r>
      <w:r w:rsidR="006E3C3B">
        <w:t xml:space="preserve"> whereby Rahimtoola assumed the obligations of a trustee towards Nizam VII</w:t>
      </w:r>
      <w:r>
        <w:t xml:space="preserve">; </w:t>
      </w:r>
      <w:r w:rsidR="00715675">
        <w:t>or</w:t>
      </w:r>
    </w:p>
    <w:p w14:paraId="31D9E2AF" w14:textId="77777777" w:rsidR="00DF403B" w:rsidRDefault="00DF403B" w:rsidP="00DF403B">
      <w:pPr>
        <w:numPr>
          <w:ilvl w:val="1"/>
          <w:numId w:val="2"/>
        </w:numPr>
        <w:autoSpaceDE w:val="0"/>
        <w:spacing w:before="240" w:after="240"/>
        <w:jc w:val="both"/>
      </w:pPr>
      <w:r>
        <w:t>A resulting trust</w:t>
      </w:r>
      <w:r w:rsidR="006E3C3B">
        <w:t xml:space="preserve">, whereby Rahimtoola </w:t>
      </w:r>
      <w:r w:rsidR="0090603B">
        <w:t xml:space="preserve">held on trust because Nizam VII is presumed not to have intended </w:t>
      </w:r>
      <w:r w:rsidR="003E607D">
        <w:t>to dispose of his money gratuitously</w:t>
      </w:r>
      <w:r>
        <w:t>.</w:t>
      </w:r>
    </w:p>
    <w:p w14:paraId="0EDA31C3" w14:textId="77777777" w:rsidR="00DF403B" w:rsidRDefault="003C1607" w:rsidP="00DF403B">
      <w:pPr>
        <w:autoSpaceDE w:val="0"/>
        <w:spacing w:before="240" w:after="240"/>
        <w:ind w:left="567"/>
        <w:jc w:val="both"/>
      </w:pPr>
      <w:r>
        <w:t xml:space="preserve">In considering whether </w:t>
      </w:r>
      <w:r w:rsidR="006E3C3B">
        <w:t>any one of these trusts</w:t>
      </w:r>
      <w:r>
        <w:t xml:space="preserve"> ha</w:t>
      </w:r>
      <w:r w:rsidR="00090CA0">
        <w:t>s</w:t>
      </w:r>
      <w:r>
        <w:t xml:space="preserve"> been established, </w:t>
      </w:r>
      <w:r w:rsidR="009D7D0D">
        <w:t xml:space="preserve">I will inevitably be considering </w:t>
      </w:r>
      <w:r>
        <w:t xml:space="preserve">the alternative case, namely </w:t>
      </w:r>
      <w:r w:rsidR="009D7D0D">
        <w:t xml:space="preserve">Pakistan’s case, which (as I have described) was that </w:t>
      </w:r>
      <w:r>
        <w:t xml:space="preserve">there was no trust at all and that </w:t>
      </w:r>
      <w:r w:rsidR="00573819">
        <w:t>Pakistan</w:t>
      </w:r>
      <w:r w:rsidR="00D01EE3">
        <w:t xml:space="preserve"> received the Fund absolutely by virtue of a transfer to her High Commissioner, then Rahimtoola.</w:t>
      </w:r>
    </w:p>
    <w:p w14:paraId="63B3C5AD" w14:textId="77777777" w:rsidR="00573819" w:rsidRDefault="00573819" w:rsidP="00573819">
      <w:pPr>
        <w:numPr>
          <w:ilvl w:val="0"/>
          <w:numId w:val="2"/>
        </w:numPr>
        <w:autoSpaceDE w:val="0"/>
        <w:spacing w:before="240" w:after="240"/>
        <w:jc w:val="both"/>
      </w:pPr>
      <w:r>
        <w:t xml:space="preserve">I shall begin by considering the relevant facts. I will then consider whether, on the basis of </w:t>
      </w:r>
      <w:r w:rsidR="00CE628A">
        <w:t>my</w:t>
      </w:r>
      <w:r>
        <w:t xml:space="preserve"> findings, </w:t>
      </w:r>
      <w:r w:rsidR="00794B20">
        <w:t>a trust has or has not been established.</w:t>
      </w:r>
    </w:p>
    <w:p w14:paraId="02B374C3" w14:textId="77777777" w:rsidR="00794B20" w:rsidRPr="00794B20" w:rsidRDefault="00794B20" w:rsidP="00D76E33">
      <w:pPr>
        <w:keepNext/>
        <w:tabs>
          <w:tab w:val="left" w:pos="567"/>
        </w:tabs>
        <w:autoSpaceDE w:val="0"/>
        <w:spacing w:before="240" w:after="240"/>
        <w:jc w:val="both"/>
        <w:rPr>
          <w:b/>
          <w:bCs/>
        </w:rPr>
      </w:pPr>
      <w:r w:rsidRPr="00794B20">
        <w:rPr>
          <w:b/>
          <w:bCs/>
        </w:rPr>
        <w:t>(2)</w:t>
      </w:r>
      <w:r w:rsidRPr="00794B20">
        <w:rPr>
          <w:b/>
          <w:bCs/>
        </w:rPr>
        <w:tab/>
        <w:t>The facts</w:t>
      </w:r>
    </w:p>
    <w:p w14:paraId="39931A6E" w14:textId="77777777" w:rsidR="0053766B" w:rsidRPr="0053766B" w:rsidRDefault="0053766B" w:rsidP="00D76E33">
      <w:pPr>
        <w:keepNext/>
        <w:tabs>
          <w:tab w:val="left" w:pos="567"/>
        </w:tabs>
        <w:autoSpaceDE w:val="0"/>
        <w:spacing w:before="240" w:after="240"/>
        <w:jc w:val="both"/>
        <w:rPr>
          <w:b/>
          <w:bCs/>
          <w:i/>
          <w:iCs/>
        </w:rPr>
      </w:pPr>
      <w:r w:rsidRPr="0053766B">
        <w:rPr>
          <w:b/>
          <w:bCs/>
          <w:i/>
          <w:iCs/>
        </w:rPr>
        <w:t>(a)</w:t>
      </w:r>
      <w:r w:rsidRPr="0053766B">
        <w:rPr>
          <w:b/>
          <w:bCs/>
          <w:i/>
          <w:iCs/>
        </w:rPr>
        <w:tab/>
        <w:t>Approach</w:t>
      </w:r>
    </w:p>
    <w:p w14:paraId="5B69D3A4" w14:textId="77777777" w:rsidR="00A3318A" w:rsidRDefault="00D63D23" w:rsidP="001006FE">
      <w:pPr>
        <w:numPr>
          <w:ilvl w:val="0"/>
          <w:numId w:val="2"/>
        </w:numPr>
        <w:autoSpaceDE w:val="0"/>
        <w:spacing w:before="240" w:after="240"/>
        <w:jc w:val="both"/>
      </w:pPr>
      <w:r>
        <w:t>I shall consider the facts under the following heads:</w:t>
      </w:r>
    </w:p>
    <w:p w14:paraId="05E917B8" w14:textId="77777777" w:rsidR="00D63D23" w:rsidRDefault="00D63D23" w:rsidP="00D63D23">
      <w:pPr>
        <w:numPr>
          <w:ilvl w:val="1"/>
          <w:numId w:val="2"/>
        </w:numPr>
        <w:autoSpaceDE w:val="0"/>
        <w:spacing w:before="240" w:after="240"/>
        <w:jc w:val="both"/>
      </w:pPr>
      <w:r>
        <w:t xml:space="preserve">Whether, and if so in what terms, Nizam VII authorised the </w:t>
      </w:r>
      <w:r w:rsidR="001465AD">
        <w:t>Transfer.</w:t>
      </w:r>
    </w:p>
    <w:p w14:paraId="5A3F98DA" w14:textId="77777777" w:rsidR="001465AD" w:rsidRDefault="001465AD" w:rsidP="00D63D23">
      <w:pPr>
        <w:numPr>
          <w:ilvl w:val="1"/>
          <w:numId w:val="2"/>
        </w:numPr>
        <w:autoSpaceDE w:val="0"/>
        <w:spacing w:before="240" w:after="240"/>
        <w:jc w:val="both"/>
      </w:pPr>
      <w:r>
        <w:t>What Moin intended when effecting the Transfer</w:t>
      </w:r>
      <w:r w:rsidR="003D2E8B">
        <w:t xml:space="preserve"> and whether this was with</w:t>
      </w:r>
      <w:r w:rsidR="00BE2BCC">
        <w:t>in</w:t>
      </w:r>
      <w:r w:rsidR="003D2E8B">
        <w:t xml:space="preserve"> or without the scope of such authority as Nizam VII </w:t>
      </w:r>
      <w:r w:rsidR="00D76E33">
        <w:t xml:space="preserve">had </w:t>
      </w:r>
      <w:r w:rsidR="003D2E8B">
        <w:t>conferred</w:t>
      </w:r>
      <w:r w:rsidR="00D76E33">
        <w:t xml:space="preserve"> on him</w:t>
      </w:r>
      <w:r w:rsidR="003D2E8B">
        <w:t>.</w:t>
      </w:r>
    </w:p>
    <w:p w14:paraId="54D7C713" w14:textId="77777777" w:rsidR="00D76E33" w:rsidRDefault="00D76E33" w:rsidP="00D63D23">
      <w:pPr>
        <w:numPr>
          <w:ilvl w:val="1"/>
          <w:numId w:val="2"/>
        </w:numPr>
        <w:autoSpaceDE w:val="0"/>
        <w:spacing w:before="240" w:after="240"/>
        <w:jc w:val="both"/>
      </w:pPr>
      <w:r>
        <w:t>Rahimtoola’s intentions in relation to the Transfer.</w:t>
      </w:r>
    </w:p>
    <w:p w14:paraId="74FD029C" w14:textId="77777777" w:rsidR="00A3318A" w:rsidRPr="006F3DF2" w:rsidRDefault="006F3DF2" w:rsidP="00E2145E">
      <w:pPr>
        <w:keepNext/>
        <w:tabs>
          <w:tab w:val="left" w:pos="567"/>
        </w:tabs>
        <w:autoSpaceDE w:val="0"/>
        <w:spacing w:before="240" w:after="240"/>
        <w:jc w:val="both"/>
        <w:rPr>
          <w:b/>
          <w:bCs/>
          <w:i/>
          <w:iCs/>
        </w:rPr>
      </w:pPr>
      <w:r>
        <w:rPr>
          <w:b/>
          <w:bCs/>
          <w:i/>
          <w:iCs/>
        </w:rPr>
        <w:t>(b)</w:t>
      </w:r>
      <w:r>
        <w:rPr>
          <w:b/>
          <w:bCs/>
          <w:i/>
          <w:iCs/>
        </w:rPr>
        <w:tab/>
        <w:t>Authorisation by Nizam VII</w:t>
      </w:r>
    </w:p>
    <w:p w14:paraId="295A0B4A" w14:textId="77777777" w:rsidR="001006FE" w:rsidRDefault="001006FE" w:rsidP="001006FE">
      <w:pPr>
        <w:numPr>
          <w:ilvl w:val="0"/>
          <w:numId w:val="2"/>
        </w:numPr>
        <w:autoSpaceDE w:val="0"/>
        <w:spacing w:before="240" w:after="240"/>
        <w:jc w:val="both"/>
      </w:pPr>
      <w:r>
        <w:t>For the reasons I have given,</w:t>
      </w:r>
      <w:r w:rsidR="00D26B13">
        <w:rPr>
          <w:rStyle w:val="FootnoteReference"/>
        </w:rPr>
        <w:footnoteReference w:id="158"/>
      </w:r>
      <w:r>
        <w:t xml:space="preserve"> I do not consider that any </w:t>
      </w:r>
      <w:r w:rsidR="0050278B">
        <w:t xml:space="preserve">pre-existing </w:t>
      </w:r>
      <w:r>
        <w:t xml:space="preserve">authority that Nizam VII gave to his </w:t>
      </w:r>
      <w:r w:rsidR="00D26B13">
        <w:t>G</w:t>
      </w:r>
      <w:r>
        <w:t xml:space="preserve">overnment </w:t>
      </w:r>
      <w:r w:rsidR="00D26B13">
        <w:t xml:space="preserve">or to officials within his Government </w:t>
      </w:r>
      <w:r w:rsidR="0050278B">
        <w:t xml:space="preserve">as such </w:t>
      </w:r>
      <w:r>
        <w:t xml:space="preserve">persisted after 17 September 1948. The Nizam accepted the resignation of his Government and – </w:t>
      </w:r>
      <w:r w:rsidR="00D26B13">
        <w:t xml:space="preserve">again, </w:t>
      </w:r>
      <w:r>
        <w:t>for the reasons I have given</w:t>
      </w:r>
      <w:r w:rsidR="00D26B13">
        <w:rPr>
          <w:rStyle w:val="FootnoteReference"/>
        </w:rPr>
        <w:footnoteReference w:id="159"/>
      </w:r>
      <w:r>
        <w:t xml:space="preserve"> – that is a legal fact that I must simply accept.</w:t>
      </w:r>
      <w:r w:rsidR="000E4239">
        <w:t xml:space="preserve"> Accordingly, any powers or authority conferred on Moin in his capacity as an official within the Nizam’s Government ended </w:t>
      </w:r>
      <w:r w:rsidR="008F103B">
        <w:t xml:space="preserve">on 17 September 1948. Given the publicity that surrounded Nizam VII’s announcement, and given Moin’s obvious interest, </w:t>
      </w:r>
      <w:r w:rsidR="00A26E01">
        <w:t>it is unrealistic to consider that Moin would not have heard of the resignation of the Government of Hyderabad before 20 September 1948, when the Transfer was effected.</w:t>
      </w:r>
      <w:r w:rsidR="00404289">
        <w:rPr>
          <w:rStyle w:val="FootnoteReference"/>
        </w:rPr>
        <w:footnoteReference w:id="160"/>
      </w:r>
    </w:p>
    <w:p w14:paraId="7E6FF005" w14:textId="77777777" w:rsidR="00B24FA3" w:rsidRDefault="001006FE" w:rsidP="001006FE">
      <w:pPr>
        <w:numPr>
          <w:ilvl w:val="0"/>
          <w:numId w:val="2"/>
        </w:numPr>
        <w:autoSpaceDE w:val="0"/>
        <w:spacing w:before="240" w:after="240"/>
        <w:jc w:val="both"/>
      </w:pPr>
      <w:r>
        <w:lastRenderedPageBreak/>
        <w:t>Of course, that does not mean that the Nizam could not have conferred authority on Moin independently</w:t>
      </w:r>
      <w:r w:rsidR="00E2145E">
        <w:t xml:space="preserve"> of his office</w:t>
      </w:r>
      <w:r>
        <w:t xml:space="preserve"> and even very informally. </w:t>
      </w:r>
      <w:r w:rsidR="00A0174E">
        <w:t xml:space="preserve">As I have also found, </w:t>
      </w:r>
      <w:r w:rsidR="00432317">
        <w:t xml:space="preserve">the Nizam’s </w:t>
      </w:r>
      <w:r w:rsidR="00A0174E">
        <w:t xml:space="preserve">authority </w:t>
      </w:r>
      <w:r w:rsidR="00432317">
        <w:rPr>
          <w:i/>
          <w:iCs/>
        </w:rPr>
        <w:t>qua</w:t>
      </w:r>
      <w:r w:rsidR="00B24FA3">
        <w:t xml:space="preserve"> Nizam </w:t>
      </w:r>
      <w:r w:rsidR="00432317">
        <w:t>persisted undiminished even after the end of Operation Polo</w:t>
      </w:r>
      <w:r w:rsidR="00B24FA3">
        <w:t>.</w:t>
      </w:r>
      <w:r w:rsidR="00432317">
        <w:rPr>
          <w:rStyle w:val="FootnoteReference"/>
        </w:rPr>
        <w:footnoteReference w:id="161"/>
      </w:r>
      <w:r w:rsidR="00B24FA3">
        <w:t xml:space="preserve"> The question is not whether </w:t>
      </w:r>
      <w:r w:rsidR="00A97EF8">
        <w:t>Nizam VII</w:t>
      </w:r>
      <w:r w:rsidR="00B24FA3">
        <w:t xml:space="preserve"> </w:t>
      </w:r>
      <w:r w:rsidR="00B24FA3" w:rsidRPr="00B24FA3">
        <w:rPr>
          <w:u w:val="single"/>
        </w:rPr>
        <w:t>had</w:t>
      </w:r>
      <w:r w:rsidR="00B24FA3">
        <w:t xml:space="preserve"> the authority, but whether he exercised i</w:t>
      </w:r>
      <w:r w:rsidR="0096457C">
        <w:t>t</w:t>
      </w:r>
      <w:r w:rsidR="00B24FA3">
        <w:t xml:space="preserve">. </w:t>
      </w:r>
    </w:p>
    <w:p w14:paraId="2757DD5D" w14:textId="77777777" w:rsidR="001006FE" w:rsidRDefault="00347A1A" w:rsidP="001006FE">
      <w:pPr>
        <w:numPr>
          <w:ilvl w:val="0"/>
          <w:numId w:val="2"/>
        </w:numPr>
        <w:autoSpaceDE w:val="0"/>
        <w:spacing w:before="240" w:after="240"/>
        <w:jc w:val="both"/>
      </w:pPr>
      <w:r>
        <w:t xml:space="preserve">I have described the </w:t>
      </w:r>
      <w:r w:rsidR="001006FE">
        <w:t>payments out of the Second Account</w:t>
      </w:r>
      <w:r w:rsidR="005D3C49">
        <w:t xml:space="preserve">. </w:t>
      </w:r>
      <w:r w:rsidR="005538E3">
        <w:t xml:space="preserve">A number of these were made for the provision of weapons to </w:t>
      </w:r>
      <w:r w:rsidR="005538E3">
        <w:rPr>
          <w:u w:val="single"/>
        </w:rPr>
        <w:t>resist</w:t>
      </w:r>
      <w:r w:rsidR="005538E3">
        <w:t xml:space="preserve"> perceived Indian aggression</w:t>
      </w:r>
      <w:r w:rsidR="00A1334D">
        <w:t xml:space="preserve"> and were made – as I have found </w:t>
      </w:r>
      <w:r w:rsidR="00D33763">
        <w:t>–</w:t>
      </w:r>
      <w:r w:rsidR="00A1334D">
        <w:t xml:space="preserve"> </w:t>
      </w:r>
      <w:r w:rsidR="00D33763">
        <w:t>with the knowledge and authority of Nizam VII.</w:t>
      </w:r>
      <w:r w:rsidR="00BF1AD4">
        <w:rPr>
          <w:rStyle w:val="FootnoteReference"/>
        </w:rPr>
        <w:footnoteReference w:id="162"/>
      </w:r>
    </w:p>
    <w:p w14:paraId="70D401D6" w14:textId="77777777" w:rsidR="005542E5" w:rsidRDefault="00B91BD4" w:rsidP="001006FE">
      <w:pPr>
        <w:numPr>
          <w:ilvl w:val="0"/>
          <w:numId w:val="2"/>
        </w:numPr>
        <w:autoSpaceDE w:val="0"/>
        <w:spacing w:before="240" w:after="240"/>
        <w:jc w:val="both"/>
      </w:pPr>
      <w:r>
        <w:t xml:space="preserve">It seems to me that as at the relevant date – 20 September 1948 </w:t>
      </w:r>
      <w:r w:rsidR="00BC78BE">
        <w:t>–</w:t>
      </w:r>
      <w:r>
        <w:t xml:space="preserve"> </w:t>
      </w:r>
      <w:r w:rsidR="00BC78BE">
        <w:t>it is highly likely that Nizam VII would have wanted his officials to safeguard the monies in the Second Account</w:t>
      </w:r>
      <w:r w:rsidR="000A088C">
        <w:t xml:space="preserve">, in the sense that he would have wanted these monies </w:t>
      </w:r>
      <w:r w:rsidR="00AE358B">
        <w:t xml:space="preserve">placed </w:t>
      </w:r>
      <w:r w:rsidR="002156D1">
        <w:rPr>
          <w:i/>
          <w:iCs/>
        </w:rPr>
        <w:t xml:space="preserve">(i) </w:t>
      </w:r>
      <w:r w:rsidR="00CA40FA">
        <w:t xml:space="preserve">out of India’s reach </w:t>
      </w:r>
      <w:r w:rsidR="00CA40FA" w:rsidRPr="002156D1">
        <w:t xml:space="preserve">but </w:t>
      </w:r>
      <w:r w:rsidR="002156D1">
        <w:rPr>
          <w:i/>
          <w:iCs/>
        </w:rPr>
        <w:t xml:space="preserve">(ii) </w:t>
      </w:r>
      <w:r w:rsidR="00CA40FA" w:rsidRPr="002156D1">
        <w:t>under his own control</w:t>
      </w:r>
      <w:r w:rsidR="00BC78BE" w:rsidRPr="002156D1">
        <w:t>.</w:t>
      </w:r>
      <w:r w:rsidR="005542E5">
        <w:t xml:space="preserve"> In short, I consider that Nizam VII </w:t>
      </w:r>
      <w:r w:rsidR="00883FD1">
        <w:t xml:space="preserve">would have wanted the Fund to be protected from India, but not </w:t>
      </w:r>
      <w:r w:rsidR="00F87636">
        <w:t xml:space="preserve">at any price. He would not have wanted the Fund </w:t>
      </w:r>
      <w:r w:rsidR="00883FD1">
        <w:t>paid away</w:t>
      </w:r>
      <w:r w:rsidR="00F87636">
        <w:t xml:space="preserve"> irrevocably</w:t>
      </w:r>
      <w:r w:rsidR="00883FD1">
        <w:t xml:space="preserve">. That, to my mind, is highly suggestive </w:t>
      </w:r>
      <w:r w:rsidR="00A63BC1">
        <w:t xml:space="preserve">of some kind of trust arrangement, where the legal title in the Fund </w:t>
      </w:r>
      <w:r w:rsidR="001A3940">
        <w:t>wa</w:t>
      </w:r>
      <w:r w:rsidR="00A63BC1">
        <w:t xml:space="preserve">s </w:t>
      </w:r>
      <w:r w:rsidR="001A3940">
        <w:t>transferred</w:t>
      </w:r>
      <w:r w:rsidR="00A63BC1">
        <w:t xml:space="preserve">, but where the beneficial interest </w:t>
      </w:r>
      <w:r w:rsidR="007D4BE5">
        <w:t>was retained by Nizam VII.</w:t>
      </w:r>
    </w:p>
    <w:p w14:paraId="105772C5" w14:textId="77777777" w:rsidR="007D4BE5" w:rsidRDefault="007D4BE5" w:rsidP="001A3940">
      <w:pPr>
        <w:numPr>
          <w:ilvl w:val="0"/>
          <w:numId w:val="2"/>
        </w:numPr>
        <w:autoSpaceDE w:val="0"/>
        <w:spacing w:before="240" w:after="240"/>
        <w:jc w:val="both"/>
      </w:pPr>
      <w:r>
        <w:t xml:space="preserve">Equally, I consider that it would </w:t>
      </w:r>
      <w:r w:rsidR="001A3940">
        <w:t xml:space="preserve">have </w:t>
      </w:r>
      <w:r>
        <w:t>be</w:t>
      </w:r>
      <w:r w:rsidR="001A3940">
        <w:t>en</w:t>
      </w:r>
      <w:r>
        <w:t xml:space="preserve"> very unlikely </w:t>
      </w:r>
      <w:r w:rsidR="001A3940">
        <w:t>for</w:t>
      </w:r>
      <w:r>
        <w:t xml:space="preserve"> the Nizam </w:t>
      </w:r>
      <w:r w:rsidR="001A3940">
        <w:t xml:space="preserve">to </w:t>
      </w:r>
      <w:r>
        <w:t>ha</w:t>
      </w:r>
      <w:r w:rsidR="001A3940">
        <w:t>ve</w:t>
      </w:r>
      <w:r>
        <w:t xml:space="preserve"> entrusted this safeguarding function to a private person, however emin</w:t>
      </w:r>
      <w:r w:rsidR="001A3940">
        <w:t>e</w:t>
      </w:r>
      <w:r>
        <w:t xml:space="preserve">nt. The Nizam’s dealings were </w:t>
      </w:r>
      <w:r w:rsidR="0059673D">
        <w:t xml:space="preserve">at a high level </w:t>
      </w:r>
      <w:r w:rsidR="0059673D" w:rsidRPr="0074056D">
        <w:t>with</w:t>
      </w:r>
      <w:r w:rsidR="0059673D">
        <w:t xml:space="preserve"> </w:t>
      </w:r>
      <w:r w:rsidR="0059673D" w:rsidRPr="0074056D">
        <w:rPr>
          <w:u w:val="single"/>
        </w:rPr>
        <w:t>Pakistan</w:t>
      </w:r>
      <w:r w:rsidR="0059673D">
        <w:t xml:space="preserve"> (both states operated together </w:t>
      </w:r>
      <w:r w:rsidR="00541CD1">
        <w:t>in the procurement of weapons) and it seems to me that the Nizam would</w:t>
      </w:r>
      <w:r w:rsidR="00647EFB">
        <w:t xml:space="preserve"> only have entrusted a safeguarding function to </w:t>
      </w:r>
      <w:r w:rsidR="00017254">
        <w:t>Pakistan and not, for instance</w:t>
      </w:r>
      <w:r w:rsidR="0096755A">
        <w:t>,</w:t>
      </w:r>
      <w:r w:rsidR="00017254">
        <w:t xml:space="preserve"> to Rahimtoola personally.</w:t>
      </w:r>
    </w:p>
    <w:p w14:paraId="05DAA525" w14:textId="77777777" w:rsidR="005C4E5A" w:rsidRDefault="005C4E5A" w:rsidP="001A3940">
      <w:pPr>
        <w:numPr>
          <w:ilvl w:val="0"/>
          <w:numId w:val="2"/>
        </w:numPr>
        <w:autoSpaceDE w:val="0"/>
        <w:spacing w:before="240" w:after="240"/>
        <w:jc w:val="both"/>
      </w:pPr>
      <w:r>
        <w:t>It is, of course, possible, that between Hyderabad’s capitulation on 17 September 1948 and the Transfer on 20 September 1948, Nizam VII’s views underwent as dramatic a change as the fortunes of Hyderabad, and that Nizam VII decided</w:t>
      </w:r>
      <w:r w:rsidR="00996FFB">
        <w:t>, more-or-less immediately,</w:t>
      </w:r>
      <w:r>
        <w:t xml:space="preserve"> to throw his lot in with India. </w:t>
      </w:r>
      <w:r w:rsidR="00207E0F">
        <w:t xml:space="preserve">In other words, given that India had succeeded in annexing Hyderabad, it was pointless for Nizam VII to seek to safeguard the Fund. </w:t>
      </w:r>
      <w:r w:rsidR="00D01882">
        <w:t xml:space="preserve">I find such a change of attitude </w:t>
      </w:r>
      <w:r>
        <w:t>in so short a space of time</w:t>
      </w:r>
      <w:r w:rsidR="00D01882">
        <w:t xml:space="preserve"> to be unlikely</w:t>
      </w:r>
      <w:r>
        <w:t xml:space="preserve">. I consider that, as at 20 September 1948, Nizam VII </w:t>
      </w:r>
      <w:r w:rsidR="00D01882">
        <w:t xml:space="preserve">would have </w:t>
      </w:r>
      <w:r>
        <w:t>remained concerned to safeguard the Fund in the manner that I have described</w:t>
      </w:r>
      <w:r w:rsidR="00C055C9">
        <w:t xml:space="preserve"> and would have wanted the Fund kept out of India’s hands.</w:t>
      </w:r>
      <w:r w:rsidR="00996FFB">
        <w:t xml:space="preserve"> </w:t>
      </w:r>
      <w:r w:rsidR="00F76C97">
        <w:t>Equally, I have little doubt that, as the years passed, Nizam VII’s attitude would have changed.</w:t>
      </w:r>
    </w:p>
    <w:p w14:paraId="2FFE2B0C" w14:textId="77777777" w:rsidR="00A65542" w:rsidRDefault="005542E5" w:rsidP="001006FE">
      <w:pPr>
        <w:numPr>
          <w:ilvl w:val="0"/>
          <w:numId w:val="2"/>
        </w:numPr>
        <w:autoSpaceDE w:val="0"/>
        <w:spacing w:before="240" w:after="240"/>
        <w:jc w:val="both"/>
      </w:pPr>
      <w:r>
        <w:t>However, I am sceptical as to whether – in these fraught days</w:t>
      </w:r>
      <w:r w:rsidR="00A973E6">
        <w:t xml:space="preserve"> of September 1948</w:t>
      </w:r>
      <w:r>
        <w:t xml:space="preserve"> </w:t>
      </w:r>
      <w:r w:rsidR="00017254">
        <w:t>–</w:t>
      </w:r>
      <w:r>
        <w:t xml:space="preserve"> </w:t>
      </w:r>
      <w:r w:rsidR="00017254">
        <w:t xml:space="preserve">Nizam VII would have been able to communicate </w:t>
      </w:r>
      <w:r w:rsidR="00A973E6">
        <w:t>his</w:t>
      </w:r>
      <w:r w:rsidR="00017254">
        <w:t xml:space="preserve"> wishes to </w:t>
      </w:r>
      <w:r w:rsidR="006A55AA">
        <w:t>those he trusted</w:t>
      </w:r>
      <w:r w:rsidR="00C055C9">
        <w:t>, specifically to Moin</w:t>
      </w:r>
      <w:r w:rsidR="006A55AA">
        <w:t xml:space="preserve">. Whatever his status, </w:t>
      </w:r>
      <w:r w:rsidR="00C055C9">
        <w:t>Nizam VII</w:t>
      </w:r>
      <w:r w:rsidR="006A55AA">
        <w:t xml:space="preserve"> was</w:t>
      </w:r>
      <w:r w:rsidR="00C055C9">
        <w:t>,</w:t>
      </w:r>
      <w:r w:rsidR="006A55AA">
        <w:t xml:space="preserve"> </w:t>
      </w:r>
      <w:r w:rsidR="0096755A">
        <w:t xml:space="preserve">after the success of Operation Polo, </w:t>
      </w:r>
      <w:r w:rsidR="006A55AA">
        <w:t>in India’s custody</w:t>
      </w:r>
      <w:r w:rsidR="00AE0071">
        <w:t>, and his lines of communication would have been extraordinarily difficult</w:t>
      </w:r>
      <w:r w:rsidR="0096755A">
        <w:t xml:space="preserve"> even before then, given Hyder</w:t>
      </w:r>
      <w:r w:rsidR="00446E0C">
        <w:t>a</w:t>
      </w:r>
      <w:r w:rsidR="0096755A">
        <w:t>bad’s landlocked state</w:t>
      </w:r>
      <w:r w:rsidR="00AE0071">
        <w:t>.</w:t>
      </w:r>
      <w:r w:rsidR="0096755A">
        <w:rPr>
          <w:rStyle w:val="FootnoteReference"/>
        </w:rPr>
        <w:footnoteReference w:id="163"/>
      </w:r>
      <w:r w:rsidR="00AE0071">
        <w:t xml:space="preserve"> </w:t>
      </w:r>
    </w:p>
    <w:p w14:paraId="44C64473" w14:textId="77777777" w:rsidR="001006FE" w:rsidRDefault="002543CF" w:rsidP="00EC571E">
      <w:pPr>
        <w:numPr>
          <w:ilvl w:val="0"/>
          <w:numId w:val="2"/>
        </w:numPr>
        <w:autoSpaceDE w:val="0"/>
        <w:spacing w:before="240" w:after="240"/>
        <w:jc w:val="both"/>
      </w:pPr>
      <w:r>
        <w:lastRenderedPageBreak/>
        <w:t xml:space="preserve">I find that there was no </w:t>
      </w:r>
      <w:r w:rsidR="000A57A2">
        <w:t>communication</w:t>
      </w:r>
      <w:r w:rsidR="00155836">
        <w:t xml:space="preserve"> of any sort</w:t>
      </w:r>
      <w:r w:rsidR="000A57A2">
        <w:t xml:space="preserve"> from Nizam VII to Moin authorising the </w:t>
      </w:r>
      <w:r w:rsidR="001A2EB8">
        <w:t>T</w:t>
      </w:r>
      <w:r w:rsidR="000A57A2">
        <w:t xml:space="preserve">ransfer – </w:t>
      </w:r>
      <w:r w:rsidR="00C07444">
        <w:t>albeit that</w:t>
      </w:r>
      <w:r w:rsidR="000A57A2">
        <w:t xml:space="preserve"> </w:t>
      </w:r>
      <w:r w:rsidR="001A2EB8">
        <w:t>the Transfer was in accordance with the Nizam’s wishes</w:t>
      </w:r>
      <w:r w:rsidR="00C07444">
        <w:t xml:space="preserve">, as </w:t>
      </w:r>
      <w:r w:rsidR="00C07444">
        <w:rPr>
          <w:u w:val="single"/>
        </w:rPr>
        <w:t>un</w:t>
      </w:r>
      <w:r w:rsidR="00C07444">
        <w:t>expressed to Moin</w:t>
      </w:r>
      <w:r w:rsidR="001A2EB8">
        <w:t xml:space="preserve">. This is consistent with the evidence </w:t>
      </w:r>
      <w:r w:rsidR="00EC571E">
        <w:t>before me:</w:t>
      </w:r>
    </w:p>
    <w:p w14:paraId="053CC87F" w14:textId="77777777" w:rsidR="001006FE" w:rsidRDefault="001006FE" w:rsidP="001006FE">
      <w:pPr>
        <w:numPr>
          <w:ilvl w:val="1"/>
          <w:numId w:val="2"/>
        </w:numPr>
        <w:autoSpaceDE w:val="0"/>
        <w:spacing w:before="240" w:after="240"/>
        <w:jc w:val="both"/>
      </w:pPr>
      <w:r>
        <w:t>Nizam VII consistently maintained – in documents created for the purposes of or in relation to the 1954 Proceedings – that the Transfer was made without his authority or knowledge. As to this:</w:t>
      </w:r>
    </w:p>
    <w:p w14:paraId="07E46604" w14:textId="77777777" w:rsidR="001006FE" w:rsidRDefault="001006FE" w:rsidP="001006FE">
      <w:pPr>
        <w:numPr>
          <w:ilvl w:val="2"/>
          <w:numId w:val="2"/>
        </w:numPr>
        <w:autoSpaceDE w:val="0"/>
        <w:spacing w:before="240" w:after="240"/>
        <w:jc w:val="both"/>
      </w:pPr>
      <w:r>
        <w:t>In a letter dated 9 October 1955, Nizam VII said this:</w:t>
      </w:r>
    </w:p>
    <w:p w14:paraId="602A4B91" w14:textId="77777777" w:rsidR="001006FE" w:rsidRDefault="001006FE" w:rsidP="001006FE">
      <w:pPr>
        <w:autoSpaceDE w:val="0"/>
        <w:spacing w:before="240" w:after="240"/>
        <w:ind w:left="1814"/>
        <w:jc w:val="both"/>
        <w:rPr>
          <w:sz w:val="22"/>
          <w:szCs w:val="22"/>
        </w:rPr>
      </w:pPr>
      <w:r>
        <w:rPr>
          <w:sz w:val="22"/>
          <w:szCs w:val="22"/>
        </w:rPr>
        <w:t>“I am in receipt of your letter of 8 October 1955, and, in reply, I have to state that the money deposited in London with the Westminster Bank was only to be used for the purposes of the Hyderabad State, and there was no intention of transferring the amount to any other Government or person, nor do I remember to have issued any Firman, authorising transfer of the money to and Government or person.</w:t>
      </w:r>
    </w:p>
    <w:p w14:paraId="51A1E8A5" w14:textId="77777777" w:rsidR="001006FE" w:rsidRDefault="001006FE" w:rsidP="001006FE">
      <w:pPr>
        <w:autoSpaceDE w:val="0"/>
        <w:spacing w:before="240" w:after="240"/>
        <w:ind w:left="1814"/>
        <w:jc w:val="both"/>
        <w:rPr>
          <w:sz w:val="22"/>
          <w:szCs w:val="22"/>
        </w:rPr>
      </w:pPr>
      <w:r>
        <w:rPr>
          <w:sz w:val="22"/>
          <w:szCs w:val="22"/>
        </w:rPr>
        <w:t>(2)</w:t>
      </w:r>
      <w:r>
        <w:rPr>
          <w:sz w:val="22"/>
          <w:szCs w:val="22"/>
        </w:rPr>
        <w:tab/>
      </w:r>
      <w:r w:rsidR="00B53FB8">
        <w:rPr>
          <w:sz w:val="22"/>
          <w:szCs w:val="22"/>
        </w:rPr>
        <w:tab/>
      </w:r>
      <w:r>
        <w:rPr>
          <w:sz w:val="22"/>
          <w:szCs w:val="22"/>
        </w:rPr>
        <w:t>My Peshi Office has made a thorough search of its records, but no copy of any such Firman, authorising transfer of the balance to the credit of the account with the Westminster Bank, to Mr Habib Rahimtoola, or to the Pakistan High Commissioner in London, is traceable.</w:t>
      </w:r>
    </w:p>
    <w:p w14:paraId="4B66DC28" w14:textId="77777777" w:rsidR="001006FE" w:rsidRPr="00FA1094" w:rsidRDefault="001006FE" w:rsidP="001006FE">
      <w:pPr>
        <w:autoSpaceDE w:val="0"/>
        <w:spacing w:before="240" w:after="240"/>
        <w:ind w:left="1814"/>
        <w:jc w:val="both"/>
        <w:rPr>
          <w:sz w:val="22"/>
          <w:szCs w:val="22"/>
        </w:rPr>
      </w:pPr>
      <w:r>
        <w:rPr>
          <w:sz w:val="22"/>
          <w:szCs w:val="22"/>
        </w:rPr>
        <w:t>(3)</w:t>
      </w:r>
      <w:r>
        <w:rPr>
          <w:sz w:val="22"/>
          <w:szCs w:val="22"/>
        </w:rPr>
        <w:tab/>
      </w:r>
      <w:r w:rsidR="00B53FB8">
        <w:rPr>
          <w:sz w:val="22"/>
          <w:szCs w:val="22"/>
        </w:rPr>
        <w:tab/>
      </w:r>
      <w:r>
        <w:rPr>
          <w:sz w:val="22"/>
          <w:szCs w:val="22"/>
        </w:rPr>
        <w:t>My Peshi Secretary will be prepared to testify accordingly, if necessary.”</w:t>
      </w:r>
    </w:p>
    <w:p w14:paraId="4418B8AE" w14:textId="77777777" w:rsidR="001006FE" w:rsidRDefault="001006FE" w:rsidP="001006FE">
      <w:pPr>
        <w:autoSpaceDE w:val="0"/>
        <w:spacing w:before="240" w:after="240"/>
        <w:ind w:left="1814"/>
        <w:jc w:val="both"/>
      </w:pPr>
      <w:r>
        <w:t xml:space="preserve">This reads like a clear statement that the Transfer was not authorised, and that, plainly, is the impression intended to be conveyed. Read carefully, the letter might be said to be consistent with a transfer of the Fund to Pakistan on trust for the Nizam pursuant to an informal (unwritten) instruction from the Nizam. </w:t>
      </w:r>
      <w:r w:rsidR="00CF488B">
        <w:t>The letter</w:t>
      </w:r>
      <w:r>
        <w:t xml:space="preserve"> also avoids expressly stating that Moin acted without authority. </w:t>
      </w:r>
      <w:r w:rsidR="000271A7">
        <w:t xml:space="preserve">Such unexpressed reservations </w:t>
      </w:r>
      <w:r>
        <w:t>would, however, imply a high degree of disingenousness on the part of Nizam VII.</w:t>
      </w:r>
    </w:p>
    <w:p w14:paraId="0371D65D" w14:textId="77777777" w:rsidR="001006FE" w:rsidRDefault="001006FE" w:rsidP="001006FE">
      <w:pPr>
        <w:numPr>
          <w:ilvl w:val="2"/>
          <w:numId w:val="2"/>
        </w:numPr>
        <w:autoSpaceDE w:val="0"/>
        <w:spacing w:before="240" w:after="240"/>
        <w:jc w:val="both"/>
      </w:pPr>
      <w:r>
        <w:t>In Nizam VII 1, the Nizam was rather more emphatic. Paragraph 2 states:</w:t>
      </w:r>
    </w:p>
    <w:p w14:paraId="41395785" w14:textId="77777777" w:rsidR="001006FE" w:rsidRPr="00FF33A5" w:rsidRDefault="001006FE" w:rsidP="001006FE">
      <w:pPr>
        <w:autoSpaceDE w:val="0"/>
        <w:spacing w:before="240" w:after="240"/>
        <w:ind w:left="1814"/>
        <w:jc w:val="both"/>
        <w:rPr>
          <w:sz w:val="22"/>
          <w:szCs w:val="22"/>
        </w:rPr>
      </w:pPr>
      <w:r>
        <w:rPr>
          <w:sz w:val="22"/>
          <w:szCs w:val="22"/>
        </w:rPr>
        <w:t>“On or about 1 April 1948, and at all times thereafter up to and including 16 September 1948, [Moin] was my Finance Minister. It came to my knowledge that by his letter dated 16 September 1948, [Moin] asked [the Bank] to close the [Second Account] by transferring the balance to the credit of [Rahimtoola] and the [Bank] complied with the said instructions on 20 September 1948 by transferring the sum of £1,007,940.9.- from the [Second Account] to the account in the name of [Rahimtoola]. I say that this transfer was made by [Moin] without my knowledge or authority. I say that at no time had I given any direction or sanction or authority either orally or in writing or by way of Firman or otherwise to [Moin] or to any other person to transfer the said sum of £1,007,940.9.-, or any part thereof, to [Rahimtoola], or to the Pakistan Government or to any person representing the Government of Pakistan. In fact, on learning about the said unauthorised transfer of the said sum of £1,007,940.9.- I cabled to [Moin] on 27 September 1948 to take immediate steps to have the said sum retransferred to my State Account.”</w:t>
      </w:r>
    </w:p>
    <w:p w14:paraId="4FDF69D3" w14:textId="77777777" w:rsidR="001006FE" w:rsidRDefault="001006FE" w:rsidP="001006FE">
      <w:pPr>
        <w:autoSpaceDE w:val="0"/>
        <w:spacing w:before="240" w:after="240"/>
        <w:ind w:left="1814"/>
        <w:jc w:val="both"/>
      </w:pPr>
      <w:r>
        <w:t xml:space="preserve">There is no room </w:t>
      </w:r>
      <w:r w:rsidR="000271A7">
        <w:t xml:space="preserve">for ambiguity or secret reservation </w:t>
      </w:r>
      <w:r>
        <w:t xml:space="preserve">here. This is a formal affidavit, prepared for the purposes of the 1954 Proceedings, and in response to a gap in the evidence identified by Upjohn J. Doubtless it was drafted by lawyers – the language has a definite legalistic flavour – but I </w:t>
      </w:r>
      <w:r>
        <w:lastRenderedPageBreak/>
        <w:t>regard it as inconceivable that Niza</w:t>
      </w:r>
      <w:r w:rsidR="00E965AA">
        <w:t>m</w:t>
      </w:r>
      <w:r>
        <w:t xml:space="preserve"> VII would not have appreciated that this was an important document and that in swearing the affidavit </w:t>
      </w:r>
      <w:r w:rsidR="00FF17BF">
        <w:t>he</w:t>
      </w:r>
      <w:r>
        <w:t xml:space="preserve"> was swearing to the truth of this account. If there was an informal instruction to Moin, then Nizam VII was, I consider, telling a knowing untruth in this document.</w:t>
      </w:r>
    </w:p>
    <w:p w14:paraId="48EB9BB1" w14:textId="77777777" w:rsidR="001006FE" w:rsidRDefault="001006FE" w:rsidP="001006FE">
      <w:pPr>
        <w:numPr>
          <w:ilvl w:val="2"/>
          <w:numId w:val="2"/>
        </w:numPr>
        <w:autoSpaceDE w:val="0"/>
        <w:spacing w:before="240" w:after="240"/>
        <w:jc w:val="both"/>
      </w:pPr>
      <w:r>
        <w:t>There are a number of other documents in which the Nizam asserts that the Transfer was unauthorised, notably the 1956 Assignment</w:t>
      </w:r>
      <w:r>
        <w:rPr>
          <w:rStyle w:val="FootnoteReference"/>
        </w:rPr>
        <w:footnoteReference w:id="164"/>
      </w:r>
      <w:r>
        <w:t xml:space="preserve"> and the correspondence immediately following the Transfer, in which Nizam VII sought to recover the Fund.</w:t>
      </w:r>
      <w:r w:rsidR="003F7447">
        <w:rPr>
          <w:rStyle w:val="FootnoteReference"/>
        </w:rPr>
        <w:footnoteReference w:id="165"/>
      </w:r>
    </w:p>
    <w:p w14:paraId="11C0BF8D" w14:textId="77777777" w:rsidR="009413D3" w:rsidRDefault="009413D3" w:rsidP="009413D3">
      <w:pPr>
        <w:autoSpaceDE w:val="0"/>
        <w:spacing w:before="240" w:after="240"/>
        <w:ind w:left="1134"/>
        <w:jc w:val="both"/>
      </w:pPr>
      <w:r>
        <w:t>It is necessary</w:t>
      </w:r>
      <w:r w:rsidR="00E60A86">
        <w:t>, of course,</w:t>
      </w:r>
      <w:r>
        <w:t xml:space="preserve"> to treat this evidence with some caution, as it was produced </w:t>
      </w:r>
      <w:r w:rsidR="00D13322">
        <w:t>well after the events in question</w:t>
      </w:r>
      <w:r w:rsidR="008B7553">
        <w:t xml:space="preserve"> and in circumstances where it is clear </w:t>
      </w:r>
      <w:r w:rsidR="00E85F0D">
        <w:t xml:space="preserve">that Pakistan was disinclined to return the Fund to the Nizam. </w:t>
      </w:r>
      <w:r w:rsidR="00E8031F">
        <w:t xml:space="preserve">The case that Nizam VII was advancing in the 1954 Proceedings was that </w:t>
      </w:r>
      <w:r w:rsidR="00B248DD">
        <w:t xml:space="preserve">Moin had acted </w:t>
      </w:r>
      <w:r w:rsidR="00445C1D">
        <w:t xml:space="preserve">without authority and in breach of trust. </w:t>
      </w:r>
      <w:r w:rsidR="00905F60">
        <w:t>The Statement of Claim in the 1954 Proceedings provided as follows:</w:t>
      </w:r>
    </w:p>
    <w:p w14:paraId="2A814D6E" w14:textId="77777777" w:rsidR="00067C95" w:rsidRDefault="00067C95" w:rsidP="00067C95">
      <w:pPr>
        <w:autoSpaceDE w:val="0"/>
        <w:spacing w:before="240" w:after="240"/>
        <w:ind w:left="1854" w:hanging="720"/>
        <w:jc w:val="both"/>
        <w:rPr>
          <w:sz w:val="22"/>
          <w:szCs w:val="22"/>
        </w:rPr>
      </w:pPr>
      <w:r>
        <w:rPr>
          <w:sz w:val="22"/>
          <w:szCs w:val="22"/>
        </w:rPr>
        <w:t>“2.</w:t>
      </w:r>
      <w:r>
        <w:rPr>
          <w:sz w:val="22"/>
          <w:szCs w:val="22"/>
        </w:rPr>
        <w:tab/>
      </w:r>
      <w:r w:rsidR="00682CBF">
        <w:rPr>
          <w:sz w:val="22"/>
          <w:szCs w:val="22"/>
        </w:rPr>
        <w:t xml:space="preserve">In relation to the [Bank], [Moin] was entrusted by [Nizam VII] </w:t>
      </w:r>
      <w:r w:rsidR="00135F83">
        <w:rPr>
          <w:sz w:val="22"/>
          <w:szCs w:val="22"/>
        </w:rPr>
        <w:t>and his said Government with power to order withdrawals from the said deposit account</w:t>
      </w:r>
      <w:r w:rsidR="00261A7C">
        <w:rPr>
          <w:sz w:val="22"/>
          <w:szCs w:val="22"/>
        </w:rPr>
        <w:t xml:space="preserve">, but in relation to [Nizam VII] and his Government, [Moin] was not entitled to exercise </w:t>
      </w:r>
      <w:r w:rsidR="00B37195">
        <w:rPr>
          <w:sz w:val="22"/>
          <w:szCs w:val="22"/>
        </w:rPr>
        <w:t>any such powers of withdrawal without the prior consent of [Nizam VII] or his said Government</w:t>
      </w:r>
      <w:r w:rsidR="001962F3">
        <w:rPr>
          <w:sz w:val="22"/>
          <w:szCs w:val="22"/>
        </w:rPr>
        <w:t xml:space="preserve"> or a person or persons duly authorised by him or them in that behalf.</w:t>
      </w:r>
    </w:p>
    <w:p w14:paraId="3D843A32" w14:textId="77777777" w:rsidR="0060598C" w:rsidRDefault="001962F3" w:rsidP="00067C95">
      <w:pPr>
        <w:autoSpaceDE w:val="0"/>
        <w:spacing w:before="240" w:after="240"/>
        <w:ind w:left="1854" w:hanging="720"/>
        <w:jc w:val="both"/>
        <w:rPr>
          <w:sz w:val="22"/>
          <w:szCs w:val="22"/>
        </w:rPr>
      </w:pPr>
      <w:r>
        <w:rPr>
          <w:sz w:val="22"/>
          <w:szCs w:val="22"/>
        </w:rPr>
        <w:t>3.</w:t>
      </w:r>
      <w:r>
        <w:rPr>
          <w:sz w:val="22"/>
          <w:szCs w:val="22"/>
        </w:rPr>
        <w:tab/>
        <w:t>On or about 14 or 16 September 1948</w:t>
      </w:r>
      <w:r w:rsidR="00BA5D72">
        <w:rPr>
          <w:sz w:val="22"/>
          <w:szCs w:val="22"/>
        </w:rPr>
        <w:t xml:space="preserve">, [Moin], in breach of trust and without any instructions or consent of [Nizam VII] </w:t>
      </w:r>
      <w:r w:rsidR="00675DD3">
        <w:rPr>
          <w:sz w:val="22"/>
          <w:szCs w:val="22"/>
        </w:rPr>
        <w:t>or his said Government or any one duly authorised by him or them in that behalf</w:t>
      </w:r>
      <w:r w:rsidR="008152DA">
        <w:rPr>
          <w:sz w:val="22"/>
          <w:szCs w:val="22"/>
        </w:rPr>
        <w:t xml:space="preserve">, directed the [Bank] to transfer the said sum of £1,007,940.9.0 together with all interest </w:t>
      </w:r>
      <w:r w:rsidR="0060598C">
        <w:rPr>
          <w:sz w:val="22"/>
          <w:szCs w:val="22"/>
        </w:rPr>
        <w:t>accrued thereon, to an account with the [Bank] in the name of [Rahimtoola].</w:t>
      </w:r>
    </w:p>
    <w:p w14:paraId="14B963B6" w14:textId="77777777" w:rsidR="001962F3" w:rsidRDefault="00DE7A25" w:rsidP="00067C95">
      <w:pPr>
        <w:autoSpaceDE w:val="0"/>
        <w:spacing w:before="240" w:after="240"/>
        <w:ind w:left="1854" w:hanging="720"/>
        <w:jc w:val="both"/>
        <w:rPr>
          <w:sz w:val="22"/>
          <w:szCs w:val="22"/>
        </w:rPr>
      </w:pPr>
      <w:r>
        <w:rPr>
          <w:sz w:val="22"/>
          <w:szCs w:val="22"/>
        </w:rPr>
        <w:t>4.</w:t>
      </w:r>
      <w:r>
        <w:rPr>
          <w:sz w:val="22"/>
          <w:szCs w:val="22"/>
        </w:rPr>
        <w:tab/>
        <w:t>On or about 20 September</w:t>
      </w:r>
      <w:r w:rsidR="001904FB">
        <w:rPr>
          <w:sz w:val="22"/>
          <w:szCs w:val="22"/>
        </w:rPr>
        <w:t xml:space="preserve"> 1948, the [Bank]</w:t>
      </w:r>
      <w:r w:rsidR="00922901">
        <w:rPr>
          <w:sz w:val="22"/>
          <w:szCs w:val="22"/>
        </w:rPr>
        <w:t>, pursuant to the said direction</w:t>
      </w:r>
      <w:r w:rsidR="009C16B6">
        <w:rPr>
          <w:sz w:val="22"/>
          <w:szCs w:val="22"/>
        </w:rPr>
        <w:t>, transferred the said sum to an account with itself in the name of [Rahimtoola].</w:t>
      </w:r>
    </w:p>
    <w:p w14:paraId="273304E6" w14:textId="77777777" w:rsidR="00EA4B7E" w:rsidRPr="00067C95" w:rsidRDefault="00EA4B7E" w:rsidP="00067C95">
      <w:pPr>
        <w:autoSpaceDE w:val="0"/>
        <w:spacing w:before="240" w:after="240"/>
        <w:ind w:left="1854" w:hanging="720"/>
        <w:jc w:val="both"/>
        <w:rPr>
          <w:sz w:val="22"/>
          <w:szCs w:val="22"/>
        </w:rPr>
      </w:pPr>
      <w:r>
        <w:rPr>
          <w:sz w:val="22"/>
          <w:szCs w:val="22"/>
        </w:rPr>
        <w:t>5.</w:t>
      </w:r>
      <w:r>
        <w:rPr>
          <w:sz w:val="22"/>
          <w:szCs w:val="22"/>
        </w:rPr>
        <w:tab/>
        <w:t xml:space="preserve">To the knowledge of [Rahimtoola], the said money so transferred </w:t>
      </w:r>
      <w:r w:rsidR="007D1732">
        <w:rPr>
          <w:sz w:val="22"/>
          <w:szCs w:val="22"/>
        </w:rPr>
        <w:t xml:space="preserve">to him was the property of [Nizam VII] or his said Government, and [Rahimtoola] </w:t>
      </w:r>
      <w:r w:rsidR="003775B0">
        <w:rPr>
          <w:sz w:val="22"/>
          <w:szCs w:val="22"/>
        </w:rPr>
        <w:t>received the same with that knowledge and without giving any consideration for such transfer. Insofar as may be necessary,</w:t>
      </w:r>
      <w:r w:rsidR="00C10237">
        <w:rPr>
          <w:sz w:val="22"/>
          <w:szCs w:val="22"/>
        </w:rPr>
        <w:t xml:space="preserve"> the Plaintiffs also allege that, to the knowledge of [Rahimtoola], [Moin]</w:t>
      </w:r>
      <w:r w:rsidR="00797844">
        <w:rPr>
          <w:sz w:val="22"/>
          <w:szCs w:val="22"/>
        </w:rPr>
        <w:t xml:space="preserve"> directed the transfer of the said sum to [Rahimtoola] on the footing that the latter </w:t>
      </w:r>
      <w:r w:rsidR="001E70E7">
        <w:rPr>
          <w:sz w:val="22"/>
          <w:szCs w:val="22"/>
        </w:rPr>
        <w:t>would hold the same in safe custody for [Nizam VII] or his Government.”</w:t>
      </w:r>
    </w:p>
    <w:p w14:paraId="6B4FC5D7" w14:textId="77777777" w:rsidR="001E70E7" w:rsidRPr="001E70E7" w:rsidRDefault="001E70E7" w:rsidP="001E70E7">
      <w:pPr>
        <w:autoSpaceDE w:val="0"/>
        <w:spacing w:before="240" w:after="240"/>
        <w:ind w:left="1134"/>
        <w:jc w:val="both"/>
      </w:pPr>
      <w:r>
        <w:t>The Nizam’s evidence obviously goes to support this claim</w:t>
      </w:r>
      <w:r w:rsidR="00E60A86">
        <w:t xml:space="preserve">. </w:t>
      </w:r>
      <w:r w:rsidR="00D25E69">
        <w:t xml:space="preserve">Nevertheless, despite the fact that Nizam VII’s affidavit was produced in support of this case, I do not consider that it is appropriate to conclude that Nizam VII lied in this affidavit. </w:t>
      </w:r>
      <w:r w:rsidR="00C10093">
        <w:t xml:space="preserve">I consider that he told the truth, and that the Transfer was indeed unauthorised by him. Of course, what </w:t>
      </w:r>
      <w:r w:rsidR="0077490D">
        <w:t xml:space="preserve">his evidence </w:t>
      </w:r>
      <w:r w:rsidR="00C10093">
        <w:t xml:space="preserve">leaves unsaid is what was irrelevant in the 1954 Proceedings, namely </w:t>
      </w:r>
      <w:r w:rsidR="004E638F">
        <w:t>Nizam VII’s private views</w:t>
      </w:r>
      <w:r w:rsidR="001532C1">
        <w:t xml:space="preserve"> as to the desirability of safeguarding the Fund</w:t>
      </w:r>
      <w:r w:rsidR="0077490D">
        <w:t xml:space="preserve"> at the time of the Transfer</w:t>
      </w:r>
      <w:r w:rsidR="004E638F">
        <w:t>.</w:t>
      </w:r>
    </w:p>
    <w:p w14:paraId="6E65C496" w14:textId="77777777" w:rsidR="001006FE" w:rsidRPr="00540960" w:rsidRDefault="00C961BD" w:rsidP="001006FE">
      <w:pPr>
        <w:numPr>
          <w:ilvl w:val="1"/>
          <w:numId w:val="2"/>
        </w:numPr>
        <w:autoSpaceDE w:val="0"/>
        <w:spacing w:before="240" w:after="240"/>
        <w:jc w:val="both"/>
        <w:rPr>
          <w:b/>
          <w:bCs/>
        </w:rPr>
      </w:pPr>
      <w:r w:rsidRPr="00C961BD">
        <w:lastRenderedPageBreak/>
        <w:t>The Nizam’s staff – notably, in Gupta 1</w:t>
      </w:r>
      <w:r w:rsidR="00406D6D">
        <w:t xml:space="preserve"> – confirmed that the Transfer was unauthorised. It is important to note that – by this stage </w:t>
      </w:r>
      <w:r w:rsidR="00BD6EEB">
        <w:t>–</w:t>
      </w:r>
      <w:r w:rsidR="00406D6D">
        <w:t xml:space="preserve"> </w:t>
      </w:r>
      <w:r w:rsidR="00BD6EEB">
        <w:t xml:space="preserve">the Nizam’s officials were themselves having to decide where Hyderabad’s future and </w:t>
      </w:r>
      <w:r w:rsidR="00BD6EEB" w:rsidRPr="00751778">
        <w:t>their loyalties lay</w:t>
      </w:r>
      <w:r w:rsidR="00BD6EEB">
        <w:t xml:space="preserve"> </w:t>
      </w:r>
      <w:r w:rsidR="00A1032C">
        <w:t>–</w:t>
      </w:r>
      <w:r w:rsidR="00BD6EEB">
        <w:t xml:space="preserve"> </w:t>
      </w:r>
      <w:r w:rsidR="00A1032C">
        <w:t>with India or in opposition to India. Gupta fell within the first category</w:t>
      </w:r>
      <w:r w:rsidR="00206095">
        <w:t>, becoming an Indian civil servant</w:t>
      </w:r>
      <w:r w:rsidR="0077490D">
        <w:t xml:space="preserve"> in future years</w:t>
      </w:r>
      <w:r w:rsidR="00A1032C">
        <w:t>.</w:t>
      </w:r>
    </w:p>
    <w:p w14:paraId="51339585" w14:textId="77777777" w:rsidR="001006FE" w:rsidRDefault="00F75C5D" w:rsidP="00526522">
      <w:pPr>
        <w:numPr>
          <w:ilvl w:val="1"/>
          <w:numId w:val="2"/>
        </w:numPr>
        <w:autoSpaceDE w:val="0"/>
        <w:spacing w:before="240" w:after="240"/>
        <w:jc w:val="both"/>
      </w:pPr>
      <w:r>
        <w:t xml:space="preserve">Moin fell on </w:t>
      </w:r>
      <w:r w:rsidR="005B3C04">
        <w:t>the other side of the divide</w:t>
      </w:r>
      <w:r w:rsidR="003E71FF">
        <w:t xml:space="preserve"> and </w:t>
      </w:r>
      <w:r w:rsidR="006E62E9">
        <w:t>opposed the Indian invasion</w:t>
      </w:r>
      <w:r w:rsidR="005B3C04">
        <w:t>.</w:t>
      </w:r>
      <w:r w:rsidR="006E62E9">
        <w:t xml:space="preserve"> He</w:t>
      </w:r>
      <w:r w:rsidR="001006FE">
        <w:t xml:space="preserve"> never provided a statement in formal terms</w:t>
      </w:r>
      <w:r w:rsidR="0077490D">
        <w:t>, whether in the 1954 Proceedings or otherwise</w:t>
      </w:r>
      <w:r w:rsidR="001006FE">
        <w:t xml:space="preserve">. However, he did make </w:t>
      </w:r>
      <w:r w:rsidR="00E57994">
        <w:t xml:space="preserve">one </w:t>
      </w:r>
      <w:r w:rsidR="001006FE">
        <w:t>public comment</w:t>
      </w:r>
      <w:r w:rsidR="00E57994">
        <w:t xml:space="preserve"> of significance</w:t>
      </w:r>
      <w:r w:rsidR="001006FE">
        <w:t>,</w:t>
      </w:r>
      <w:r w:rsidR="006E62E9">
        <w:t xml:space="preserve"> which </w:t>
      </w:r>
      <w:r w:rsidR="00E57994">
        <w:t xml:space="preserve">is </w:t>
      </w:r>
      <w:r w:rsidR="006E62E9">
        <w:t xml:space="preserve">consistent with his acting in accordance with the </w:t>
      </w:r>
      <w:r w:rsidR="006E62E9">
        <w:rPr>
          <w:u w:val="single"/>
        </w:rPr>
        <w:t>unexpressed</w:t>
      </w:r>
      <w:r w:rsidR="006E62E9">
        <w:t xml:space="preserve"> will of Nizam VII</w:t>
      </w:r>
      <w:r w:rsidR="00526522">
        <w:t xml:space="preserve">. </w:t>
      </w:r>
      <w:r w:rsidR="001006FE">
        <w:t xml:space="preserve">In response to assertions made by India at the United Nations regarding the transfer of monies to the Rahimtoola Account, Moin wrote the following letter to </w:t>
      </w:r>
      <w:r w:rsidR="001006FE" w:rsidRPr="00526522">
        <w:rPr>
          <w:i/>
          <w:iCs/>
        </w:rPr>
        <w:t>The Times</w:t>
      </w:r>
      <w:r w:rsidR="001006FE">
        <w:t>, which was published on 1 October 1948:</w:t>
      </w:r>
    </w:p>
    <w:p w14:paraId="42FBDFDD" w14:textId="77777777" w:rsidR="001006FE" w:rsidRDefault="001006FE" w:rsidP="00526522">
      <w:pPr>
        <w:autoSpaceDE w:val="0"/>
        <w:spacing w:before="240" w:after="240"/>
        <w:ind w:left="1134"/>
        <w:jc w:val="both"/>
      </w:pPr>
      <w:r>
        <w:rPr>
          <w:sz w:val="22"/>
          <w:szCs w:val="22"/>
        </w:rPr>
        <w:t>“In your issue of today you have given prominence to the cryptic allegation made by the representative of India at yesterday’s meeting of the Security Council regarding the transfer of certain funds of the Government of Hyderabad in the Westminster Bank. Some time ago, in view of the invasion of Hyderabad, I took, in my capacity as Finance and Foreign Minister of Hyderabad, steps which I considered necessary for safeguarding the assets of the State. I am now in communication with the Nizam concerning the funds in question, which are fully intact.”</w:t>
      </w:r>
    </w:p>
    <w:p w14:paraId="53C8053D" w14:textId="77777777" w:rsidR="001006FE" w:rsidRPr="0091423E" w:rsidRDefault="001006FE" w:rsidP="00526522">
      <w:pPr>
        <w:autoSpaceDE w:val="0"/>
        <w:spacing w:before="240" w:after="240"/>
        <w:ind w:left="1134"/>
        <w:jc w:val="both"/>
      </w:pPr>
      <w:r>
        <w:t xml:space="preserve">Whilst it would be dangerous to read too much into this statement, the sense one gains is that Moin was acting on his own, without direct instruction, in what </w:t>
      </w:r>
      <w:r w:rsidRPr="00E347CA">
        <w:rPr>
          <w:u w:val="single"/>
        </w:rPr>
        <w:t>he</w:t>
      </w:r>
      <w:r>
        <w:t xml:space="preserve"> considered was consistent with the interests of Hyderabad and Nizam VII.</w:t>
      </w:r>
    </w:p>
    <w:p w14:paraId="3B7DDAD7" w14:textId="77777777" w:rsidR="001006FE" w:rsidRDefault="001006FE" w:rsidP="001006FE">
      <w:pPr>
        <w:numPr>
          <w:ilvl w:val="0"/>
          <w:numId w:val="2"/>
        </w:numPr>
        <w:autoSpaceDE w:val="0"/>
        <w:spacing w:before="240" w:after="240"/>
        <w:jc w:val="both"/>
      </w:pPr>
      <w:r>
        <w:t>I conclude that Moin acted in what he considered to be the best interests of Nizam VII and Hyderabad. He sought to preserve Hyderabad’s assets from India. This involved preventing even the Nizam from accessing the funds he sought to protect</w:t>
      </w:r>
      <w:r w:rsidR="00991961">
        <w:t xml:space="preserve">, as evidenced by his evasion of the Nizam’s requests to have the </w:t>
      </w:r>
      <w:r w:rsidR="009947EA">
        <w:t>Fund repaid into the Second Account</w:t>
      </w:r>
      <w:r>
        <w:t>.</w:t>
      </w:r>
      <w:r w:rsidR="009947EA">
        <w:rPr>
          <w:rStyle w:val="FootnoteReference"/>
        </w:rPr>
        <w:footnoteReference w:id="166"/>
      </w:r>
      <w:r>
        <w:t xml:space="preserve"> It may very well be that Moin’s conduct carried with it the silent approbation of Nizam VII, but I find that </w:t>
      </w:r>
      <w:r w:rsidR="008B74D4">
        <w:t xml:space="preserve">any </w:t>
      </w:r>
      <w:r w:rsidR="008B74D4" w:rsidRPr="00751778">
        <w:t>such</w:t>
      </w:r>
      <w:r w:rsidRPr="00751778">
        <w:t xml:space="preserve"> approbation was indeed</w:t>
      </w:r>
      <w:r>
        <w:t xml:space="preserve"> silent. Part of the service Moin rendered to Hyderabad was, as I find, a decision to act alone – without </w:t>
      </w:r>
      <w:r w:rsidR="00EC304F">
        <w:t>G</w:t>
      </w:r>
      <w:r>
        <w:t>overnmental cover – in what he considered to be the best interests of his ruler and his country. But that does not change th</w:t>
      </w:r>
      <w:r w:rsidR="00446E0C">
        <w:t>e</w:t>
      </w:r>
      <w:r>
        <w:t xml:space="preserve"> fact that I find the Nizam’s evidence to be substantially true (whatever his private feelings may have been) and that after 17 September 1948 Moin acted without authority or instruction from Nizam VII.</w:t>
      </w:r>
    </w:p>
    <w:p w14:paraId="6641303D" w14:textId="77777777" w:rsidR="001006FE" w:rsidRDefault="001006FE" w:rsidP="001006FE">
      <w:pPr>
        <w:numPr>
          <w:ilvl w:val="0"/>
          <w:numId w:val="2"/>
        </w:numPr>
        <w:autoSpaceDE w:val="0"/>
        <w:spacing w:before="240" w:after="240"/>
        <w:jc w:val="both"/>
      </w:pPr>
      <w:r>
        <w:t xml:space="preserve">If, contrary to my finding, there was any instruction from Nizam VII, it would have been of the vaguest and most general sort: </w:t>
      </w:r>
      <w:r w:rsidR="000F0C45">
        <w:t xml:space="preserve">to </w:t>
      </w:r>
      <w:r>
        <w:t>safeguard the assets of Hyderabad</w:t>
      </w:r>
      <w:r w:rsidR="00717541">
        <w:t xml:space="preserve"> (or the Nizam’s assets, which is the same thing)</w:t>
      </w:r>
      <w:r>
        <w:t xml:space="preserve"> from India.</w:t>
      </w:r>
    </w:p>
    <w:p w14:paraId="6DE46E99" w14:textId="77777777" w:rsidR="001006FE" w:rsidRPr="00D9217D" w:rsidRDefault="001006FE" w:rsidP="00FF0B87">
      <w:pPr>
        <w:keepNext/>
        <w:tabs>
          <w:tab w:val="left" w:pos="567"/>
        </w:tabs>
        <w:autoSpaceDE w:val="0"/>
        <w:spacing w:before="240" w:after="240"/>
        <w:jc w:val="both"/>
        <w:rPr>
          <w:b/>
          <w:bCs/>
          <w:i/>
          <w:iCs/>
        </w:rPr>
      </w:pPr>
      <w:r w:rsidRPr="00D9217D">
        <w:rPr>
          <w:b/>
          <w:bCs/>
          <w:i/>
          <w:iCs/>
        </w:rPr>
        <w:t>(</w:t>
      </w:r>
      <w:r w:rsidR="00884A08">
        <w:rPr>
          <w:b/>
          <w:bCs/>
          <w:i/>
          <w:iCs/>
        </w:rPr>
        <w:t>c</w:t>
      </w:r>
      <w:r w:rsidRPr="00D9217D">
        <w:rPr>
          <w:b/>
          <w:bCs/>
          <w:i/>
          <w:iCs/>
        </w:rPr>
        <w:t>)</w:t>
      </w:r>
      <w:r w:rsidRPr="00D9217D">
        <w:rPr>
          <w:b/>
          <w:bCs/>
          <w:i/>
          <w:iCs/>
        </w:rPr>
        <w:tab/>
        <w:t>Moin’s intention</w:t>
      </w:r>
    </w:p>
    <w:p w14:paraId="6F73C6A2" w14:textId="77777777" w:rsidR="001006FE" w:rsidRPr="0058444A" w:rsidRDefault="001006FE" w:rsidP="00FF0B87">
      <w:pPr>
        <w:keepNext/>
        <w:tabs>
          <w:tab w:val="left" w:pos="567"/>
        </w:tabs>
        <w:autoSpaceDE w:val="0"/>
        <w:spacing w:before="240" w:after="240"/>
        <w:jc w:val="both"/>
        <w:rPr>
          <w:i/>
          <w:iCs/>
        </w:rPr>
      </w:pPr>
      <w:r>
        <w:rPr>
          <w:i/>
          <w:iCs/>
        </w:rPr>
        <w:t>(i)</w:t>
      </w:r>
      <w:r>
        <w:rPr>
          <w:i/>
          <w:iCs/>
        </w:rPr>
        <w:tab/>
        <w:t>Introduction</w:t>
      </w:r>
    </w:p>
    <w:p w14:paraId="47983A26" w14:textId="77777777" w:rsidR="001006FE" w:rsidRDefault="001006FE" w:rsidP="001006FE">
      <w:pPr>
        <w:numPr>
          <w:ilvl w:val="0"/>
          <w:numId w:val="2"/>
        </w:numPr>
        <w:autoSpaceDE w:val="0"/>
        <w:spacing w:before="240" w:after="240"/>
        <w:jc w:val="both"/>
      </w:pPr>
      <w:r>
        <w:t xml:space="preserve">Two, related, </w:t>
      </w:r>
      <w:r w:rsidR="002411DB">
        <w:t>issues</w:t>
      </w:r>
      <w:r>
        <w:t xml:space="preserve"> arise.</w:t>
      </w:r>
    </w:p>
    <w:p w14:paraId="35FBA30A" w14:textId="77777777" w:rsidR="001006FE" w:rsidRDefault="001006FE" w:rsidP="001006FE">
      <w:pPr>
        <w:numPr>
          <w:ilvl w:val="1"/>
          <w:numId w:val="2"/>
        </w:numPr>
        <w:autoSpaceDE w:val="0"/>
        <w:spacing w:before="240" w:after="240"/>
        <w:jc w:val="both"/>
      </w:pPr>
      <w:r>
        <w:rPr>
          <w:u w:val="single"/>
        </w:rPr>
        <w:lastRenderedPageBreak/>
        <w:t>To whom</w:t>
      </w:r>
      <w:r>
        <w:t xml:space="preserve"> was the transfer made – to Rahimtoola </w:t>
      </w:r>
      <w:r>
        <w:rPr>
          <w:u w:val="single"/>
        </w:rPr>
        <w:t>personally</w:t>
      </w:r>
      <w:r>
        <w:t xml:space="preserve"> or to </w:t>
      </w:r>
      <w:r w:rsidRPr="001D61E2">
        <w:t>Rahimtoola</w:t>
      </w:r>
      <w:r>
        <w:t xml:space="preserve"> as High Commissioner?</w:t>
      </w:r>
    </w:p>
    <w:p w14:paraId="11AA8B4E" w14:textId="77777777" w:rsidR="001006FE" w:rsidRDefault="001006FE" w:rsidP="001006FE">
      <w:pPr>
        <w:numPr>
          <w:ilvl w:val="1"/>
          <w:numId w:val="2"/>
        </w:numPr>
        <w:autoSpaceDE w:val="0"/>
        <w:spacing w:before="240" w:after="240"/>
        <w:jc w:val="both"/>
      </w:pPr>
      <w:r>
        <w:t xml:space="preserve">On what </w:t>
      </w:r>
      <w:r w:rsidRPr="00760637">
        <w:rPr>
          <w:u w:val="single"/>
        </w:rPr>
        <w:t>basis</w:t>
      </w:r>
      <w:r>
        <w:t xml:space="preserve"> was the transfer made – absolutely or on trust</w:t>
      </w:r>
      <w:r w:rsidR="00E75714">
        <w:t>?</w:t>
      </w:r>
    </w:p>
    <w:p w14:paraId="56AEEC8D" w14:textId="77777777" w:rsidR="00855D95" w:rsidRDefault="001006FE" w:rsidP="00FF0B87">
      <w:pPr>
        <w:autoSpaceDE w:val="0"/>
        <w:spacing w:before="240" w:after="240"/>
        <w:ind w:left="567"/>
        <w:jc w:val="both"/>
      </w:pPr>
      <w:r>
        <w:t xml:space="preserve">These </w:t>
      </w:r>
      <w:r w:rsidR="002411DB">
        <w:t>issues</w:t>
      </w:r>
      <w:r>
        <w:t xml:space="preserve"> are, of course, inter-related</w:t>
      </w:r>
      <w:r w:rsidR="00E75714">
        <w:t xml:space="preserve"> and I consider them together</w:t>
      </w:r>
      <w:r>
        <w:t xml:space="preserve">. </w:t>
      </w:r>
    </w:p>
    <w:p w14:paraId="0FB5C66D" w14:textId="77777777" w:rsidR="001006FE" w:rsidRDefault="001006FE" w:rsidP="001006FE">
      <w:pPr>
        <w:numPr>
          <w:ilvl w:val="0"/>
          <w:numId w:val="2"/>
        </w:numPr>
        <w:autoSpaceDE w:val="0"/>
        <w:spacing w:before="240" w:after="240"/>
        <w:jc w:val="both"/>
      </w:pPr>
      <w:r>
        <w:t xml:space="preserve">There is </w:t>
      </w:r>
      <w:r w:rsidR="002411DB">
        <w:t>a</w:t>
      </w:r>
      <w:r>
        <w:t xml:space="preserve"> </w:t>
      </w:r>
      <w:r w:rsidR="000E2BC3">
        <w:t xml:space="preserve">question </w:t>
      </w:r>
      <w:r>
        <w:t xml:space="preserve">anterior </w:t>
      </w:r>
      <w:r w:rsidR="000E2BC3">
        <w:t xml:space="preserve">to these issues, namely </w:t>
      </w:r>
      <w:r>
        <w:t xml:space="preserve">whether it is open to me to re-visit the first of these </w:t>
      </w:r>
      <w:r w:rsidR="000E2BC3">
        <w:t>issues</w:t>
      </w:r>
      <w:r>
        <w:t xml:space="preserve">, given that this </w:t>
      </w:r>
      <w:r w:rsidR="000E2BC3">
        <w:t>issue</w:t>
      </w:r>
      <w:r>
        <w:t xml:space="preserve"> </w:t>
      </w:r>
      <w:r w:rsidR="00B04F61">
        <w:t xml:space="preserve">had </w:t>
      </w:r>
      <w:r>
        <w:t>already been decided during the course of the 1954 Proceedings.</w:t>
      </w:r>
      <w:r w:rsidR="00B04F61">
        <w:t xml:space="preserve"> I consider first, therefore, whether an issue estoppel arises, before secondly </w:t>
      </w:r>
      <w:r w:rsidR="00887D12">
        <w:t>considering (if it is open to me) the basis upon which the transfer was made.</w:t>
      </w:r>
    </w:p>
    <w:p w14:paraId="4B89F7F9" w14:textId="77777777" w:rsidR="001006FE" w:rsidRPr="00E26476" w:rsidRDefault="001006FE" w:rsidP="001808C1">
      <w:pPr>
        <w:keepNext/>
        <w:tabs>
          <w:tab w:val="left" w:pos="567"/>
        </w:tabs>
        <w:autoSpaceDE w:val="0"/>
        <w:spacing w:before="240" w:after="240"/>
        <w:jc w:val="both"/>
        <w:rPr>
          <w:i/>
          <w:iCs/>
        </w:rPr>
      </w:pPr>
      <w:r>
        <w:rPr>
          <w:i/>
          <w:iCs/>
        </w:rPr>
        <w:t>(ii)</w:t>
      </w:r>
      <w:r>
        <w:rPr>
          <w:i/>
          <w:iCs/>
        </w:rPr>
        <w:tab/>
        <w:t>Issue estoppel</w:t>
      </w:r>
    </w:p>
    <w:p w14:paraId="06FAE407" w14:textId="77777777" w:rsidR="001006FE" w:rsidRDefault="001006FE" w:rsidP="001006FE">
      <w:pPr>
        <w:numPr>
          <w:ilvl w:val="0"/>
          <w:numId w:val="2"/>
        </w:numPr>
        <w:autoSpaceDE w:val="0"/>
        <w:spacing w:before="240" w:after="240"/>
        <w:jc w:val="both"/>
      </w:pPr>
      <w:r>
        <w:t>The parties before the House of Lords in the 1954 Proceedings were the same as the parties before me.</w:t>
      </w:r>
    </w:p>
    <w:p w14:paraId="620A887A" w14:textId="77777777" w:rsidR="00172D2B" w:rsidRPr="008F375F" w:rsidRDefault="001006FE" w:rsidP="00172D2B">
      <w:pPr>
        <w:numPr>
          <w:ilvl w:val="0"/>
          <w:numId w:val="2"/>
        </w:numPr>
        <w:autoSpaceDE w:val="0"/>
        <w:spacing w:before="240" w:after="240"/>
        <w:jc w:val="both"/>
        <w:rPr>
          <w:color w:val="000000"/>
          <w:sz w:val="22"/>
          <w:szCs w:val="22"/>
          <w:lang w:eastAsia="en-GB"/>
        </w:rPr>
      </w:pPr>
      <w:r>
        <w:t>The Princes and India acknowledge that an issue estoppel (</w:t>
      </w:r>
      <w:r w:rsidR="00925B8E">
        <w:t xml:space="preserve">but </w:t>
      </w:r>
      <w:r>
        <w:t xml:space="preserve">not a cause of action estoppel) </w:t>
      </w:r>
      <w:r w:rsidR="00A07E16">
        <w:t>can</w:t>
      </w:r>
      <w:r>
        <w:t xml:space="preserve"> arise in the </w:t>
      </w:r>
      <w:r w:rsidR="00A07E16">
        <w:t xml:space="preserve">present </w:t>
      </w:r>
      <w:r>
        <w:t>circumstances</w:t>
      </w:r>
      <w:r w:rsidR="00302CFF">
        <w:t xml:space="preserve">, but they contend that </w:t>
      </w:r>
      <w:r>
        <w:t xml:space="preserve">no issue estoppel will arise as a result of findings in earlier proceedings where </w:t>
      </w:r>
      <w:r w:rsidR="00172D2B" w:rsidRPr="008F375F">
        <w:rPr>
          <w:color w:val="000000"/>
          <w:lang w:eastAsia="en-GB"/>
        </w:rPr>
        <w:t>there has become available to a party further material relevant to the correct determination of a point involved in the earlier proceedings, being material which could not by reasonable diligence have been adduced in those proceedings.</w:t>
      </w:r>
    </w:p>
    <w:p w14:paraId="4922A967" w14:textId="77777777" w:rsidR="001006FE" w:rsidRDefault="008F375F" w:rsidP="001006FE">
      <w:pPr>
        <w:numPr>
          <w:ilvl w:val="0"/>
          <w:numId w:val="2"/>
        </w:numPr>
        <w:autoSpaceDE w:val="0"/>
        <w:spacing w:before="240" w:after="240"/>
        <w:jc w:val="both"/>
      </w:pPr>
      <w:r>
        <w:t xml:space="preserve">The authority cited in support of this proposition was </w:t>
      </w:r>
      <w:r w:rsidR="001006FE">
        <w:rPr>
          <w:i/>
          <w:iCs/>
        </w:rPr>
        <w:t>Arnold v. National Westminster Bank plc</w:t>
      </w:r>
      <w:r>
        <w:t>.</w:t>
      </w:r>
      <w:r w:rsidR="001006FE">
        <w:rPr>
          <w:rStyle w:val="FootnoteReference"/>
        </w:rPr>
        <w:footnoteReference w:id="167"/>
      </w:r>
      <w:r w:rsidR="001006FE">
        <w:t xml:space="preserve"> </w:t>
      </w:r>
      <w:r>
        <w:t xml:space="preserve">In that case, </w:t>
      </w:r>
      <w:r w:rsidR="001006FE">
        <w:t>the House of Lords held that although issue estoppel constituted a complete bar to relitigation between the same parties of a decided point, its operation could be prevented in special circumstances. Lord Keith said this:</w:t>
      </w:r>
      <w:r w:rsidR="001006FE">
        <w:rPr>
          <w:rStyle w:val="FootnoteReference"/>
        </w:rPr>
        <w:footnoteReference w:id="168"/>
      </w:r>
    </w:p>
    <w:p w14:paraId="51C9C2A3" w14:textId="77777777" w:rsidR="001006FE" w:rsidRPr="00FF69CC" w:rsidRDefault="001006FE" w:rsidP="001006FE">
      <w:pPr>
        <w:autoSpaceDE w:val="0"/>
        <w:spacing w:before="240" w:after="240"/>
        <w:ind w:left="567"/>
        <w:jc w:val="both"/>
        <w:rPr>
          <w:sz w:val="22"/>
          <w:szCs w:val="22"/>
        </w:rPr>
      </w:pPr>
      <w:r>
        <w:rPr>
          <w:sz w:val="22"/>
          <w:szCs w:val="22"/>
        </w:rPr>
        <w:t>“</w:t>
      </w:r>
      <w:r w:rsidRPr="00E453F3">
        <w:rPr>
          <w:color w:val="000000"/>
          <w:sz w:val="22"/>
          <w:szCs w:val="22"/>
          <w:lang w:eastAsia="en-GB"/>
        </w:rPr>
        <w:t xml:space="preserve">It is to be noted that there appears to be no decided case where issue estoppel has been held not to apply by reason that in the later proceedings a party has brought forward further relevant material which he could not by reasonable diligence have adduced in the earlier. There is, however, an impressive array of dicta of high authority in favour of the possibility of this. It was argued for the defendants that exceptions to the rule of issue estoppel should be admitted only in the case of the earlier judgment being a default or a foreign judgment and further that an exception should not be recognised where the point at issue had actually, as here, been raised and decided in the earlier proceedings, but only where the point might have been but was not so raised and decided. The later dicta are, however, adverse to these arguments. It was argued that there was no logical distinction between cause of action estoppel and issue estoppel and that, if the rule was absolute in the one case as regards points actually decided, so it should be in the other case. But there is room for the view that the underlying principles upon which estoppel is based, public policy and justice, have greater force in cause of action estoppel, the subject matter of the two proceedings being identical, than they do in issue estoppel, where the subject matter is different. Once it is accepted that different considerations apply to issue estoppel, it is hard to perceive any logical distinction between a point which was previously raised and decided and one which might have been but was not. Given that the further material which would have put an entirely different </w:t>
      </w:r>
      <w:r w:rsidRPr="00E453F3">
        <w:rPr>
          <w:color w:val="000000"/>
          <w:sz w:val="22"/>
          <w:szCs w:val="22"/>
          <w:lang w:eastAsia="en-GB"/>
        </w:rPr>
        <w:lastRenderedPageBreak/>
        <w:t xml:space="preserve">complexion on the point was at the earlier stage unknown to the party and could not by reasonable diligence have been discovered by him, it is hard to see why there should be a different result according to whether he decided not to take the point, thinking it hopeless, or argue it faintly without any real hope of success. In my opinion your Lordships should affirm it to be the law that there may be an exception to issue estoppel in the special circumstance that there has become available to a party further material relevant to the correct determination of a point involved in the earlier proceedings, whether or not that point was specifically raised and decided, being material which could not by reasonable diligence have been adduced in those proceedings. One of the purposes of estoppel being to work justice between the parties, it is open to courts to recognise that in special circumstances inflexible application of it may have the opposite result, as was observed by Lord Upjohn in the passage which I have quoted above from his speech in the </w:t>
      </w:r>
      <w:r w:rsidRPr="00E453F3">
        <w:rPr>
          <w:i/>
          <w:iCs/>
          <w:color w:val="000000"/>
          <w:sz w:val="22"/>
          <w:szCs w:val="22"/>
          <w:lang w:eastAsia="en-GB"/>
        </w:rPr>
        <w:t xml:space="preserve">Carl Zeiss </w:t>
      </w:r>
      <w:r>
        <w:rPr>
          <w:i/>
          <w:iCs/>
          <w:color w:val="000000"/>
          <w:sz w:val="22"/>
          <w:szCs w:val="22"/>
          <w:lang w:eastAsia="en-GB"/>
        </w:rPr>
        <w:t>C</w:t>
      </w:r>
      <w:r w:rsidRPr="00E453F3">
        <w:rPr>
          <w:i/>
          <w:iCs/>
          <w:color w:val="000000"/>
          <w:sz w:val="22"/>
          <w:szCs w:val="22"/>
          <w:lang w:eastAsia="en-GB"/>
        </w:rPr>
        <w:t>ase</w:t>
      </w:r>
      <w:r>
        <w:rPr>
          <w:color w:val="000000"/>
          <w:sz w:val="22"/>
          <w:szCs w:val="22"/>
          <w:lang w:eastAsia="en-GB"/>
        </w:rPr>
        <w:t>,</w:t>
      </w:r>
      <w:r w:rsidRPr="00E453F3">
        <w:rPr>
          <w:i/>
          <w:iCs/>
          <w:color w:val="000000"/>
          <w:sz w:val="22"/>
          <w:szCs w:val="22"/>
          <w:lang w:eastAsia="en-GB"/>
        </w:rPr>
        <w:t xml:space="preserve"> </w:t>
      </w:r>
      <w:r w:rsidRPr="00E453F3">
        <w:rPr>
          <w:color w:val="000000"/>
          <w:sz w:val="22"/>
          <w:szCs w:val="22"/>
          <w:lang w:eastAsia="en-GB"/>
        </w:rPr>
        <w:t>[1967] 1 A.C. 853 , 947.</w:t>
      </w:r>
      <w:r>
        <w:rPr>
          <w:color w:val="000000"/>
          <w:sz w:val="22"/>
          <w:szCs w:val="22"/>
          <w:lang w:eastAsia="en-GB"/>
        </w:rPr>
        <w:t>”</w:t>
      </w:r>
    </w:p>
    <w:p w14:paraId="443CC879" w14:textId="77777777" w:rsidR="00564810" w:rsidRDefault="00155AC2" w:rsidP="00732CCF">
      <w:pPr>
        <w:numPr>
          <w:ilvl w:val="0"/>
          <w:numId w:val="2"/>
        </w:numPr>
        <w:autoSpaceDE w:val="0"/>
        <w:spacing w:before="240" w:after="240"/>
        <w:jc w:val="both"/>
      </w:pPr>
      <w:r>
        <w:t xml:space="preserve">I conclude that whilst an issue estoppel will generally prevent the re-litigation of the issue previously determined, </w:t>
      </w:r>
      <w:r w:rsidR="008C2AE6">
        <w:t xml:space="preserve">that rule is subject to an exception, not broad but wide-ranging, </w:t>
      </w:r>
      <w:r w:rsidR="00112D0C">
        <w:t>whereby a</w:t>
      </w:r>
      <w:r w:rsidR="00151274">
        <w:t>n</w:t>
      </w:r>
      <w:r w:rsidR="00112D0C">
        <w:t xml:space="preserve"> </w:t>
      </w:r>
      <w:r w:rsidR="00151274">
        <w:t xml:space="preserve">issue </w:t>
      </w:r>
      <w:r w:rsidR="00112D0C">
        <w:t>previous</w:t>
      </w:r>
      <w:r w:rsidR="00151274">
        <w:t>ly</w:t>
      </w:r>
      <w:r w:rsidR="00112D0C">
        <w:t xml:space="preserve"> determined may be revisited if </w:t>
      </w:r>
      <w:r w:rsidR="004F04BA">
        <w:t>it is in the in</w:t>
      </w:r>
      <w:r w:rsidR="00F16726">
        <w:t xml:space="preserve">terests of justice to do so. Obviously, </w:t>
      </w:r>
      <w:r w:rsidR="00740181">
        <w:t>the rule that an issue previously decided between the same parties</w:t>
      </w:r>
      <w:r w:rsidR="00FA02E9">
        <w:t xml:space="preserve"> must stand </w:t>
      </w:r>
      <w:r w:rsidR="007D6D42">
        <w:t xml:space="preserve">for the future </w:t>
      </w:r>
      <w:r w:rsidR="00FA02E9">
        <w:t>is an important one</w:t>
      </w:r>
      <w:r w:rsidR="00C46B39">
        <w:t>: n</w:t>
      </w:r>
      <w:r w:rsidR="00712DB3">
        <w:t xml:space="preserve">evertheless, an issue </w:t>
      </w:r>
      <w:r w:rsidR="00564810">
        <w:t xml:space="preserve">previously decided </w:t>
      </w:r>
      <w:r w:rsidR="00712DB3">
        <w:t>may be re-opened where</w:t>
      </w:r>
      <w:r w:rsidR="00107503">
        <w:t xml:space="preserve"> it is in the interests of justice to do so. </w:t>
      </w:r>
      <w:r w:rsidR="00732CCF">
        <w:t xml:space="preserve">Typically, that test will be satisfied where </w:t>
      </w:r>
      <w:r w:rsidR="00732CCF" w:rsidRPr="00732CCF">
        <w:rPr>
          <w:color w:val="000000"/>
          <w:lang w:eastAsia="en-GB"/>
        </w:rPr>
        <w:t>there has become available to a party further material relevant to the correct determination of a point involved in the earlier proceedings, being material which could not by reasonable diligence have been adduced in those proceedings</w:t>
      </w:r>
      <w:r w:rsidR="00564810">
        <w:t>.</w:t>
      </w:r>
      <w:r w:rsidR="008C2AE6">
        <w:t xml:space="preserve"> </w:t>
      </w:r>
    </w:p>
    <w:p w14:paraId="6AE39AF4" w14:textId="77777777" w:rsidR="002F7903" w:rsidRDefault="001006FE" w:rsidP="002F7903">
      <w:pPr>
        <w:numPr>
          <w:ilvl w:val="0"/>
          <w:numId w:val="2"/>
        </w:numPr>
        <w:autoSpaceDE w:val="0"/>
        <w:spacing w:before="240" w:after="240"/>
        <w:jc w:val="both"/>
      </w:pPr>
      <w:r>
        <w:t xml:space="preserve">The question of the capacity in which Rahimtoola acted was, of course, central to the 1954 Proceedings. Unless Rahimtoola received the Fund as the agent of Pakistan, Pakistan’s assertion of sovereign immunity would fail. In a very real sense, Rahimtoola’s capacity was </w:t>
      </w:r>
      <w:r w:rsidRPr="00564810">
        <w:rPr>
          <w:u w:val="single"/>
        </w:rPr>
        <w:t>the</w:t>
      </w:r>
      <w:r>
        <w:t xml:space="preserve"> issue before the House of Lords.</w:t>
      </w:r>
    </w:p>
    <w:p w14:paraId="38BC6A0B" w14:textId="77777777" w:rsidR="001006FE" w:rsidRDefault="001006FE" w:rsidP="002F7903">
      <w:pPr>
        <w:numPr>
          <w:ilvl w:val="0"/>
          <w:numId w:val="2"/>
        </w:numPr>
        <w:autoSpaceDE w:val="0"/>
        <w:spacing w:before="240" w:after="240"/>
        <w:jc w:val="both"/>
      </w:pPr>
      <w:r>
        <w:t>In these circumstances, I have naturally been cautious about whether it is open to the Princes and India to re-open this question. I have concluded that it is, for the following reasons:</w:t>
      </w:r>
    </w:p>
    <w:p w14:paraId="2F3CF4F3" w14:textId="77777777" w:rsidR="001006FE" w:rsidRDefault="001006FE" w:rsidP="001006FE">
      <w:pPr>
        <w:numPr>
          <w:ilvl w:val="1"/>
          <w:numId w:val="2"/>
        </w:numPr>
        <w:autoSpaceDE w:val="0"/>
        <w:spacing w:before="240" w:after="240"/>
        <w:jc w:val="both"/>
      </w:pPr>
      <w:r>
        <w:t>As Lord Keith noted, underlying the principle of issue estoppel is the need to work justice between the parties. Just as cause of action estoppel prevents the relitigation of claims, so issue estoppel prevents the relitigation of issues that have previously been determined judicially between the same parties.</w:t>
      </w:r>
    </w:p>
    <w:p w14:paraId="508DD6A8" w14:textId="77777777" w:rsidR="001006FE" w:rsidRDefault="001006FE" w:rsidP="001006FE">
      <w:pPr>
        <w:numPr>
          <w:ilvl w:val="1"/>
          <w:numId w:val="2"/>
        </w:numPr>
        <w:autoSpaceDE w:val="0"/>
        <w:spacing w:before="240" w:after="240"/>
        <w:jc w:val="both"/>
      </w:pPr>
      <w:r>
        <w:t>Lord Keith noted that the inflexible application of the doctrine might, in special circumstances, work not justice but injustice between the parties. I consider that to be the case here. The 1954 Proceedings were concerned with a preliminary – albeit very important preliminary – question as to whether the proceedings could properly continue. The decision that the case could not proceed, by reason of Pakistan’s sovereign immunity, took place before discovery and on the basis of limited written evidence. Since the commencement of these proceedings, a great deal of work has been done to produce voluminous additional material which was not before any of the courts in the 1954 Proceedings. That material has been the subject of very careful examination over the many days of this tria</w:t>
      </w:r>
      <w:r w:rsidR="00D33B7D">
        <w:t>l</w:t>
      </w:r>
      <w:r>
        <w:t>.</w:t>
      </w:r>
    </w:p>
    <w:p w14:paraId="6C70D6B3" w14:textId="77777777" w:rsidR="001006FE" w:rsidRDefault="00DF0D59" w:rsidP="001006FE">
      <w:pPr>
        <w:numPr>
          <w:ilvl w:val="1"/>
          <w:numId w:val="2"/>
        </w:numPr>
        <w:autoSpaceDE w:val="0"/>
        <w:spacing w:before="240" w:after="240"/>
        <w:jc w:val="both"/>
      </w:pPr>
      <w:r>
        <w:t xml:space="preserve">Whilst </w:t>
      </w:r>
      <w:r w:rsidR="00020038">
        <w:t>not all of this new material necessarily goes to the question of Rahimtoola’s capacity</w:t>
      </w:r>
      <w:r>
        <w:t>, the question of capacity is one that is coloured by many of the contemporaneous documents. Thus, for example, whilst it cannot be said that the 15 September 1948 letters a</w:t>
      </w:r>
      <w:r w:rsidR="00441A4F">
        <w:t>re</w:t>
      </w:r>
      <w:r>
        <w:t xml:space="preserve"> determinative of the question of capacity, they </w:t>
      </w:r>
      <w:r>
        <w:lastRenderedPageBreak/>
        <w:t xml:space="preserve">certainly provide valuable insight into Rahimtoola’s </w:t>
      </w:r>
      <w:r w:rsidR="00441A4F">
        <w:t>conduct and so the capacity in which he acted</w:t>
      </w:r>
      <w:r>
        <w:t xml:space="preserve">. In </w:t>
      </w:r>
      <w:r w:rsidR="001006FE">
        <w:t>these circumstances, without seeking to identify any particular document that makes a difference</w:t>
      </w:r>
      <w:r>
        <w:t xml:space="preserve"> in terms of outcome</w:t>
      </w:r>
      <w:r w:rsidR="00441A4F">
        <w:t xml:space="preserve"> on this issue</w:t>
      </w:r>
      <w:r w:rsidR="001006FE">
        <w:t xml:space="preserve">, I consider that it is appropriate to </w:t>
      </w:r>
      <w:r w:rsidR="00C32076">
        <w:t>determine</w:t>
      </w:r>
      <w:r w:rsidR="001006FE">
        <w:t xml:space="preserve"> the matter of Rahimtoola’s capacity afresh</w:t>
      </w:r>
      <w:r>
        <w:t xml:space="preserve"> in the light of all of the evidence, including the additional material that has been adduced by the efforts of the parties since the decision of the House of Lords was handed down in the 1954 Proceedings</w:t>
      </w:r>
      <w:r w:rsidR="001006FE">
        <w:t>.</w:t>
      </w:r>
    </w:p>
    <w:p w14:paraId="3FE991E8" w14:textId="77777777" w:rsidR="001006FE" w:rsidRPr="00FB37F1" w:rsidRDefault="001006FE" w:rsidP="00B72C45">
      <w:pPr>
        <w:keepNext/>
        <w:tabs>
          <w:tab w:val="left" w:pos="567"/>
        </w:tabs>
        <w:autoSpaceDE w:val="0"/>
        <w:spacing w:before="240" w:after="240"/>
        <w:jc w:val="both"/>
        <w:rPr>
          <w:i/>
          <w:iCs/>
        </w:rPr>
      </w:pPr>
      <w:r>
        <w:rPr>
          <w:i/>
          <w:iCs/>
        </w:rPr>
        <w:t>(iii)</w:t>
      </w:r>
      <w:r>
        <w:rPr>
          <w:i/>
          <w:iCs/>
        </w:rPr>
        <w:tab/>
        <w:t>The Transfer</w:t>
      </w:r>
    </w:p>
    <w:p w14:paraId="7E8F34F0" w14:textId="77777777" w:rsidR="00566865" w:rsidRDefault="00860301" w:rsidP="001006FE">
      <w:pPr>
        <w:numPr>
          <w:ilvl w:val="0"/>
          <w:numId w:val="2"/>
        </w:numPr>
        <w:autoSpaceDE w:val="0"/>
        <w:spacing w:before="240" w:after="240"/>
        <w:jc w:val="both"/>
      </w:pPr>
      <w:r>
        <w:t>When considering Moin’s thinking</w:t>
      </w:r>
      <w:r w:rsidR="0059339A">
        <w:t xml:space="preserve"> and intentions</w:t>
      </w:r>
      <w:r>
        <w:t xml:space="preserve">, </w:t>
      </w:r>
      <w:r w:rsidR="001006FE">
        <w:t xml:space="preserve">I consider that it is impossible to separate the </w:t>
      </w:r>
      <w:r w:rsidR="00566865">
        <w:t xml:space="preserve">questions of </w:t>
      </w:r>
      <w:r w:rsidR="00566865">
        <w:rPr>
          <w:u w:val="single"/>
        </w:rPr>
        <w:t>to whom</w:t>
      </w:r>
      <w:r w:rsidR="00566865" w:rsidRPr="00566865">
        <w:t xml:space="preserve"> </w:t>
      </w:r>
      <w:r w:rsidR="00566865">
        <w:t xml:space="preserve">the Transfer was to be made and </w:t>
      </w:r>
      <w:r w:rsidR="00566865">
        <w:rPr>
          <w:u w:val="single"/>
        </w:rPr>
        <w:t>on what basis</w:t>
      </w:r>
      <w:r w:rsidR="00566865">
        <w:t xml:space="preserve">. </w:t>
      </w:r>
      <w:r w:rsidR="001006FE">
        <w:t>The two points are inextricable when considering the facts.</w:t>
      </w:r>
    </w:p>
    <w:p w14:paraId="56EEDC37" w14:textId="77777777" w:rsidR="001006FE" w:rsidRDefault="005E5764" w:rsidP="005E5764">
      <w:pPr>
        <w:numPr>
          <w:ilvl w:val="0"/>
          <w:numId w:val="2"/>
        </w:numPr>
        <w:autoSpaceDE w:val="0"/>
        <w:spacing w:before="240" w:after="240"/>
        <w:jc w:val="both"/>
      </w:pPr>
      <w:r>
        <w:t xml:space="preserve">I conclude that Moin’s intention was to transfer the Fund to </w:t>
      </w:r>
      <w:r w:rsidR="001006FE">
        <w:t xml:space="preserve">Rahimtoola in his </w:t>
      </w:r>
      <w:r>
        <w:t xml:space="preserve">(Rahimtoola’s) </w:t>
      </w:r>
      <w:r w:rsidR="001006FE">
        <w:t xml:space="preserve">capacity as High Commissioner and that the Transfer to </w:t>
      </w:r>
      <w:r>
        <w:t>Rahimtoola</w:t>
      </w:r>
      <w:r w:rsidR="001006FE">
        <w:t xml:space="preserve"> was </w:t>
      </w:r>
      <w:r w:rsidR="005A005A">
        <w:t xml:space="preserve">on the basis that he would, in his official capacity, </w:t>
      </w:r>
      <w:r w:rsidR="001006FE">
        <w:t>hold the Fund on trust for Nizam VII. I have reached this conclusion for the following reasons:</w:t>
      </w:r>
    </w:p>
    <w:p w14:paraId="2482FBBB" w14:textId="77777777" w:rsidR="001006FE" w:rsidRDefault="001006FE" w:rsidP="001006FE">
      <w:pPr>
        <w:numPr>
          <w:ilvl w:val="1"/>
          <w:numId w:val="2"/>
        </w:numPr>
        <w:autoSpaceDE w:val="0"/>
        <w:spacing w:before="240" w:after="240"/>
        <w:jc w:val="both"/>
      </w:pPr>
      <w:r>
        <w:t xml:space="preserve">The entire purpose of safeguarding would be defeated if the Transfer was an absolute one. The whole point – as I find – of safeguarding was not to </w:t>
      </w:r>
      <w:r>
        <w:rPr>
          <w:u w:val="single"/>
        </w:rPr>
        <w:t>divest</w:t>
      </w:r>
      <w:r>
        <w:t xml:space="preserve"> Hyderabad or Nizam VII of property, but to ensure that it did not fall into the hands of India, taking account of the fact that – as a result of the successful outcome of Operation Polo – Nizam VII might very soon be</w:t>
      </w:r>
      <w:r w:rsidR="00B37323">
        <w:t xml:space="preserve"> or already was</w:t>
      </w:r>
      <w:r>
        <w:t xml:space="preserve"> in the power of India. In these circumstances, a transfer on trust – as opposed to an absolute transfer – made perfect sense. </w:t>
      </w:r>
    </w:p>
    <w:p w14:paraId="4FFFEEED" w14:textId="77777777" w:rsidR="001006FE" w:rsidRDefault="001006FE" w:rsidP="001006FE">
      <w:pPr>
        <w:numPr>
          <w:ilvl w:val="1"/>
          <w:numId w:val="2"/>
        </w:numPr>
        <w:autoSpaceDE w:val="0"/>
        <w:spacing w:before="240" w:after="240"/>
        <w:jc w:val="both"/>
      </w:pPr>
      <w:r>
        <w:t>This is consistent with the arrangement Moin reached with Rahimtoola, as described in the 15 September 1948 letters. Whilst the use of the word “trust” is by no means conclusive of the existence of a trust, it does seem to me that the use of this word indicates very clearly that something other than an absolute transfer was intended by Moin.</w:t>
      </w:r>
    </w:p>
    <w:p w14:paraId="287DEA91" w14:textId="77777777" w:rsidR="001006FE" w:rsidRDefault="001006FE" w:rsidP="001006FE">
      <w:pPr>
        <w:numPr>
          <w:ilvl w:val="1"/>
          <w:numId w:val="2"/>
        </w:numPr>
        <w:autoSpaceDE w:val="0"/>
        <w:spacing w:before="240" w:after="240"/>
        <w:jc w:val="both"/>
      </w:pPr>
      <w:r>
        <w:t>That is also consistent with other statements of Moin</w:t>
      </w:r>
      <w:r w:rsidR="00EF7B32">
        <w:t xml:space="preserve">, notably his letter to </w:t>
      </w:r>
      <w:r w:rsidR="00EF7B32">
        <w:rPr>
          <w:i/>
          <w:iCs/>
        </w:rPr>
        <w:t xml:space="preserve">The Times </w:t>
      </w:r>
      <w:r w:rsidR="00EF7B32">
        <w:t xml:space="preserve">set out in paragraph </w:t>
      </w:r>
      <w:r w:rsidR="003E2FDB">
        <w:t>228(3)</w:t>
      </w:r>
      <w:r w:rsidR="00EF7B32">
        <w:t xml:space="preserve"> above.</w:t>
      </w:r>
      <w:r w:rsidR="00173FD4">
        <w:t xml:space="preserve"> Furthermore, </w:t>
      </w:r>
      <w:r w:rsidR="008F4332">
        <w:t>this was undoubtedly the impression that the Bank got: as I have described,</w:t>
      </w:r>
      <w:r w:rsidR="008F4332">
        <w:rPr>
          <w:rStyle w:val="FootnoteReference"/>
        </w:rPr>
        <w:footnoteReference w:id="169"/>
      </w:r>
      <w:r w:rsidR="008F4332">
        <w:t xml:space="preserve"> </w:t>
      </w:r>
      <w:r w:rsidR="00C05747">
        <w:t xml:space="preserve">the Bank’s view was that the Rahimtoola Account was in Rahimtoola’s name </w:t>
      </w:r>
      <w:r w:rsidR="00C05747">
        <w:rPr>
          <w:u w:val="single"/>
        </w:rPr>
        <w:t>as High Commissioner</w:t>
      </w:r>
      <w:r w:rsidR="00C05747">
        <w:t xml:space="preserve">. </w:t>
      </w:r>
      <w:r w:rsidR="00DA7212">
        <w:t xml:space="preserve">The Bank must have got that impression from somewhere, and I anticipate that it would likely have been Moin or someone (like Mr Khan) acting for Moin. </w:t>
      </w:r>
      <w:r w:rsidR="008C7EE9">
        <w:t>I consider that the Bank’s understanding reflects what Moin intended.</w:t>
      </w:r>
    </w:p>
    <w:p w14:paraId="019C88CF" w14:textId="77777777" w:rsidR="001006FE" w:rsidRDefault="001006FE" w:rsidP="001006FE">
      <w:pPr>
        <w:numPr>
          <w:ilvl w:val="1"/>
          <w:numId w:val="2"/>
        </w:numPr>
        <w:autoSpaceDE w:val="0"/>
        <w:spacing w:before="240" w:after="240"/>
        <w:jc w:val="both"/>
      </w:pPr>
      <w:r>
        <w:t xml:space="preserve">Rahimtoola was the transferee of the Fund </w:t>
      </w:r>
      <w:r w:rsidRPr="0094357D">
        <w:rPr>
          <w:u w:val="single"/>
        </w:rPr>
        <w:t>because</w:t>
      </w:r>
      <w:r>
        <w:t xml:space="preserve"> he was the High Commissioner. </w:t>
      </w:r>
      <w:r w:rsidR="00FC03AB">
        <w:t xml:space="preserve">The fact that </w:t>
      </w:r>
      <w:r w:rsidR="008953B0">
        <w:t>Rahimtoola</w:t>
      </w:r>
      <w:r w:rsidR="00FC03AB">
        <w:t xml:space="preserve"> was Pakistan’s</w:t>
      </w:r>
      <w:r w:rsidR="008953B0">
        <w:t xml:space="preserve"> High Commission</w:t>
      </w:r>
      <w:r w:rsidR="00FC03AB">
        <w:t xml:space="preserve">er </w:t>
      </w:r>
      <w:r>
        <w:t>was no coincidence</w:t>
      </w:r>
      <w:r w:rsidR="00FC03AB">
        <w:t>,</w:t>
      </w:r>
      <w:r>
        <w:t xml:space="preserve"> but the very reason Rahimtoola was selected</w:t>
      </w:r>
      <w:r w:rsidR="00AF76B0">
        <w:t>:</w:t>
      </w:r>
    </w:p>
    <w:p w14:paraId="6D390F4A" w14:textId="77777777" w:rsidR="001006FE" w:rsidRDefault="001006FE" w:rsidP="001006FE">
      <w:pPr>
        <w:numPr>
          <w:ilvl w:val="2"/>
          <w:numId w:val="2"/>
        </w:numPr>
        <w:autoSpaceDE w:val="0"/>
        <w:spacing w:before="240" w:after="240"/>
        <w:jc w:val="both"/>
      </w:pPr>
      <w:r>
        <w:t xml:space="preserve">Given that Moin was acting to preserve </w:t>
      </w:r>
      <w:r w:rsidR="00C910A2">
        <w:t xml:space="preserve">Hyderabad </w:t>
      </w:r>
      <w:r>
        <w:t>state assets</w:t>
      </w:r>
      <w:r w:rsidR="00C910A2">
        <w:t xml:space="preserve"> (or, which was the same thing, the Nizam’s assets)</w:t>
      </w:r>
      <w:r>
        <w:t xml:space="preserve"> from another state</w:t>
      </w:r>
      <w:r w:rsidR="00C910A2">
        <w:t xml:space="preserve"> (India)</w:t>
      </w:r>
      <w:r>
        <w:t xml:space="preserve">, he would </w:t>
      </w:r>
      <w:r>
        <w:lastRenderedPageBreak/>
        <w:t>be foolish to entrust the holding of the Fund to a private individual. It would be far safer to entrust the monies to a state actor</w:t>
      </w:r>
      <w:r w:rsidR="00C910A2">
        <w:t>, like Pakistan</w:t>
      </w:r>
      <w:r>
        <w:t>.</w:t>
      </w:r>
    </w:p>
    <w:p w14:paraId="410C7C86" w14:textId="77777777" w:rsidR="00D27296" w:rsidRDefault="001006FE" w:rsidP="00D27296">
      <w:pPr>
        <w:numPr>
          <w:ilvl w:val="2"/>
          <w:numId w:val="2"/>
        </w:numPr>
        <w:autoSpaceDE w:val="0"/>
        <w:spacing w:before="240" w:after="240"/>
        <w:jc w:val="both"/>
      </w:pPr>
      <w:r>
        <w:t>What is more, Pakistan – indeed, Rahimtoola himself – had had prior involvement in the monies that were ultimately transferred.</w:t>
      </w:r>
      <w:r w:rsidR="00AF76B0">
        <w:t xml:space="preserve"> I have described the involvement of Pakistan, through </w:t>
      </w:r>
      <w:r w:rsidR="006666F0">
        <w:t xml:space="preserve">Rahimtoola himself, </w:t>
      </w:r>
      <w:r w:rsidR="00AF76B0">
        <w:t>Shoaib,</w:t>
      </w:r>
      <w:r w:rsidR="006666F0">
        <w:t xml:space="preserve"> and Mirza</w:t>
      </w:r>
      <w:r w:rsidR="00DE5108">
        <w:t>, in Transactions 3, 4, 6, 7 and 8.</w:t>
      </w:r>
      <w:r w:rsidR="00002D83">
        <w:rPr>
          <w:rStyle w:val="FootnoteReference"/>
        </w:rPr>
        <w:footnoteReference w:id="170"/>
      </w:r>
      <w:r w:rsidR="00AF76B0">
        <w:t xml:space="preserve"> </w:t>
      </w:r>
      <w:r w:rsidR="00002D83">
        <w:t xml:space="preserve">It is perfectly clear that these persons were acting not on their own account, but for Pakistan. </w:t>
      </w:r>
      <w:r w:rsidR="00FD7DAB">
        <w:t>When effecting the Transfer out of the Second Account to one of these persons</w:t>
      </w:r>
      <w:r w:rsidR="008D4993">
        <w:t xml:space="preserve"> (Rahimtoola)</w:t>
      </w:r>
      <w:r w:rsidR="00FD7DAB">
        <w:t xml:space="preserve">, </w:t>
      </w:r>
      <w:r w:rsidR="008D4993">
        <w:t xml:space="preserve">it beggars belief that Moin could have intended Rahimtoola to </w:t>
      </w:r>
      <w:r w:rsidR="00F16E60">
        <w:t>receive the Fund in his personal capacity.</w:t>
      </w:r>
      <w:r w:rsidR="00151967">
        <w:t xml:space="preserve"> </w:t>
      </w:r>
    </w:p>
    <w:p w14:paraId="1712029D" w14:textId="77777777" w:rsidR="00C76652" w:rsidRDefault="003A4032" w:rsidP="00D27296">
      <w:pPr>
        <w:numPr>
          <w:ilvl w:val="2"/>
          <w:numId w:val="2"/>
        </w:numPr>
        <w:autoSpaceDE w:val="0"/>
        <w:spacing w:before="240" w:after="240"/>
        <w:jc w:val="both"/>
      </w:pPr>
      <w:r>
        <w:t xml:space="preserve">If Moin had given any thought to the question of what would have happened had </w:t>
      </w:r>
      <w:r w:rsidR="0063337E">
        <w:t xml:space="preserve">Rahimtoola suddenly died, it is clear that Moin would have wanted Rahimtoola’s successor to be </w:t>
      </w:r>
      <w:r w:rsidR="00163806">
        <w:t>as reliable as Rahimtoola: that could best be assured by defining the trustee by reference to the office he held</w:t>
      </w:r>
      <w:r w:rsidR="00C76652">
        <w:t>, and that I consider is what Moin intended.</w:t>
      </w:r>
    </w:p>
    <w:p w14:paraId="28FB0406" w14:textId="77777777" w:rsidR="008A3471" w:rsidRDefault="008A3471" w:rsidP="008A3471">
      <w:pPr>
        <w:autoSpaceDE w:val="0"/>
        <w:spacing w:before="240" w:after="240"/>
        <w:ind w:left="1134"/>
        <w:jc w:val="both"/>
      </w:pPr>
      <w:r>
        <w:t xml:space="preserve">I consider it overwhelmingly unlikely that had Rahimtoola </w:t>
      </w:r>
      <w:r w:rsidRPr="00477295">
        <w:rPr>
          <w:u w:val="single"/>
        </w:rPr>
        <w:t>not</w:t>
      </w:r>
      <w:r>
        <w:t xml:space="preserve"> been High Commissioner, Moin would have made the Transfer to him.</w:t>
      </w:r>
    </w:p>
    <w:p w14:paraId="40D61C7E" w14:textId="77777777" w:rsidR="00EF7DC4" w:rsidRDefault="00B50F6A" w:rsidP="008A3471">
      <w:pPr>
        <w:numPr>
          <w:ilvl w:val="1"/>
          <w:numId w:val="2"/>
        </w:numPr>
        <w:autoSpaceDE w:val="0"/>
        <w:spacing w:before="240" w:after="240"/>
        <w:jc w:val="both"/>
      </w:pPr>
      <w:r>
        <w:t xml:space="preserve">A transfer to Rahimtoola in his official capacity on trust for the Nizam </w:t>
      </w:r>
      <w:r w:rsidR="008A3471">
        <w:t>would have been consistent with the Nizam’s own intentions, as I have found them to be.</w:t>
      </w:r>
      <w:r w:rsidR="008A3471">
        <w:rPr>
          <w:rStyle w:val="FootnoteReference"/>
        </w:rPr>
        <w:footnoteReference w:id="171"/>
      </w:r>
      <w:r w:rsidR="000C69FF">
        <w:t xml:space="preserve"> Of course, I have found that </w:t>
      </w:r>
      <w:r w:rsidR="00680FD6">
        <w:t xml:space="preserve">these intentions were not communicated to Moin, and that Moin was acting without the authority of the Nizam in making the Transfer. However, </w:t>
      </w:r>
      <w:r w:rsidR="00065026">
        <w:t xml:space="preserve">as his letter to </w:t>
      </w:r>
      <w:r w:rsidR="00065026">
        <w:rPr>
          <w:i/>
          <w:iCs/>
        </w:rPr>
        <w:t>The Times</w:t>
      </w:r>
      <w:r w:rsidR="00065026">
        <w:t xml:space="preserve"> demonstrates, Moin’s aim was to act in accordance with what the Nizam’s intentions would have been, and I consider that he </w:t>
      </w:r>
      <w:r w:rsidR="004D40C4">
        <w:t>would have had a good understanding of these intentions and would have wanted to act in accordance with them.</w:t>
      </w:r>
    </w:p>
    <w:p w14:paraId="710FDE18" w14:textId="77777777" w:rsidR="009445CF" w:rsidRPr="009445CF" w:rsidRDefault="009445CF" w:rsidP="006109BB">
      <w:pPr>
        <w:keepNext/>
        <w:tabs>
          <w:tab w:val="left" w:pos="567"/>
        </w:tabs>
        <w:autoSpaceDE w:val="0"/>
        <w:spacing w:before="240" w:after="240"/>
        <w:jc w:val="both"/>
        <w:rPr>
          <w:b/>
          <w:bCs/>
          <w:i/>
          <w:iCs/>
        </w:rPr>
      </w:pPr>
      <w:r>
        <w:rPr>
          <w:b/>
          <w:bCs/>
          <w:i/>
          <w:iCs/>
        </w:rPr>
        <w:t>(</w:t>
      </w:r>
      <w:r w:rsidR="00893658">
        <w:rPr>
          <w:b/>
          <w:bCs/>
          <w:i/>
          <w:iCs/>
        </w:rPr>
        <w:t>d</w:t>
      </w:r>
      <w:r>
        <w:rPr>
          <w:b/>
          <w:bCs/>
          <w:i/>
          <w:iCs/>
        </w:rPr>
        <w:t>)</w:t>
      </w:r>
      <w:r>
        <w:rPr>
          <w:b/>
          <w:bCs/>
          <w:i/>
          <w:iCs/>
        </w:rPr>
        <w:tab/>
        <w:t>Rahimtoola’s intention</w:t>
      </w:r>
    </w:p>
    <w:p w14:paraId="08C83423" w14:textId="77777777" w:rsidR="007C63E2" w:rsidRDefault="00D41B07" w:rsidP="00846781">
      <w:pPr>
        <w:numPr>
          <w:ilvl w:val="0"/>
          <w:numId w:val="2"/>
        </w:numPr>
        <w:autoSpaceDE w:val="0"/>
        <w:spacing w:before="240" w:after="240"/>
        <w:jc w:val="both"/>
      </w:pPr>
      <w:r>
        <w:t xml:space="preserve">I turn to the question of Rahimtoola’s intention. I have described Rahimtoola’s evidence in paragraphs </w:t>
      </w:r>
      <w:r w:rsidR="001E2911">
        <w:t>111 and 112</w:t>
      </w:r>
      <w:r>
        <w:t xml:space="preserve"> above and stated my conclusions as regards both its strengths and its weaknesses. </w:t>
      </w:r>
      <w:r w:rsidR="00D93F2F">
        <w:t xml:space="preserve">I </w:t>
      </w:r>
      <w:r w:rsidR="00FC2B25">
        <w:t xml:space="preserve">have </w:t>
      </w:r>
      <w:r w:rsidR="00D93F2F">
        <w:t>f</w:t>
      </w:r>
      <w:r w:rsidR="00FC2B25">
        <w:t>oun</w:t>
      </w:r>
      <w:r w:rsidR="00D93F2F">
        <w:t xml:space="preserve">d that </w:t>
      </w:r>
      <w:r w:rsidR="00FC2B25">
        <w:t>his</w:t>
      </w:r>
      <w:r w:rsidR="00D93F2F">
        <w:t xml:space="preserve"> evidence was essentially </w:t>
      </w:r>
      <w:r w:rsidR="008A4E7C">
        <w:t xml:space="preserve">directed to the </w:t>
      </w:r>
      <w:r w:rsidR="008A4E7C">
        <w:rPr>
          <w:u w:val="single"/>
        </w:rPr>
        <w:t>capacity</w:t>
      </w:r>
      <w:r w:rsidR="008A4E7C">
        <w:t xml:space="preserve"> in which </w:t>
      </w:r>
      <w:r w:rsidR="0064099A">
        <w:t>he received the Fund</w:t>
      </w:r>
      <w:r w:rsidR="000207AF">
        <w:t xml:space="preserve">, because this evidence was necessary to establish or support Pakistan’s claim to sovereign immunity. </w:t>
      </w:r>
      <w:r w:rsidR="00D80F55">
        <w:t xml:space="preserve">Whilst I consider that there may have been a degree of over-emphasis in regard to the question of capacity, I </w:t>
      </w:r>
      <w:r w:rsidR="00CA5685">
        <w:t>do not consider this evidence to be in its essence unreliable. To the contrary: I believe it. It is consistent with what I have found to be Moin’s intentions as regards the question of the capacity of the transferee</w:t>
      </w:r>
      <w:r w:rsidR="00CE06FB">
        <w:t>; and it seems to me the presence of Zafrulla</w:t>
      </w:r>
      <w:r w:rsidR="007C63E2">
        <w:t>h – which I accept was the case – renders this clearly a case where Rahimtoola was acting in his official capacity.</w:t>
      </w:r>
      <w:r w:rsidR="00532851">
        <w:t xml:space="preserve"> The Princes and India contended that the lunchtime meeting that Rahimtoola had with the Chairman of the Bank</w:t>
      </w:r>
      <w:r w:rsidR="005E0400">
        <w:rPr>
          <w:rStyle w:val="FootnoteReference"/>
        </w:rPr>
        <w:footnoteReference w:id="172"/>
      </w:r>
      <w:r w:rsidR="005E0400">
        <w:t xml:space="preserve"> demonstrated </w:t>
      </w:r>
      <w:r w:rsidR="009F3185">
        <w:t>that Rahimtoola regarded the Fund as his own.</w:t>
      </w:r>
      <w:r w:rsidR="00846781">
        <w:t xml:space="preserve"> I do not consider that what Rahimtoola </w:t>
      </w:r>
      <w:r w:rsidR="009D0BC5">
        <w:t xml:space="preserve">is recorded as saying </w:t>
      </w:r>
      <w:r w:rsidR="00846781">
        <w:t xml:space="preserve">over an informal lunchtime meeting </w:t>
      </w:r>
      <w:r w:rsidR="00944921">
        <w:t>is remotely persuasive as to how Rahimtoola held the Fund</w:t>
      </w:r>
      <w:r w:rsidR="00273B36">
        <w:t>. Indeed,</w:t>
      </w:r>
      <w:r w:rsidR="00944921">
        <w:t xml:space="preserve"> </w:t>
      </w:r>
      <w:r w:rsidR="00663A35">
        <w:t xml:space="preserve">the note kept by the Bank </w:t>
      </w:r>
      <w:r w:rsidR="00273B36">
        <w:t xml:space="preserve">does not even record </w:t>
      </w:r>
      <w:r w:rsidR="00A85822">
        <w:t>Rahimtoola’s words</w:t>
      </w:r>
      <w:r w:rsidR="00E17C38">
        <w:t>. It</w:t>
      </w:r>
      <w:r w:rsidR="00A85822">
        <w:t xml:space="preserve"> merely records the </w:t>
      </w:r>
      <w:r w:rsidR="00A85822">
        <w:lastRenderedPageBreak/>
        <w:t>impression of Lord Aldenham that Rahimtoola “seemed to regard [the Fund</w:t>
      </w:r>
      <w:r w:rsidR="00E17C38">
        <w:t xml:space="preserve"> as</w:t>
      </w:r>
      <w:r w:rsidR="00A85822">
        <w:t xml:space="preserve">] </w:t>
      </w:r>
      <w:r w:rsidR="00E17C38">
        <w:t xml:space="preserve">at his own personal disposition”. </w:t>
      </w:r>
    </w:p>
    <w:p w14:paraId="0384C81C" w14:textId="77777777" w:rsidR="00794B20" w:rsidRDefault="0062746F" w:rsidP="00636CB5">
      <w:pPr>
        <w:numPr>
          <w:ilvl w:val="0"/>
          <w:numId w:val="2"/>
        </w:numPr>
        <w:autoSpaceDE w:val="0"/>
        <w:spacing w:before="240" w:after="240"/>
        <w:jc w:val="both"/>
      </w:pPr>
      <w:r>
        <w:t>The question of the basis upon which Rahimtoola received the Fund receives rather less attention in Rahimtoola’s evidence</w:t>
      </w:r>
      <w:r w:rsidR="00BF0C61">
        <w:t>, for the reasons I have given.</w:t>
      </w:r>
      <w:r w:rsidR="00BF0C61">
        <w:rPr>
          <w:rStyle w:val="FootnoteReference"/>
        </w:rPr>
        <w:footnoteReference w:id="173"/>
      </w:r>
      <w:r w:rsidR="00BF0C61">
        <w:t xml:space="preserve"> Thus</w:t>
      </w:r>
      <w:r>
        <w:t xml:space="preserve"> – as I have described – he makes no mention </w:t>
      </w:r>
      <w:r w:rsidR="00786884">
        <w:t xml:space="preserve">of the 15 September 1948 letters. These letters – and particularly that authored by Rahimtoola himself – make very clear </w:t>
      </w:r>
      <w:r w:rsidR="00393E08">
        <w:t>that this was not an absolute transfer</w:t>
      </w:r>
      <w:r w:rsidR="007A1495">
        <w:t xml:space="preserve">, but a transfer where the beneficial interest in the Fund remained vested </w:t>
      </w:r>
      <w:r w:rsidR="00A043F3">
        <w:t>in Nizam VII.</w:t>
      </w:r>
      <w:r w:rsidR="00636CB5">
        <w:t xml:space="preserve"> I conclude that Rahimtoola’s intentions </w:t>
      </w:r>
      <w:r w:rsidR="000C1BED">
        <w:t xml:space="preserve">are as stated in his letter of 15 September 1948, namely that the Fund would, on transfer, be held on trust for Nizam VII. </w:t>
      </w:r>
      <w:r w:rsidR="00E6267D">
        <w:t xml:space="preserve">I find that that intention is to be attributed to </w:t>
      </w:r>
      <w:r w:rsidR="00960453">
        <w:t>Pakistan and that successors to Rahimtoola, in their capacity as High Commissioner, would similarly hold on trust for Nizam VII.</w:t>
      </w:r>
      <w:r w:rsidR="00CE06FB">
        <w:t xml:space="preserve"> </w:t>
      </w:r>
    </w:p>
    <w:p w14:paraId="17FD7FCA" w14:textId="77777777" w:rsidR="007B57A4" w:rsidRPr="00EE5C69" w:rsidRDefault="00EE5C69" w:rsidP="00401747">
      <w:pPr>
        <w:keepNext/>
        <w:tabs>
          <w:tab w:val="left" w:pos="567"/>
        </w:tabs>
        <w:autoSpaceDE w:val="0"/>
        <w:spacing w:before="240" w:after="240"/>
        <w:jc w:val="both"/>
        <w:rPr>
          <w:b/>
          <w:bCs/>
        </w:rPr>
      </w:pPr>
      <w:r>
        <w:rPr>
          <w:b/>
          <w:bCs/>
        </w:rPr>
        <w:t>(</w:t>
      </w:r>
      <w:r w:rsidR="000E4FCE">
        <w:rPr>
          <w:b/>
          <w:bCs/>
        </w:rPr>
        <w:t>3</w:t>
      </w:r>
      <w:r>
        <w:rPr>
          <w:b/>
          <w:bCs/>
        </w:rPr>
        <w:t>)</w:t>
      </w:r>
      <w:r>
        <w:rPr>
          <w:b/>
          <w:bCs/>
        </w:rPr>
        <w:tab/>
      </w:r>
      <w:r w:rsidR="000E4FCE">
        <w:rPr>
          <w:b/>
          <w:bCs/>
        </w:rPr>
        <w:t>The law</w:t>
      </w:r>
    </w:p>
    <w:p w14:paraId="731C22E6" w14:textId="77777777" w:rsidR="00BB5BF4" w:rsidRPr="00E253D0" w:rsidRDefault="00BB5BF4" w:rsidP="00401747">
      <w:pPr>
        <w:keepNext/>
        <w:tabs>
          <w:tab w:val="left" w:pos="567"/>
        </w:tabs>
        <w:autoSpaceDE w:val="0"/>
        <w:spacing w:before="240" w:after="240"/>
        <w:jc w:val="both"/>
        <w:rPr>
          <w:b/>
          <w:bCs/>
          <w:i/>
          <w:iCs/>
        </w:rPr>
      </w:pPr>
      <w:r w:rsidRPr="00E253D0">
        <w:rPr>
          <w:b/>
          <w:bCs/>
          <w:i/>
          <w:iCs/>
        </w:rPr>
        <w:t>(a)</w:t>
      </w:r>
      <w:r w:rsidRPr="00E253D0">
        <w:rPr>
          <w:b/>
          <w:bCs/>
          <w:i/>
          <w:iCs/>
        </w:rPr>
        <w:tab/>
      </w:r>
      <w:r w:rsidR="003534C9">
        <w:rPr>
          <w:b/>
          <w:bCs/>
          <w:i/>
          <w:iCs/>
        </w:rPr>
        <w:t>Introduction</w:t>
      </w:r>
    </w:p>
    <w:p w14:paraId="1973CC71" w14:textId="77777777" w:rsidR="00C40400" w:rsidRDefault="00C40400" w:rsidP="00EE5C69">
      <w:pPr>
        <w:numPr>
          <w:ilvl w:val="0"/>
          <w:numId w:val="2"/>
        </w:numPr>
        <w:autoSpaceDE w:val="0"/>
        <w:spacing w:before="240" w:after="240"/>
        <w:jc w:val="both"/>
      </w:pPr>
      <w:r>
        <w:t>As I have noted,</w:t>
      </w:r>
      <w:r w:rsidR="00E808FA">
        <w:t xml:space="preserve"> the Princes and India contended for a trust on </w:t>
      </w:r>
      <w:r w:rsidR="008D35D9">
        <w:t>one of three bases: express trust; constructive trust; and resulting trust.</w:t>
      </w:r>
      <w:r w:rsidR="00C908DD">
        <w:t xml:space="preserve"> I consider these three types of trust in turn below, and – in light of the facts as I have found them </w:t>
      </w:r>
      <w:r w:rsidR="003534C9">
        <w:t>–</w:t>
      </w:r>
      <w:r w:rsidR="00C908DD">
        <w:t xml:space="preserve"> </w:t>
      </w:r>
      <w:r w:rsidR="003534C9">
        <w:t>state my conclusions as to the basis upon which the Fund is held.</w:t>
      </w:r>
    </w:p>
    <w:p w14:paraId="0A76BA56" w14:textId="77777777" w:rsidR="00C40400" w:rsidRPr="003534C9" w:rsidRDefault="003534C9" w:rsidP="00401747">
      <w:pPr>
        <w:keepNext/>
        <w:tabs>
          <w:tab w:val="left" w:pos="567"/>
        </w:tabs>
        <w:autoSpaceDE w:val="0"/>
        <w:spacing w:before="240" w:after="240"/>
        <w:jc w:val="both"/>
        <w:rPr>
          <w:b/>
          <w:bCs/>
          <w:i/>
          <w:iCs/>
        </w:rPr>
      </w:pPr>
      <w:r w:rsidRPr="003534C9">
        <w:rPr>
          <w:b/>
          <w:bCs/>
          <w:i/>
          <w:iCs/>
        </w:rPr>
        <w:t>(b)</w:t>
      </w:r>
      <w:r w:rsidRPr="003534C9">
        <w:rPr>
          <w:b/>
          <w:bCs/>
          <w:i/>
          <w:iCs/>
        </w:rPr>
        <w:tab/>
        <w:t>Express trust</w:t>
      </w:r>
    </w:p>
    <w:p w14:paraId="07D719F6" w14:textId="77777777" w:rsidR="00E77C8A" w:rsidRPr="00E77C8A" w:rsidRDefault="00E77C8A" w:rsidP="00401747">
      <w:pPr>
        <w:keepNext/>
        <w:tabs>
          <w:tab w:val="left" w:pos="567"/>
        </w:tabs>
        <w:autoSpaceDE w:val="0"/>
        <w:spacing w:before="240" w:after="240"/>
        <w:jc w:val="both"/>
        <w:rPr>
          <w:i/>
          <w:iCs/>
        </w:rPr>
      </w:pPr>
      <w:r>
        <w:rPr>
          <w:i/>
          <w:iCs/>
        </w:rPr>
        <w:t>(i)</w:t>
      </w:r>
      <w:r>
        <w:rPr>
          <w:i/>
          <w:iCs/>
        </w:rPr>
        <w:tab/>
        <w:t>The three certainties</w:t>
      </w:r>
    </w:p>
    <w:p w14:paraId="620BA5FE" w14:textId="77777777" w:rsidR="00EE5C69" w:rsidRDefault="00A4790F" w:rsidP="00EE5C69">
      <w:pPr>
        <w:numPr>
          <w:ilvl w:val="0"/>
          <w:numId w:val="2"/>
        </w:numPr>
        <w:autoSpaceDE w:val="0"/>
        <w:spacing w:before="240" w:after="240"/>
        <w:jc w:val="both"/>
      </w:pPr>
      <w:r>
        <w:t xml:space="preserve">An express trust will arise </w:t>
      </w:r>
      <w:r w:rsidR="00193B95">
        <w:t xml:space="preserve">where the </w:t>
      </w:r>
      <w:r w:rsidR="00ED0217">
        <w:t>“</w:t>
      </w:r>
      <w:r w:rsidR="00C15DA7">
        <w:t>three certainties</w:t>
      </w:r>
      <w:r w:rsidR="00383479">
        <w:t>”</w:t>
      </w:r>
      <w:r w:rsidR="002C6056">
        <w:t xml:space="preserve"> essential for the creation of </w:t>
      </w:r>
      <w:r w:rsidR="00A76C4F">
        <w:t>a trust are met:</w:t>
      </w:r>
    </w:p>
    <w:p w14:paraId="73EBE0E1" w14:textId="77777777" w:rsidR="00623D5D" w:rsidRDefault="00714D8B" w:rsidP="00623D5D">
      <w:pPr>
        <w:numPr>
          <w:ilvl w:val="1"/>
          <w:numId w:val="2"/>
        </w:numPr>
        <w:autoSpaceDE w:val="0"/>
        <w:spacing w:before="240" w:after="240"/>
        <w:jc w:val="both"/>
      </w:pPr>
      <w:r>
        <w:t xml:space="preserve">There must be certainty of intention to create a trust on the part of </w:t>
      </w:r>
      <w:r w:rsidRPr="00714D8B">
        <w:rPr>
          <w:u w:val="single"/>
        </w:rPr>
        <w:t>the settlor</w:t>
      </w:r>
      <w:r>
        <w:t xml:space="preserve">. In her written submissions, India suggested </w:t>
      </w:r>
      <w:r w:rsidR="00261769">
        <w:t xml:space="preserve">that there needed to be a </w:t>
      </w:r>
      <w:r w:rsidR="00261769">
        <w:rPr>
          <w:u w:val="single"/>
        </w:rPr>
        <w:t>common</w:t>
      </w:r>
      <w:r w:rsidR="00261769">
        <w:t xml:space="preserve"> intention by the transferor and the transferee.</w:t>
      </w:r>
      <w:r w:rsidR="00261769">
        <w:rPr>
          <w:rStyle w:val="FootnoteReference"/>
        </w:rPr>
        <w:footnoteReference w:id="174"/>
      </w:r>
      <w:r w:rsidR="00261769">
        <w:t xml:space="preserve"> </w:t>
      </w:r>
      <w:r w:rsidR="00FB0F8E">
        <w:t xml:space="preserve">I do not accept that </w:t>
      </w:r>
      <w:r w:rsidR="00C26F88">
        <w:t xml:space="preserve">that is a requirement for an express trust. It is the intention of the settlor that counts, and the intention of the trustee in accepting the trust is irrelevant. </w:t>
      </w:r>
      <w:r w:rsidR="00BF4C61">
        <w:t xml:space="preserve">The trustee can, of course, refuse to accept the role of trustee, but that is not a point that goes to the </w:t>
      </w:r>
      <w:r w:rsidR="0030619C">
        <w:t>necessary intention to create a trust.</w:t>
      </w:r>
    </w:p>
    <w:p w14:paraId="3B1F0F40" w14:textId="77777777" w:rsidR="0030619C" w:rsidRDefault="00FE1C42" w:rsidP="00623D5D">
      <w:pPr>
        <w:numPr>
          <w:ilvl w:val="1"/>
          <w:numId w:val="2"/>
        </w:numPr>
        <w:autoSpaceDE w:val="0"/>
        <w:spacing w:before="240" w:after="240"/>
        <w:jc w:val="both"/>
      </w:pPr>
      <w:r>
        <w:t>The</w:t>
      </w:r>
      <w:r w:rsidR="00312D71">
        <w:t>re</w:t>
      </w:r>
      <w:r>
        <w:t xml:space="preserve"> must be certainty </w:t>
      </w:r>
      <w:r w:rsidR="00312D71">
        <w:t>in relation to the subject-matter of the trust.</w:t>
      </w:r>
    </w:p>
    <w:p w14:paraId="3198D94D" w14:textId="77777777" w:rsidR="00312D71" w:rsidRDefault="00312D71" w:rsidP="00623D5D">
      <w:pPr>
        <w:numPr>
          <w:ilvl w:val="1"/>
          <w:numId w:val="2"/>
        </w:numPr>
        <w:autoSpaceDE w:val="0"/>
        <w:spacing w:before="240" w:after="240"/>
        <w:jc w:val="both"/>
      </w:pPr>
      <w:r>
        <w:t xml:space="preserve">There must be certainty </w:t>
      </w:r>
      <w:r w:rsidR="001F73D3">
        <w:t>as to the beneficiary of the trust.</w:t>
      </w:r>
    </w:p>
    <w:p w14:paraId="4FD52AA6" w14:textId="77777777" w:rsidR="00EB43D6" w:rsidRDefault="00293746" w:rsidP="006372A9">
      <w:pPr>
        <w:numPr>
          <w:ilvl w:val="0"/>
          <w:numId w:val="2"/>
        </w:numPr>
        <w:autoSpaceDE w:val="0"/>
        <w:spacing w:before="240" w:after="240"/>
        <w:jc w:val="both"/>
      </w:pPr>
      <w:r>
        <w:t xml:space="preserve">Although conceptually speaking the three certainties are </w:t>
      </w:r>
      <w:r w:rsidR="00E17862">
        <w:t>separate</w:t>
      </w:r>
      <w:r w:rsidR="00341D1C">
        <w:t xml:space="preserve">, they can seldom in practice be segregated. </w:t>
      </w:r>
      <w:r w:rsidR="00AA764B">
        <w:t xml:space="preserve">In the present case, </w:t>
      </w:r>
      <w:r w:rsidR="00341D1C">
        <w:rPr>
          <w:u w:val="single"/>
        </w:rPr>
        <w:t xml:space="preserve">assuming there was an intention to create a </w:t>
      </w:r>
      <w:r w:rsidR="00341D1C">
        <w:rPr>
          <w:u w:val="single"/>
        </w:rPr>
        <w:lastRenderedPageBreak/>
        <w:t>trust</w:t>
      </w:r>
      <w:r w:rsidR="00341D1C" w:rsidRPr="00341D1C">
        <w:t xml:space="preserve">, </w:t>
      </w:r>
      <w:r w:rsidR="00AA764B">
        <w:t xml:space="preserve">there </w:t>
      </w:r>
      <w:r>
        <w:t xml:space="preserve">can be little doubt as to the </w:t>
      </w:r>
      <w:r w:rsidR="00733C3F">
        <w:t>second and third certainties. The subject-matter of the trust was the Fund; and the beneficiary Nizam VII.</w:t>
      </w:r>
      <w:r w:rsidR="004521E5">
        <w:rPr>
          <w:rStyle w:val="FootnoteReference"/>
        </w:rPr>
        <w:footnoteReference w:id="175"/>
      </w:r>
    </w:p>
    <w:p w14:paraId="3FD20DAD" w14:textId="77777777" w:rsidR="006453E0" w:rsidRPr="006453E0" w:rsidRDefault="006453E0" w:rsidP="00D63047">
      <w:pPr>
        <w:keepNext/>
        <w:tabs>
          <w:tab w:val="left" w:pos="567"/>
        </w:tabs>
        <w:autoSpaceDE w:val="0"/>
        <w:spacing w:before="240" w:after="240"/>
        <w:jc w:val="both"/>
        <w:rPr>
          <w:i/>
          <w:iCs/>
        </w:rPr>
      </w:pPr>
      <w:r>
        <w:rPr>
          <w:i/>
          <w:iCs/>
        </w:rPr>
        <w:t>(ii)</w:t>
      </w:r>
      <w:r>
        <w:rPr>
          <w:i/>
          <w:iCs/>
        </w:rPr>
        <w:tab/>
        <w:t>Agency</w:t>
      </w:r>
    </w:p>
    <w:p w14:paraId="78638AD9" w14:textId="77777777" w:rsidR="006453E0" w:rsidRDefault="006453E0" w:rsidP="006372A9">
      <w:pPr>
        <w:numPr>
          <w:ilvl w:val="0"/>
          <w:numId w:val="2"/>
        </w:numPr>
        <w:autoSpaceDE w:val="0"/>
        <w:spacing w:before="240" w:after="240"/>
        <w:jc w:val="both"/>
      </w:pPr>
      <w:r>
        <w:t>In this case</w:t>
      </w:r>
      <w:r w:rsidR="00B10FBE">
        <w:t xml:space="preserve">, the settlor </w:t>
      </w:r>
      <w:r w:rsidR="004E149B">
        <w:t>would have been Nizam VII – the money was his – act</w:t>
      </w:r>
      <w:r w:rsidR="006A3B63">
        <w:t>ing</w:t>
      </w:r>
      <w:r w:rsidR="004E149B">
        <w:t xml:space="preserve"> through his agent</w:t>
      </w:r>
      <w:r w:rsidR="006A3B63">
        <w:t>,</w:t>
      </w:r>
      <w:r w:rsidR="004E149B">
        <w:t xml:space="preserve"> Moin. </w:t>
      </w:r>
      <w:r w:rsidR="00D806C6">
        <w:t xml:space="preserve">However, since I have found that Moin had no authority to effect the Transfer – whether on trust or otherwise </w:t>
      </w:r>
      <w:r w:rsidR="001A0533">
        <w:t>–</w:t>
      </w:r>
      <w:r w:rsidR="00D806C6">
        <w:t xml:space="preserve"> </w:t>
      </w:r>
      <w:r w:rsidR="001A0533">
        <w:t>it follows that no express trust can arise in this case.</w:t>
      </w:r>
    </w:p>
    <w:p w14:paraId="1DD2A158" w14:textId="77777777" w:rsidR="00923357" w:rsidRDefault="00724B4A" w:rsidP="00923357">
      <w:pPr>
        <w:numPr>
          <w:ilvl w:val="0"/>
          <w:numId w:val="2"/>
        </w:numPr>
        <w:autoSpaceDE w:val="0"/>
        <w:spacing w:before="240" w:after="240"/>
        <w:jc w:val="both"/>
      </w:pPr>
      <w:r>
        <w:t xml:space="preserve">If, contrary to my </w:t>
      </w:r>
      <w:r w:rsidR="008C2C25">
        <w:t xml:space="preserve">finding, </w:t>
      </w:r>
      <w:r w:rsidR="00D3212E">
        <w:t xml:space="preserve">Nizam VII </w:t>
      </w:r>
      <w:r w:rsidR="00D3212E">
        <w:rPr>
          <w:u w:val="single"/>
        </w:rPr>
        <w:t>did</w:t>
      </w:r>
      <w:r w:rsidR="00D3212E">
        <w:t xml:space="preserve"> </w:t>
      </w:r>
      <w:r w:rsidR="00E2419C">
        <w:t>give</w:t>
      </w:r>
      <w:r w:rsidR="00D3212E">
        <w:t xml:space="preserve"> Moin authority to make the Transfer on his (the Nizam’s) behalf</w:t>
      </w:r>
      <w:r w:rsidR="00E2419C">
        <w:t xml:space="preserve">, then that authority would have been along the lines </w:t>
      </w:r>
      <w:r w:rsidR="00814628">
        <w:t xml:space="preserve">set out in paragraph </w:t>
      </w:r>
      <w:r w:rsidR="008018AA">
        <w:t>230</w:t>
      </w:r>
      <w:r w:rsidR="00814628">
        <w:t xml:space="preserve"> above.</w:t>
      </w:r>
      <w:r w:rsidR="00717541">
        <w:t xml:space="preserve"> It would have been a broad authority</w:t>
      </w:r>
      <w:r w:rsidR="00717541" w:rsidRPr="00717541">
        <w:t xml:space="preserve"> </w:t>
      </w:r>
      <w:r w:rsidR="00717541">
        <w:t>to safeguard the assets of Hyderabad (or the Nizam’s assets, which is the same thing) from India.</w:t>
      </w:r>
      <w:r w:rsidR="00C96C80">
        <w:t xml:space="preserve"> Assuming </w:t>
      </w:r>
      <w:r w:rsidR="00923357">
        <w:t xml:space="preserve">– contrary to my primary finding – that Moin did have authority, it is necessary to consider the </w:t>
      </w:r>
      <w:r w:rsidR="00BA5645">
        <w:t>question of intention more closely</w:t>
      </w:r>
      <w:r w:rsidR="00923357">
        <w:t>:</w:t>
      </w:r>
      <w:r w:rsidR="00BA5645">
        <w:t xml:space="preserve"> </w:t>
      </w:r>
    </w:p>
    <w:p w14:paraId="34845FD9" w14:textId="77777777" w:rsidR="00C9403C" w:rsidRDefault="002C0088" w:rsidP="00923357">
      <w:pPr>
        <w:numPr>
          <w:ilvl w:val="1"/>
          <w:numId w:val="2"/>
        </w:numPr>
        <w:autoSpaceDE w:val="0"/>
        <w:spacing w:before="240" w:after="240"/>
        <w:jc w:val="both"/>
      </w:pPr>
      <w:r>
        <w:t xml:space="preserve">The one thing that is absolutely clear is that </w:t>
      </w:r>
      <w:r w:rsidR="001B4602">
        <w:t xml:space="preserve">Nizam VII did not, personally, do anything to effect the Transfer or </w:t>
      </w:r>
      <w:r w:rsidR="00083ADF">
        <w:t xml:space="preserve">to </w:t>
      </w:r>
      <w:r w:rsidR="001B4602">
        <w:t xml:space="preserve">constitute the Fund. </w:t>
      </w:r>
      <w:r w:rsidR="0039023F">
        <w:t>He acted</w:t>
      </w:r>
      <w:r w:rsidR="008B74D4">
        <w:t>, if at all,</w:t>
      </w:r>
      <w:r w:rsidR="0039023F">
        <w:t xml:space="preserve"> through Moin. </w:t>
      </w:r>
    </w:p>
    <w:p w14:paraId="555DC81F" w14:textId="77777777" w:rsidR="006372A9" w:rsidRDefault="00DF2BCD" w:rsidP="00923357">
      <w:pPr>
        <w:numPr>
          <w:ilvl w:val="1"/>
          <w:numId w:val="2"/>
        </w:numPr>
        <w:autoSpaceDE w:val="0"/>
        <w:spacing w:before="240" w:after="240"/>
        <w:jc w:val="both"/>
      </w:pPr>
      <w:r>
        <w:t xml:space="preserve">This gives rise to difficult questions as to </w:t>
      </w:r>
      <w:r>
        <w:rPr>
          <w:u w:val="single"/>
        </w:rPr>
        <w:t>whose</w:t>
      </w:r>
      <w:r>
        <w:t xml:space="preserve"> intention is relevant </w:t>
      </w:r>
      <w:r w:rsidR="00E15301">
        <w:t xml:space="preserve">where some authority has been conferred by Nizam VII on Moin, but where that authority is (or may be) limited. </w:t>
      </w:r>
      <w:r w:rsidR="00945095">
        <w:t xml:space="preserve">In short, there is a question </w:t>
      </w:r>
      <w:r w:rsidR="00957D8E">
        <w:t>of the interplay between authority that may have been granted to Moin and the principal’s (i.e. the Nizam’s) ultimate wishes.</w:t>
      </w:r>
    </w:p>
    <w:p w14:paraId="09D32143" w14:textId="77777777" w:rsidR="00DB7D7C" w:rsidRDefault="00957D8E" w:rsidP="00C9403C">
      <w:pPr>
        <w:numPr>
          <w:ilvl w:val="1"/>
          <w:numId w:val="2"/>
        </w:numPr>
        <w:autoSpaceDE w:val="0"/>
        <w:spacing w:before="240" w:after="240"/>
        <w:jc w:val="both"/>
      </w:pPr>
      <w:r>
        <w:t xml:space="preserve">This question was considered in </w:t>
      </w:r>
      <w:r>
        <w:rPr>
          <w:i/>
          <w:iCs/>
        </w:rPr>
        <w:t>Day v. Day</w:t>
      </w:r>
      <w:r>
        <w:t>.</w:t>
      </w:r>
      <w:r w:rsidR="000E0CB7">
        <w:rPr>
          <w:rStyle w:val="FootnoteReference"/>
        </w:rPr>
        <w:footnoteReference w:id="176"/>
      </w:r>
      <w:r w:rsidR="00944736">
        <w:t xml:space="preserve"> </w:t>
      </w:r>
      <w:r w:rsidR="009525DC">
        <w:t xml:space="preserve">In 1954, </w:t>
      </w:r>
      <w:r w:rsidR="00944736">
        <w:t>Mrs Day</w:t>
      </w:r>
      <w:r w:rsidR="009525DC">
        <w:t xml:space="preserve">, with her husband, </w:t>
      </w:r>
      <w:r w:rsidR="00CE2037">
        <w:t>acquired a home in Southampton (the “property”).</w:t>
      </w:r>
      <w:r w:rsidR="00D949F7">
        <w:t xml:space="preserve"> The property was held jointly and</w:t>
      </w:r>
      <w:r w:rsidR="00AF6AE8">
        <w:t>,</w:t>
      </w:r>
      <w:r w:rsidR="00D949F7">
        <w:t xml:space="preserve"> when Mr Day died, </w:t>
      </w:r>
      <w:r w:rsidR="002437C3">
        <w:t xml:space="preserve">the property vested in </w:t>
      </w:r>
      <w:r w:rsidR="00D949F7">
        <w:t>Mrs Day</w:t>
      </w:r>
      <w:r w:rsidR="002437C3">
        <w:t xml:space="preserve"> by survivorship.</w:t>
      </w:r>
      <w:r w:rsidR="00A70FE5">
        <w:t xml:space="preserve"> At the time of her death</w:t>
      </w:r>
      <w:r w:rsidR="00A16475">
        <w:t xml:space="preserve"> in 2008, Mrs Day was survived by six children. In her will, </w:t>
      </w:r>
      <w:r w:rsidR="00916332">
        <w:t>she directed that the property be sold and the sale proceeds divided between her children equally.</w:t>
      </w:r>
      <w:r w:rsidR="00061AA4">
        <w:t xml:space="preserve"> Prior to her death, </w:t>
      </w:r>
      <w:r w:rsidR="00B637DE">
        <w:t xml:space="preserve">in about 1985, </w:t>
      </w:r>
      <w:r w:rsidR="00061AA4">
        <w:t>Mrs Day</w:t>
      </w:r>
      <w:r w:rsidR="002033D9">
        <w:t xml:space="preserve"> sought to enable one of her children </w:t>
      </w:r>
      <w:r w:rsidR="0053258D">
        <w:t>(her son Teren</w:t>
      </w:r>
      <w:r w:rsidR="009B61BF">
        <w:t>c</w:t>
      </w:r>
      <w:r w:rsidR="0053258D">
        <w:t xml:space="preserve">e) </w:t>
      </w:r>
      <w:r w:rsidR="002033D9">
        <w:t xml:space="preserve">to obtain a loan from a building society. The only way this could be achieved was </w:t>
      </w:r>
      <w:r w:rsidR="002974B0">
        <w:t xml:space="preserve">by giving security </w:t>
      </w:r>
      <w:r w:rsidR="00A92BC4">
        <w:t xml:space="preserve">(by way of mortgage) </w:t>
      </w:r>
      <w:r w:rsidR="002974B0">
        <w:t xml:space="preserve">over the property. </w:t>
      </w:r>
      <w:r w:rsidR="0039360A">
        <w:t xml:space="preserve">Mrs Day executed a general power of attorney pursuant to the Powers of Attorney Act </w:t>
      </w:r>
      <w:r w:rsidR="009F68C6">
        <w:t xml:space="preserve">1971 in favour of her solicitor. Acting within his actual authority, the solicitor conveyed the property </w:t>
      </w:r>
      <w:r w:rsidR="0053258D">
        <w:t>from Mrs Day alone to Mrs Day and her son</w:t>
      </w:r>
      <w:r w:rsidR="009B61BF">
        <w:t xml:space="preserve"> to be held by them as beneficial joint tenants.</w:t>
      </w:r>
      <w:r w:rsidR="009B6CB8">
        <w:t xml:space="preserve"> As a result, on Mrs Day’s death, the entirety of the beneficial interest in the property accrued to Terence, and </w:t>
      </w:r>
      <w:r w:rsidR="00D02A57">
        <w:t xml:space="preserve">the property could not be shared amongst all of the children as intended by Mrs Day’s will. </w:t>
      </w:r>
      <w:r w:rsidR="00FE0474">
        <w:t xml:space="preserve">The borrowing secured over the property had been repaid well before Mrs Day’s death. </w:t>
      </w:r>
      <w:r w:rsidR="00A92BC4">
        <w:t>Mrs Day’s other children sought rectification of the conveyance</w:t>
      </w:r>
      <w:r w:rsidR="00796AFC">
        <w:t xml:space="preserve"> so </w:t>
      </w:r>
      <w:r w:rsidR="007C48CB">
        <w:t>as to provide that the property was held by Mrs Day and Terence on trust for Mrs Day ab</w:t>
      </w:r>
      <w:r w:rsidR="00DB7D7C">
        <w:t>solutely.</w:t>
      </w:r>
    </w:p>
    <w:p w14:paraId="03AFAC35" w14:textId="77777777" w:rsidR="005968AA" w:rsidRDefault="00DB7D7C" w:rsidP="00C9403C">
      <w:pPr>
        <w:numPr>
          <w:ilvl w:val="1"/>
          <w:numId w:val="2"/>
        </w:numPr>
        <w:autoSpaceDE w:val="0"/>
        <w:spacing w:before="240" w:after="240"/>
        <w:jc w:val="both"/>
      </w:pPr>
      <w:r>
        <w:lastRenderedPageBreak/>
        <w:t>At first instance, the claim for rectification failed.</w:t>
      </w:r>
      <w:r w:rsidR="004431E7">
        <w:t xml:space="preserve"> The recorder </w:t>
      </w:r>
      <w:r w:rsidR="007C508B">
        <w:t xml:space="preserve">trying the case </w:t>
      </w:r>
      <w:r w:rsidR="004431E7">
        <w:t xml:space="preserve">concluded that </w:t>
      </w:r>
      <w:r w:rsidR="008939D2">
        <w:t>because the solicitor had the power to effect the conveyance in the manner that he did (i.e. he had actual authority) and because there was no evidence that</w:t>
      </w:r>
      <w:r w:rsidR="00F03125">
        <w:t xml:space="preserve"> the solicitor was acting, in any way, against instructions received from Mrs Day</w:t>
      </w:r>
      <w:r w:rsidR="00AC2C07">
        <w:t>, the claim for rectification had to be dismissed.</w:t>
      </w:r>
    </w:p>
    <w:p w14:paraId="056E2ED2" w14:textId="77777777" w:rsidR="00957D8E" w:rsidRDefault="005968AA" w:rsidP="00C9403C">
      <w:pPr>
        <w:numPr>
          <w:ilvl w:val="1"/>
          <w:numId w:val="2"/>
        </w:numPr>
        <w:autoSpaceDE w:val="0"/>
        <w:spacing w:before="240" w:after="240"/>
        <w:jc w:val="both"/>
      </w:pPr>
      <w:r>
        <w:t xml:space="preserve">On appeal, the Court of Appeal stressed that </w:t>
      </w:r>
      <w:r w:rsidR="00B933C8">
        <w:t>the conveyance was in the nature of a</w:t>
      </w:r>
      <w:r w:rsidR="00100ABE">
        <w:t xml:space="preserve"> voluntary settlement by Mrs Day. It was, in short, a unilateral transaction</w:t>
      </w:r>
      <w:r w:rsidR="007B024C">
        <w:t xml:space="preserve">. </w:t>
      </w:r>
      <w:r w:rsidR="00377B88">
        <w:t>Many different types of instrument can be rectified and the cases show that a distinction is drawn</w:t>
      </w:r>
      <w:r w:rsidR="00BE1561">
        <w:t xml:space="preserve"> between bilateral and multilateral instruments on the one hand and unilateral instruments on the other.</w:t>
      </w:r>
      <w:r w:rsidR="007664F9">
        <w:t xml:space="preserve"> It would be odd – indeed, impossible – for the law to require </w:t>
      </w:r>
      <w:r w:rsidR="002830F6">
        <w:t>some kind of mutuality of intention in order to rectify a unilateral instrument</w:t>
      </w:r>
      <w:r w:rsidR="00394471">
        <w:t xml:space="preserve">. </w:t>
      </w:r>
      <w:r w:rsidR="001C4846">
        <w:t>Given that a unilateral transaction can be brought about by the sole will of the person effecting the transaction</w:t>
      </w:r>
      <w:r w:rsidR="00084BCC">
        <w:t>, one would expect the requirements for rectification to reflect this</w:t>
      </w:r>
      <w:r w:rsidR="00C57A7C">
        <w:t>, as the Court of Appeal found that they did</w:t>
      </w:r>
      <w:r w:rsidR="008E1B16">
        <w:t>:</w:t>
      </w:r>
      <w:r w:rsidR="00C57A7C">
        <w:rPr>
          <w:rStyle w:val="FootnoteReference"/>
        </w:rPr>
        <w:footnoteReference w:id="177"/>
      </w:r>
    </w:p>
    <w:p w14:paraId="6F06DF4A" w14:textId="77777777" w:rsidR="008E1B16" w:rsidRPr="00A71305" w:rsidRDefault="008E1B16" w:rsidP="00B70B8B">
      <w:pPr>
        <w:autoSpaceDE w:val="0"/>
        <w:spacing w:before="240" w:after="240"/>
        <w:ind w:left="1134"/>
        <w:jc w:val="both"/>
        <w:rPr>
          <w:sz w:val="22"/>
          <w:szCs w:val="22"/>
        </w:rPr>
      </w:pPr>
      <w:r>
        <w:rPr>
          <w:sz w:val="22"/>
          <w:szCs w:val="22"/>
        </w:rPr>
        <w:t>“</w:t>
      </w:r>
      <w:r w:rsidR="008443EF">
        <w:rPr>
          <w:sz w:val="22"/>
          <w:szCs w:val="22"/>
        </w:rPr>
        <w:t>What is relevant in such a case is the subjective intention of the settlor.</w:t>
      </w:r>
      <w:r w:rsidR="008869DD">
        <w:rPr>
          <w:sz w:val="22"/>
          <w:szCs w:val="22"/>
        </w:rPr>
        <w:t xml:space="preserve"> It is not a legal requirement for rectification of a voluntary settlement that there is any outward expression</w:t>
      </w:r>
      <w:r w:rsidR="00966DF4">
        <w:rPr>
          <w:sz w:val="22"/>
          <w:szCs w:val="22"/>
        </w:rPr>
        <w:t xml:space="preserve"> or objective communication of the settlor’s intention equivalent </w:t>
      </w:r>
      <w:r w:rsidR="00881286">
        <w:rPr>
          <w:sz w:val="22"/>
          <w:szCs w:val="22"/>
        </w:rPr>
        <w:t>to the need to show an outward expression of accord for rectification of a contract for mutual mistake…</w:t>
      </w:r>
      <w:r w:rsidR="002B2065">
        <w:rPr>
          <w:sz w:val="22"/>
          <w:szCs w:val="22"/>
        </w:rPr>
        <w:t xml:space="preserve">In </w:t>
      </w:r>
      <w:r w:rsidR="002B2065">
        <w:rPr>
          <w:i/>
          <w:iCs/>
          <w:sz w:val="22"/>
          <w:szCs w:val="22"/>
        </w:rPr>
        <w:t xml:space="preserve">Chartbrook Ltd v. Persimmon Homes </w:t>
      </w:r>
      <w:r w:rsidR="00A71305">
        <w:rPr>
          <w:i/>
          <w:iCs/>
          <w:sz w:val="22"/>
          <w:szCs w:val="22"/>
        </w:rPr>
        <w:t>Ltd</w:t>
      </w:r>
      <w:r w:rsidR="00A71305">
        <w:rPr>
          <w:sz w:val="22"/>
          <w:szCs w:val="22"/>
        </w:rPr>
        <w:t>, [2009] UKHL</w:t>
      </w:r>
      <w:r w:rsidR="00CC4593">
        <w:rPr>
          <w:sz w:val="22"/>
          <w:szCs w:val="22"/>
        </w:rPr>
        <w:t xml:space="preserve"> 38</w:t>
      </w:r>
      <w:r w:rsidR="00A71305">
        <w:rPr>
          <w:sz w:val="22"/>
          <w:szCs w:val="22"/>
        </w:rPr>
        <w:t>,</w:t>
      </w:r>
      <w:r w:rsidR="00CC4593">
        <w:rPr>
          <w:sz w:val="22"/>
          <w:szCs w:val="22"/>
        </w:rPr>
        <w:t xml:space="preserve"> the House of Lords agreed with Lord Hoffmann’s (</w:t>
      </w:r>
      <w:r w:rsidR="00CC4593" w:rsidRPr="00B70B8B">
        <w:rPr>
          <w:i/>
          <w:iCs/>
          <w:sz w:val="22"/>
          <w:szCs w:val="22"/>
        </w:rPr>
        <w:t>obiter</w:t>
      </w:r>
      <w:r w:rsidR="00CC4593">
        <w:rPr>
          <w:sz w:val="22"/>
          <w:szCs w:val="22"/>
        </w:rPr>
        <w:t xml:space="preserve">) explanation </w:t>
      </w:r>
      <w:r w:rsidR="008C719C">
        <w:rPr>
          <w:sz w:val="22"/>
          <w:szCs w:val="22"/>
        </w:rPr>
        <w:t xml:space="preserve">of an objective test for rectification for mutual mistake in the case of a contract so as to bring the final document </w:t>
      </w:r>
      <w:r w:rsidR="007B567D">
        <w:rPr>
          <w:sz w:val="22"/>
          <w:szCs w:val="22"/>
        </w:rPr>
        <w:t>into line with the parties’ prior consensus objectively ascertained.</w:t>
      </w:r>
      <w:r w:rsidR="00D27621">
        <w:rPr>
          <w:rStyle w:val="FootnoteReference"/>
          <w:sz w:val="22"/>
          <w:szCs w:val="22"/>
        </w:rPr>
        <w:footnoteReference w:id="178"/>
      </w:r>
      <w:r w:rsidR="007B567D">
        <w:rPr>
          <w:sz w:val="22"/>
          <w:szCs w:val="22"/>
        </w:rPr>
        <w:t xml:space="preserve"> Nothing</w:t>
      </w:r>
      <w:r w:rsidR="00234E1B">
        <w:rPr>
          <w:sz w:val="22"/>
          <w:szCs w:val="22"/>
        </w:rPr>
        <w:t xml:space="preserve"> he said there </w:t>
      </w:r>
      <w:r w:rsidR="006E6671">
        <w:rPr>
          <w:sz w:val="22"/>
          <w:szCs w:val="22"/>
        </w:rPr>
        <w:t xml:space="preserve">touched upon the requirements for rectification for unilateral mistake </w:t>
      </w:r>
      <w:r w:rsidR="00C620BA">
        <w:rPr>
          <w:sz w:val="22"/>
          <w:szCs w:val="22"/>
        </w:rPr>
        <w:t xml:space="preserve">in a non-contract case. Although, as I have said, there is no legal requirement of an outward expression </w:t>
      </w:r>
      <w:r w:rsidR="00BF1DB5">
        <w:rPr>
          <w:sz w:val="22"/>
          <w:szCs w:val="22"/>
        </w:rPr>
        <w:t xml:space="preserve">or objective communication of the settlor’s intention in such a case, it will plainly be difficult as a matter of evidence to discharge the burden of proving </w:t>
      </w:r>
      <w:r w:rsidR="00CE756B">
        <w:rPr>
          <w:sz w:val="22"/>
          <w:szCs w:val="22"/>
        </w:rPr>
        <w:t>that there was a mistake in the absence of an outward expression of intention.”</w:t>
      </w:r>
    </w:p>
    <w:p w14:paraId="75B11224" w14:textId="77777777" w:rsidR="008E1B16" w:rsidRDefault="0033533E" w:rsidP="00816782">
      <w:pPr>
        <w:numPr>
          <w:ilvl w:val="1"/>
          <w:numId w:val="2"/>
        </w:numPr>
        <w:autoSpaceDE w:val="0"/>
        <w:spacing w:before="240" w:after="240"/>
        <w:jc w:val="both"/>
      </w:pPr>
      <w:r>
        <w:t xml:space="preserve">Having established that this was a question of </w:t>
      </w:r>
      <w:r w:rsidR="00EB0E96">
        <w:rPr>
          <w:u w:val="single"/>
        </w:rPr>
        <w:t>unilateral</w:t>
      </w:r>
      <w:r w:rsidR="00EB0E96">
        <w:t xml:space="preserve"> intention, the question arose, in this case, </w:t>
      </w:r>
      <w:r w:rsidR="004E503F">
        <w:t>of whose intention was relevant: that of Mrs Day or that of her solicitor, her attorney?</w:t>
      </w:r>
      <w:r w:rsidR="00CE41FD">
        <w:t xml:space="preserve"> The Court of Appeal held that – on the facts of this case at least </w:t>
      </w:r>
      <w:r w:rsidR="00D25630">
        <w:t>–</w:t>
      </w:r>
      <w:r w:rsidR="00CE41FD">
        <w:t xml:space="preserve"> </w:t>
      </w:r>
      <w:r w:rsidR="00D25630">
        <w:t>it was Mrs Day’s intention that mattered:</w:t>
      </w:r>
    </w:p>
    <w:p w14:paraId="2511DD73" w14:textId="77777777" w:rsidR="00784479" w:rsidRDefault="00D25630" w:rsidP="00816782">
      <w:pPr>
        <w:autoSpaceDE w:val="0"/>
        <w:spacing w:before="240" w:after="240"/>
        <w:ind w:left="1854" w:hanging="720"/>
        <w:jc w:val="both"/>
        <w:rPr>
          <w:sz w:val="22"/>
          <w:szCs w:val="22"/>
        </w:rPr>
      </w:pPr>
      <w:r w:rsidRPr="005639D3">
        <w:rPr>
          <w:sz w:val="22"/>
          <w:szCs w:val="22"/>
        </w:rPr>
        <w:t>“</w:t>
      </w:r>
      <w:r w:rsidR="00BE6146" w:rsidRPr="005639D3">
        <w:rPr>
          <w:sz w:val="22"/>
          <w:szCs w:val="22"/>
        </w:rPr>
        <w:t>25</w:t>
      </w:r>
      <w:r w:rsidR="005639D3">
        <w:rPr>
          <w:sz w:val="22"/>
          <w:szCs w:val="22"/>
        </w:rPr>
        <w:t>.</w:t>
      </w:r>
      <w:r w:rsidR="00BE6146" w:rsidRPr="005639D3">
        <w:rPr>
          <w:sz w:val="22"/>
          <w:szCs w:val="22"/>
        </w:rPr>
        <w:tab/>
        <w:t>…</w:t>
      </w:r>
      <w:r w:rsidR="00C9066E" w:rsidRPr="00C9066E">
        <w:rPr>
          <w:color w:val="212121"/>
          <w:sz w:val="22"/>
          <w:szCs w:val="22"/>
        </w:rPr>
        <w:t>In the first place, the doctrine of rectification is concerned with intention, or rather the mistaken implementation of intention, rather than the power and authority to effect a particular transaction. The intention of the principal and the scope of the agent</w:t>
      </w:r>
      <w:r w:rsidR="005639D3">
        <w:rPr>
          <w:color w:val="212121"/>
          <w:sz w:val="22"/>
          <w:szCs w:val="22"/>
        </w:rPr>
        <w:t>’</w:t>
      </w:r>
      <w:r w:rsidR="00C9066E" w:rsidRPr="00C9066E">
        <w:rPr>
          <w:color w:val="212121"/>
          <w:sz w:val="22"/>
          <w:szCs w:val="22"/>
        </w:rPr>
        <w:t>s authority may, and often will, overlap, but they are not synonymous concepts. In the case of a voluntary settlement, rectification hinges on whether the settlor executed the settlement in the mistaken belief that it implemented his or her intention. Whether or not the settlor</w:t>
      </w:r>
      <w:r w:rsidR="005639D3">
        <w:rPr>
          <w:color w:val="212121"/>
          <w:sz w:val="22"/>
          <w:szCs w:val="22"/>
        </w:rPr>
        <w:t>’</w:t>
      </w:r>
      <w:r w:rsidR="00C9066E" w:rsidRPr="00C9066E">
        <w:rPr>
          <w:color w:val="212121"/>
          <w:sz w:val="22"/>
          <w:szCs w:val="22"/>
        </w:rPr>
        <w:t xml:space="preserve">s solicitor was authorised to draw up the settlement on any particular terms or, as here, was acting within his actual or apparent authority in executing it on behalf of, and in the name of, the settlor is a different question. The recorder appears to have been of the view that </w:t>
      </w:r>
      <w:r w:rsidR="00784479">
        <w:rPr>
          <w:color w:val="212121"/>
          <w:sz w:val="22"/>
          <w:szCs w:val="22"/>
        </w:rPr>
        <w:t>[the solicitor]</w:t>
      </w:r>
      <w:r w:rsidR="00C9066E" w:rsidRPr="00C9066E">
        <w:rPr>
          <w:color w:val="212121"/>
          <w:sz w:val="22"/>
          <w:szCs w:val="22"/>
        </w:rPr>
        <w:t xml:space="preserve"> had authority to execute the conveyance on behalf of Mrs Day because he acted pursuant to a general power of attorney and that was a complete </w:t>
      </w:r>
      <w:r w:rsidR="00C9066E" w:rsidRPr="00C9066E">
        <w:rPr>
          <w:color w:val="212121"/>
          <w:sz w:val="22"/>
          <w:szCs w:val="22"/>
        </w:rPr>
        <w:lastRenderedPageBreak/>
        <w:t xml:space="preserve">answer to any claim Mrs Day might have made in her lifetime for rectification of the conveyance. Mrs Day, however, was the settlor and it is her intention and the implementation of her intention, and not the scope of </w:t>
      </w:r>
      <w:r w:rsidR="00784479">
        <w:rPr>
          <w:color w:val="212121"/>
          <w:sz w:val="22"/>
          <w:szCs w:val="22"/>
        </w:rPr>
        <w:t>[the solicitor’s]</w:t>
      </w:r>
      <w:r w:rsidR="00C9066E" w:rsidRPr="00C9066E">
        <w:rPr>
          <w:color w:val="212121"/>
          <w:sz w:val="22"/>
          <w:szCs w:val="22"/>
        </w:rPr>
        <w:t xml:space="preserve"> authority, which are in issue on the claim for rectification.</w:t>
      </w:r>
    </w:p>
    <w:p w14:paraId="39694DAF" w14:textId="77777777" w:rsidR="00784479" w:rsidRDefault="00C9066E" w:rsidP="00816782">
      <w:pPr>
        <w:autoSpaceDE w:val="0"/>
        <w:spacing w:before="240" w:after="240"/>
        <w:ind w:left="1854" w:hanging="720"/>
        <w:jc w:val="both"/>
        <w:rPr>
          <w:sz w:val="22"/>
          <w:szCs w:val="22"/>
        </w:rPr>
      </w:pPr>
      <w:r w:rsidRPr="00C9066E">
        <w:rPr>
          <w:color w:val="212121"/>
          <w:sz w:val="22"/>
          <w:szCs w:val="22"/>
        </w:rPr>
        <w:t xml:space="preserve">26.  </w:t>
      </w:r>
      <w:r w:rsidR="00784479">
        <w:rPr>
          <w:color w:val="212121"/>
          <w:sz w:val="22"/>
          <w:szCs w:val="22"/>
        </w:rPr>
        <w:tab/>
      </w:r>
      <w:r w:rsidRPr="00C9066E">
        <w:rPr>
          <w:color w:val="212121"/>
          <w:sz w:val="22"/>
          <w:szCs w:val="22"/>
        </w:rPr>
        <w:t>Secondly, on the issue of the scope of authority, the recorder appears to have thought it axiomatic that the general power of attorney, by virtue of its very generality, authorised Mr Froud to execute, on Mrs Day</w:t>
      </w:r>
      <w:r w:rsidR="00784479">
        <w:rPr>
          <w:color w:val="212121"/>
          <w:sz w:val="22"/>
          <w:szCs w:val="22"/>
        </w:rPr>
        <w:t>’</w:t>
      </w:r>
      <w:r w:rsidRPr="00C9066E">
        <w:rPr>
          <w:color w:val="212121"/>
          <w:sz w:val="22"/>
          <w:szCs w:val="22"/>
        </w:rPr>
        <w:t>s behalf, a conveyance of the property on such terms as he saw fit to facilitate the Gateway mortgage. If that was the view of the recorder, it is plainly wrong. A solicitor</w:t>
      </w:r>
      <w:r w:rsidR="00784479">
        <w:rPr>
          <w:color w:val="212121"/>
          <w:sz w:val="22"/>
          <w:szCs w:val="22"/>
        </w:rPr>
        <w:t>’</w:t>
      </w:r>
      <w:r w:rsidRPr="00C9066E">
        <w:rPr>
          <w:color w:val="212121"/>
          <w:sz w:val="22"/>
          <w:szCs w:val="22"/>
        </w:rPr>
        <w:t>s actual authority is prescribed by any instructions expressly given by the client, whether or not those instructions are then implemented by the solicitor acting pursuant to a general power of attorney. So far as a third party is concerned, a general power of attorney may well clothe the solicitor with apparent authority to effect a transaction and so make the transaction binding on the principal even though the transaction was outside the solicitor</w:t>
      </w:r>
      <w:r w:rsidR="00784479">
        <w:rPr>
          <w:color w:val="212121"/>
          <w:sz w:val="22"/>
          <w:szCs w:val="22"/>
        </w:rPr>
        <w:t>’</w:t>
      </w:r>
      <w:r w:rsidRPr="00C9066E">
        <w:rPr>
          <w:color w:val="212121"/>
          <w:sz w:val="22"/>
          <w:szCs w:val="22"/>
        </w:rPr>
        <w:t>s actual authority. In so far, however, as there is any overlap between the principal</w:t>
      </w:r>
      <w:r w:rsidR="00784479">
        <w:rPr>
          <w:color w:val="212121"/>
          <w:sz w:val="22"/>
          <w:szCs w:val="22"/>
        </w:rPr>
        <w:t>’</w:t>
      </w:r>
      <w:r w:rsidRPr="00C9066E">
        <w:rPr>
          <w:color w:val="212121"/>
          <w:sz w:val="22"/>
          <w:szCs w:val="22"/>
        </w:rPr>
        <w:t>s intention in carrying out a particular transaction and the scope of the agent</w:t>
      </w:r>
      <w:r w:rsidR="00784479">
        <w:rPr>
          <w:color w:val="212121"/>
          <w:sz w:val="22"/>
          <w:szCs w:val="22"/>
        </w:rPr>
        <w:t>’</w:t>
      </w:r>
      <w:r w:rsidRPr="00C9066E">
        <w:rPr>
          <w:color w:val="212121"/>
          <w:sz w:val="22"/>
          <w:szCs w:val="22"/>
        </w:rPr>
        <w:t>s authority to execute that transaction, it is the actual authority of the agent that is relevant and not the agent</w:t>
      </w:r>
      <w:r w:rsidR="00784479">
        <w:rPr>
          <w:color w:val="212121"/>
          <w:sz w:val="22"/>
          <w:szCs w:val="22"/>
        </w:rPr>
        <w:t>’</w:t>
      </w:r>
      <w:r w:rsidRPr="00C9066E">
        <w:rPr>
          <w:color w:val="212121"/>
          <w:sz w:val="22"/>
          <w:szCs w:val="22"/>
        </w:rPr>
        <w:t>s apparent or ostensible authority. The actual instructions to the agent may cast light on the actual intention of the principal, which is the relevant factor for rectification. Apparent or ostensible authority of the agent may make the transaction binding on the principal even where it does not coincide with the actual intention of the principal and the express instructions given to the agent, but (subject to the facts of any particular case) there is no obvious reason why such apparent authority</w:t>
      </w:r>
      <w:r w:rsidR="003300E9">
        <w:rPr>
          <w:color w:val="212121"/>
          <w:sz w:val="22"/>
          <w:szCs w:val="22"/>
        </w:rPr>
        <w:t xml:space="preserve"> </w:t>
      </w:r>
      <w:r w:rsidRPr="00C9066E">
        <w:rPr>
          <w:color w:val="212121"/>
          <w:sz w:val="22"/>
          <w:szCs w:val="22"/>
        </w:rPr>
        <w:t>should throw any light on the right to rectification.</w:t>
      </w:r>
    </w:p>
    <w:p w14:paraId="17D6024D" w14:textId="77777777" w:rsidR="00784479" w:rsidRDefault="00C9066E" w:rsidP="00816782">
      <w:pPr>
        <w:autoSpaceDE w:val="0"/>
        <w:spacing w:before="240" w:after="240"/>
        <w:ind w:left="1854" w:hanging="720"/>
        <w:jc w:val="both"/>
        <w:rPr>
          <w:color w:val="212121"/>
          <w:sz w:val="22"/>
          <w:szCs w:val="22"/>
        </w:rPr>
      </w:pPr>
      <w:r w:rsidRPr="00C9066E">
        <w:rPr>
          <w:color w:val="212121"/>
          <w:sz w:val="22"/>
          <w:szCs w:val="22"/>
        </w:rPr>
        <w:t xml:space="preserve">27.  </w:t>
      </w:r>
      <w:r w:rsidR="00784479">
        <w:rPr>
          <w:color w:val="212121"/>
          <w:sz w:val="22"/>
          <w:szCs w:val="22"/>
        </w:rPr>
        <w:tab/>
      </w:r>
      <w:r w:rsidRPr="00C9066E">
        <w:rPr>
          <w:color w:val="212121"/>
          <w:sz w:val="22"/>
          <w:szCs w:val="22"/>
        </w:rPr>
        <w:t>Thirdly, since Mrs Day never formed any intention to confer a beneficial interest in the property on the defendant, the recorder could only reject the claim for rectification if Mrs Day</w:t>
      </w:r>
      <w:r w:rsidR="00784479">
        <w:rPr>
          <w:color w:val="212121"/>
          <w:sz w:val="22"/>
          <w:szCs w:val="22"/>
        </w:rPr>
        <w:t>’</w:t>
      </w:r>
      <w:r w:rsidRPr="00C9066E">
        <w:rPr>
          <w:color w:val="212121"/>
          <w:sz w:val="22"/>
          <w:szCs w:val="22"/>
        </w:rPr>
        <w:t xml:space="preserve">s overriding intention was that the proposed transaction should be carried out in any way that </w:t>
      </w:r>
      <w:r w:rsidR="00784479">
        <w:rPr>
          <w:color w:val="212121"/>
          <w:sz w:val="22"/>
          <w:szCs w:val="22"/>
        </w:rPr>
        <w:t xml:space="preserve">[the solicitor] </w:t>
      </w:r>
      <w:r w:rsidRPr="00C9066E">
        <w:rPr>
          <w:color w:val="212121"/>
          <w:sz w:val="22"/>
          <w:szCs w:val="22"/>
        </w:rPr>
        <w:t xml:space="preserve">might choose. The recorder, however, never directly addressed that question. He found, on the mere basis of the grant of the general power of attorney, that </w:t>
      </w:r>
      <w:r w:rsidR="00784479">
        <w:rPr>
          <w:color w:val="212121"/>
          <w:sz w:val="22"/>
          <w:szCs w:val="22"/>
        </w:rPr>
        <w:t xml:space="preserve">[the solicitor] </w:t>
      </w:r>
      <w:r w:rsidRPr="00C9066E">
        <w:rPr>
          <w:color w:val="212121"/>
          <w:sz w:val="22"/>
          <w:szCs w:val="22"/>
        </w:rPr>
        <w:t>was authorised to execute the conveyance on such</w:t>
      </w:r>
      <w:r w:rsidR="00784479">
        <w:rPr>
          <w:color w:val="212121"/>
          <w:sz w:val="22"/>
          <w:szCs w:val="22"/>
        </w:rPr>
        <w:t xml:space="preserve"> </w:t>
      </w:r>
      <w:r w:rsidRPr="00C9066E">
        <w:rPr>
          <w:color w:val="212121"/>
          <w:sz w:val="22"/>
          <w:szCs w:val="22"/>
        </w:rPr>
        <w:t>terms as he saw fit to facilitate the Gateway mortgage. Not only was that analysis wrong for the reasons I have given, but it simply did not address the critical question of Mrs Day</w:t>
      </w:r>
      <w:r w:rsidR="00784479">
        <w:rPr>
          <w:color w:val="212121"/>
          <w:sz w:val="22"/>
          <w:szCs w:val="22"/>
        </w:rPr>
        <w:t>’</w:t>
      </w:r>
      <w:r w:rsidRPr="00C9066E">
        <w:rPr>
          <w:color w:val="212121"/>
          <w:sz w:val="22"/>
          <w:szCs w:val="22"/>
        </w:rPr>
        <w:t xml:space="preserve">s actual intention and, in so far as it had any relevance to that issue, the actual instructions given to </w:t>
      </w:r>
      <w:r w:rsidR="00784479">
        <w:rPr>
          <w:color w:val="212121"/>
          <w:sz w:val="22"/>
          <w:szCs w:val="22"/>
        </w:rPr>
        <w:t>[the solicitor]</w:t>
      </w:r>
      <w:r w:rsidRPr="00C9066E">
        <w:rPr>
          <w:color w:val="212121"/>
          <w:sz w:val="22"/>
          <w:szCs w:val="22"/>
        </w:rPr>
        <w:t>.</w:t>
      </w:r>
    </w:p>
    <w:p w14:paraId="082301A4" w14:textId="77777777" w:rsidR="00C9066E" w:rsidRPr="005639D3" w:rsidRDefault="00C9066E" w:rsidP="00816782">
      <w:pPr>
        <w:autoSpaceDE w:val="0"/>
        <w:spacing w:before="240" w:after="240"/>
        <w:ind w:left="1854" w:hanging="720"/>
        <w:jc w:val="both"/>
        <w:rPr>
          <w:sz w:val="22"/>
          <w:szCs w:val="22"/>
        </w:rPr>
      </w:pPr>
      <w:r w:rsidRPr="00C9066E">
        <w:rPr>
          <w:color w:val="212121"/>
          <w:sz w:val="22"/>
          <w:szCs w:val="22"/>
        </w:rPr>
        <w:t xml:space="preserve">28.  </w:t>
      </w:r>
      <w:r w:rsidR="00784479">
        <w:rPr>
          <w:color w:val="212121"/>
          <w:sz w:val="22"/>
          <w:szCs w:val="22"/>
        </w:rPr>
        <w:tab/>
      </w:r>
      <w:r w:rsidRPr="00C9066E">
        <w:rPr>
          <w:color w:val="212121"/>
          <w:sz w:val="22"/>
          <w:szCs w:val="22"/>
        </w:rPr>
        <w:t xml:space="preserve">In fact, apart from the generality of the power of attorney itself, there was no evidence that the intention of Mrs Day was that </w:t>
      </w:r>
      <w:r w:rsidR="007A7E54">
        <w:rPr>
          <w:color w:val="212121"/>
          <w:sz w:val="22"/>
          <w:szCs w:val="22"/>
        </w:rPr>
        <w:t xml:space="preserve">[the solicitor] </w:t>
      </w:r>
      <w:r w:rsidRPr="00C9066E">
        <w:rPr>
          <w:color w:val="212121"/>
          <w:sz w:val="22"/>
          <w:szCs w:val="22"/>
        </w:rPr>
        <w:t>could carry out the proposed transaction in any way he chose. The mere statement of such a possible intent shows its inherent improbability. It would mean that it would have been Mrs Day</w:t>
      </w:r>
      <w:r w:rsidR="007A7E54">
        <w:rPr>
          <w:color w:val="212121"/>
          <w:sz w:val="22"/>
          <w:szCs w:val="22"/>
        </w:rPr>
        <w:t>’</w:t>
      </w:r>
      <w:r w:rsidRPr="00C9066E">
        <w:rPr>
          <w:color w:val="212121"/>
          <w:sz w:val="22"/>
          <w:szCs w:val="22"/>
        </w:rPr>
        <w:t xml:space="preserve">s intention, and within </w:t>
      </w:r>
      <w:r w:rsidR="007A7E54">
        <w:rPr>
          <w:color w:val="212121"/>
          <w:sz w:val="22"/>
          <w:szCs w:val="22"/>
        </w:rPr>
        <w:t>[the solicitor’s]</w:t>
      </w:r>
      <w:r w:rsidRPr="00C9066E">
        <w:rPr>
          <w:color w:val="212121"/>
          <w:sz w:val="22"/>
          <w:szCs w:val="22"/>
        </w:rPr>
        <w:t xml:space="preserve"> actual authority, to permit Mr Froud to arrange for the property to be conveyed both legally and beneficially to the defendant alone. I cannot see how such a remarkable conclusion, so obviously against Mrs Day</w:t>
      </w:r>
      <w:r w:rsidR="007A7E54">
        <w:rPr>
          <w:color w:val="212121"/>
          <w:sz w:val="22"/>
          <w:szCs w:val="22"/>
        </w:rPr>
        <w:t>’</w:t>
      </w:r>
      <w:r w:rsidRPr="00C9066E">
        <w:rPr>
          <w:color w:val="212121"/>
          <w:sz w:val="22"/>
          <w:szCs w:val="22"/>
        </w:rPr>
        <w:t>s interests, could be supported by the mere existence of a general power of attorney or, indeed, anything short of the clearest evidence that those were her actual instructions.</w:t>
      </w:r>
      <w:r w:rsidR="007A7E54">
        <w:rPr>
          <w:color w:val="212121"/>
          <w:sz w:val="22"/>
          <w:szCs w:val="22"/>
        </w:rPr>
        <w:t>”</w:t>
      </w:r>
    </w:p>
    <w:p w14:paraId="4202B6DC" w14:textId="77777777" w:rsidR="00A6220E" w:rsidRDefault="00871111" w:rsidP="00816782">
      <w:pPr>
        <w:numPr>
          <w:ilvl w:val="1"/>
          <w:numId w:val="2"/>
        </w:numPr>
        <w:autoSpaceDE w:val="0"/>
        <w:spacing w:before="240" w:after="240"/>
        <w:jc w:val="both"/>
      </w:pPr>
      <w:r>
        <w:t xml:space="preserve">In these circumstances, the Court of Appeal concluded that </w:t>
      </w:r>
      <w:r w:rsidR="003A7D40">
        <w:t>Mrs Day’s instructions to her solicitor were to do what was necessary</w:t>
      </w:r>
      <w:r w:rsidR="00164256">
        <w:t>, consistently with Mrs Day’s best interests, to allow the property to be used to enable Terence to raise funds.</w:t>
      </w:r>
      <w:r w:rsidR="00C96133">
        <w:t xml:space="preserve"> The transfer of a beneficial interest in the property to Terence went beyond those </w:t>
      </w:r>
      <w:r w:rsidR="00C96133">
        <w:lastRenderedPageBreak/>
        <w:t>instructions</w:t>
      </w:r>
      <w:r w:rsidR="00DA202A">
        <w:t xml:space="preserve"> and the solicitor’s actual authority and was inconsistent with Mrs Day’s intention.</w:t>
      </w:r>
      <w:r w:rsidR="00DA202A">
        <w:rPr>
          <w:rStyle w:val="FootnoteReference"/>
        </w:rPr>
        <w:footnoteReference w:id="179"/>
      </w:r>
    </w:p>
    <w:p w14:paraId="7D2DFE4B" w14:textId="77777777" w:rsidR="00D25630" w:rsidRDefault="00A6220E" w:rsidP="007B1425">
      <w:pPr>
        <w:numPr>
          <w:ilvl w:val="1"/>
          <w:numId w:val="2"/>
        </w:numPr>
        <w:autoSpaceDE w:val="0"/>
        <w:spacing w:before="240" w:after="240"/>
        <w:jc w:val="both"/>
      </w:pPr>
      <w:r>
        <w:rPr>
          <w:i/>
          <w:iCs/>
        </w:rPr>
        <w:t xml:space="preserve">Day v. Day </w:t>
      </w:r>
      <w:r>
        <w:t xml:space="preserve">is of obvious relevance to </w:t>
      </w:r>
      <w:r w:rsidR="0049168C">
        <w:t xml:space="preserve">the present case. The Transfer of the Fund was a unilateral transaction, and there can be no question of Nizam VII being bound to a </w:t>
      </w:r>
      <w:r w:rsidR="00E579F9">
        <w:t xml:space="preserve">transaction within Moin’s </w:t>
      </w:r>
      <w:r w:rsidR="00E579F9">
        <w:rPr>
          <w:u w:val="single"/>
        </w:rPr>
        <w:t>ostensible</w:t>
      </w:r>
      <w:r w:rsidR="00E579F9">
        <w:t xml:space="preserve"> authority but outside </w:t>
      </w:r>
      <w:r w:rsidR="00C84706">
        <w:t>any</w:t>
      </w:r>
      <w:r w:rsidR="00E579F9">
        <w:t xml:space="preserve"> </w:t>
      </w:r>
      <w:r w:rsidR="00E579F9" w:rsidRPr="00C84706">
        <w:rPr>
          <w:u w:val="single"/>
        </w:rPr>
        <w:t>actual</w:t>
      </w:r>
      <w:r w:rsidR="00E579F9">
        <w:t xml:space="preserve"> authority </w:t>
      </w:r>
      <w:r w:rsidR="00C84706">
        <w:t xml:space="preserve">conferred on Moin </w:t>
      </w:r>
      <w:r w:rsidR="0009011E">
        <w:t>by Nizam VII</w:t>
      </w:r>
      <w:r w:rsidR="004F7982">
        <w:t xml:space="preserve">, as might be the case if Moin had executed a contract with a third party </w:t>
      </w:r>
      <w:r w:rsidR="001D50EB">
        <w:t>on the Nizam’s behalf</w:t>
      </w:r>
      <w:r w:rsidR="0009011E">
        <w:t>.</w:t>
      </w:r>
      <w:r w:rsidR="000C30B5">
        <w:t xml:space="preserve"> In this case:</w:t>
      </w:r>
    </w:p>
    <w:p w14:paraId="6881846C" w14:textId="77777777" w:rsidR="000C30B5" w:rsidRDefault="0073261E" w:rsidP="007B1425">
      <w:pPr>
        <w:numPr>
          <w:ilvl w:val="2"/>
          <w:numId w:val="2"/>
        </w:numPr>
        <w:autoSpaceDE w:val="0"/>
        <w:spacing w:before="240" w:after="240"/>
        <w:jc w:val="both"/>
      </w:pPr>
      <w:r>
        <w:rPr>
          <w:u w:val="single"/>
        </w:rPr>
        <w:t>If</w:t>
      </w:r>
      <w:r>
        <w:t>, contrary to my conclusion, Nizam VII</w:t>
      </w:r>
      <w:r w:rsidR="00A03B92">
        <w:t xml:space="preserve"> did give Moin authority to effect the Transfer, then (even if that authority had been broadly framed</w:t>
      </w:r>
      <w:r w:rsidR="007D63FC">
        <w:t xml:space="preserve"> so as to do anything necessary to safeguard the Fund, without limitation) </w:t>
      </w:r>
      <w:r w:rsidR="004C29D9">
        <w:t>the Nizam’s intention would have been to effect a qualified and not an absolute transfer.</w:t>
      </w:r>
    </w:p>
    <w:p w14:paraId="4BC202C4" w14:textId="77777777" w:rsidR="004C29D9" w:rsidRDefault="004C29D9" w:rsidP="007B1425">
      <w:pPr>
        <w:numPr>
          <w:ilvl w:val="2"/>
          <w:numId w:val="2"/>
        </w:numPr>
        <w:autoSpaceDE w:val="0"/>
        <w:spacing w:before="240" w:after="240"/>
        <w:jc w:val="both"/>
      </w:pPr>
      <w:r w:rsidRPr="004C29D9">
        <w:t xml:space="preserve">Had </w:t>
      </w:r>
      <w:r>
        <w:t xml:space="preserve">Moin sought to effect a transfer that was absolute, then </w:t>
      </w:r>
      <w:r w:rsidR="00700682">
        <w:t xml:space="preserve">– as </w:t>
      </w:r>
      <w:r w:rsidR="00700682">
        <w:rPr>
          <w:i/>
          <w:iCs/>
        </w:rPr>
        <w:t xml:space="preserve">Day v. Day </w:t>
      </w:r>
      <w:r w:rsidR="00700682">
        <w:t xml:space="preserve">shows – the transfer would have been rectified </w:t>
      </w:r>
      <w:r w:rsidR="00B6449D">
        <w:t xml:space="preserve">or read as being of the legal estate only. </w:t>
      </w:r>
    </w:p>
    <w:p w14:paraId="6CF109BE" w14:textId="77777777" w:rsidR="00B6449D" w:rsidRPr="004C29D9" w:rsidRDefault="00B6449D" w:rsidP="007B1425">
      <w:pPr>
        <w:numPr>
          <w:ilvl w:val="2"/>
          <w:numId w:val="2"/>
        </w:numPr>
        <w:autoSpaceDE w:val="0"/>
        <w:spacing w:before="240" w:after="240"/>
        <w:jc w:val="both"/>
      </w:pPr>
      <w:r>
        <w:t xml:space="preserve">As it happens, Moin did not seek to effect an absolute transfer. It is plain that </w:t>
      </w:r>
      <w:r w:rsidR="00EB7EEB">
        <w:t xml:space="preserve">– as I have described – he intended to create a trust in favour of Nizam VII. </w:t>
      </w:r>
    </w:p>
    <w:p w14:paraId="760FB77B" w14:textId="77777777" w:rsidR="00EB3319" w:rsidRDefault="00EB7EEB" w:rsidP="00EB3319">
      <w:pPr>
        <w:numPr>
          <w:ilvl w:val="1"/>
          <w:numId w:val="2"/>
        </w:numPr>
        <w:autoSpaceDE w:val="0"/>
        <w:spacing w:before="240" w:after="240"/>
        <w:jc w:val="both"/>
      </w:pPr>
      <w:r>
        <w:t xml:space="preserve">Accordingly, </w:t>
      </w:r>
      <w:r w:rsidR="00C444D8" w:rsidRPr="007B1425">
        <w:rPr>
          <w:u w:val="single"/>
        </w:rPr>
        <w:t>if</w:t>
      </w:r>
      <w:r w:rsidR="000A61F9">
        <w:t xml:space="preserve"> </w:t>
      </w:r>
      <w:r w:rsidR="007B1425">
        <w:t xml:space="preserve">(contrary to what I have found) </w:t>
      </w:r>
      <w:r w:rsidR="000A61F9">
        <w:t xml:space="preserve">Moin had the authority to make the transfer, an express trust came into being on 20 September 1948, </w:t>
      </w:r>
      <w:r w:rsidR="00934B0A">
        <w:t xml:space="preserve">as a result of which Rahimtoola held the Fund, in his capacity as High Commissioner, on trust for Nizam VII. </w:t>
      </w:r>
      <w:r w:rsidR="00836535">
        <w:t>As it is, because Moin had no such authority, no such express trust came into being.</w:t>
      </w:r>
    </w:p>
    <w:p w14:paraId="53FED475" w14:textId="77777777" w:rsidR="00631C85" w:rsidRDefault="00D9217D" w:rsidP="00EB3319">
      <w:pPr>
        <w:keepNext/>
        <w:tabs>
          <w:tab w:val="left" w:pos="567"/>
        </w:tabs>
        <w:autoSpaceDE w:val="0"/>
        <w:spacing w:before="240" w:after="240"/>
        <w:jc w:val="both"/>
        <w:rPr>
          <w:b/>
          <w:bCs/>
          <w:i/>
          <w:iCs/>
        </w:rPr>
      </w:pPr>
      <w:bookmarkStart w:id="3" w:name="_Hlk20309569"/>
      <w:r w:rsidRPr="00631C85">
        <w:rPr>
          <w:b/>
          <w:bCs/>
          <w:i/>
          <w:iCs/>
        </w:rPr>
        <w:t>(</w:t>
      </w:r>
      <w:r w:rsidR="00631C85" w:rsidRPr="00631C85">
        <w:rPr>
          <w:b/>
          <w:bCs/>
          <w:i/>
          <w:iCs/>
        </w:rPr>
        <w:t>c</w:t>
      </w:r>
      <w:r w:rsidRPr="00631C85">
        <w:rPr>
          <w:b/>
          <w:bCs/>
          <w:i/>
          <w:iCs/>
        </w:rPr>
        <w:t>)</w:t>
      </w:r>
      <w:r w:rsidRPr="00631C85">
        <w:rPr>
          <w:b/>
          <w:bCs/>
          <w:i/>
          <w:iCs/>
        </w:rPr>
        <w:tab/>
      </w:r>
      <w:r w:rsidR="00406EE8" w:rsidRPr="00631C85">
        <w:rPr>
          <w:b/>
          <w:bCs/>
          <w:i/>
          <w:iCs/>
        </w:rPr>
        <w:t>Constructive trust</w:t>
      </w:r>
    </w:p>
    <w:p w14:paraId="72296032" w14:textId="77777777" w:rsidR="00631C85" w:rsidRPr="00631C85" w:rsidRDefault="00631C85" w:rsidP="00EB3319">
      <w:pPr>
        <w:keepNext/>
        <w:tabs>
          <w:tab w:val="left" w:pos="567"/>
        </w:tabs>
        <w:autoSpaceDE w:val="0"/>
        <w:spacing w:before="240" w:after="240"/>
        <w:jc w:val="both"/>
        <w:rPr>
          <w:i/>
          <w:iCs/>
        </w:rPr>
      </w:pPr>
      <w:r w:rsidRPr="00631C85">
        <w:rPr>
          <w:i/>
          <w:iCs/>
        </w:rPr>
        <w:t>(i)</w:t>
      </w:r>
      <w:r w:rsidRPr="00631C85">
        <w:rPr>
          <w:i/>
          <w:iCs/>
        </w:rPr>
        <w:tab/>
        <w:t xml:space="preserve">The law </w:t>
      </w:r>
    </w:p>
    <w:p w14:paraId="385C5A3F" w14:textId="77777777" w:rsidR="00B47646" w:rsidRDefault="00D6371D" w:rsidP="00CE0EA8">
      <w:pPr>
        <w:numPr>
          <w:ilvl w:val="0"/>
          <w:numId w:val="2"/>
        </w:numPr>
        <w:autoSpaceDE w:val="0"/>
        <w:spacing w:before="240" w:after="240"/>
        <w:jc w:val="both"/>
      </w:pPr>
      <w:r>
        <w:t>The English law regarding constructive trusts and constructive trusteeship is notoriously wool</w:t>
      </w:r>
      <w:r w:rsidR="003D3C02">
        <w:t>l</w:t>
      </w:r>
      <w:r>
        <w:t>y</w:t>
      </w:r>
      <w:r w:rsidR="00CE0502">
        <w:t xml:space="preserve"> or – as </w:t>
      </w:r>
      <w:r w:rsidR="00CE0502">
        <w:rPr>
          <w:i/>
          <w:iCs/>
        </w:rPr>
        <w:t xml:space="preserve">Lewin </w:t>
      </w:r>
      <w:r w:rsidR="00CE0502">
        <w:t xml:space="preserve">describes it </w:t>
      </w:r>
      <w:r w:rsidR="00156884">
        <w:t>–</w:t>
      </w:r>
      <w:r w:rsidR="00CE0502">
        <w:t xml:space="preserve"> </w:t>
      </w:r>
      <w:r w:rsidR="00156884">
        <w:t>“an elusive creature”</w:t>
      </w:r>
      <w:r>
        <w:t>.</w:t>
      </w:r>
      <w:r w:rsidR="00156884">
        <w:rPr>
          <w:rStyle w:val="FootnoteReference"/>
        </w:rPr>
        <w:footnoteReference w:id="180"/>
      </w:r>
      <w:r>
        <w:t xml:space="preserve"> </w:t>
      </w:r>
      <w:r w:rsidR="00165A6D">
        <w:t xml:space="preserve">In </w:t>
      </w:r>
      <w:r w:rsidR="00165A6D">
        <w:rPr>
          <w:i/>
          <w:iCs/>
        </w:rPr>
        <w:t>Carl Zeiss Stiftung v. Herbert Smith &amp; Co (No 2)</w:t>
      </w:r>
      <w:r w:rsidR="00F53CD3">
        <w:t>, Edmund-Davies LJ noted:</w:t>
      </w:r>
      <w:r w:rsidR="00F53CD3">
        <w:rPr>
          <w:rStyle w:val="FootnoteReference"/>
        </w:rPr>
        <w:footnoteReference w:id="181"/>
      </w:r>
    </w:p>
    <w:p w14:paraId="49FEF4EF" w14:textId="77777777" w:rsidR="00337444" w:rsidRPr="00337444" w:rsidRDefault="00F53CD3" w:rsidP="00337444">
      <w:pPr>
        <w:autoSpaceDE w:val="0"/>
        <w:spacing w:before="240" w:after="240"/>
        <w:ind w:left="567"/>
        <w:jc w:val="both"/>
        <w:rPr>
          <w:sz w:val="22"/>
          <w:szCs w:val="22"/>
        </w:rPr>
      </w:pPr>
      <w:r w:rsidRPr="00337444">
        <w:rPr>
          <w:sz w:val="22"/>
          <w:szCs w:val="22"/>
        </w:rPr>
        <w:t>“</w:t>
      </w:r>
      <w:r w:rsidR="00337444" w:rsidRPr="00337444">
        <w:rPr>
          <w:color w:val="212121"/>
          <w:sz w:val="22"/>
          <w:szCs w:val="22"/>
          <w:lang w:eastAsia="en-GB"/>
        </w:rPr>
        <w:t>English law provides no clear and all-embracing definition of a constructive trust. Its boundaries have been left perhaps deliberately vague so as not to restrict the court in technicalities in deciding what the justice of a particular case might demand.”</w:t>
      </w:r>
    </w:p>
    <w:p w14:paraId="55074AB1" w14:textId="77777777" w:rsidR="00337444" w:rsidRDefault="00FC55FE" w:rsidP="008D7E75">
      <w:pPr>
        <w:numPr>
          <w:ilvl w:val="0"/>
          <w:numId w:val="2"/>
        </w:numPr>
        <w:autoSpaceDE w:val="0"/>
        <w:spacing w:before="240" w:after="240"/>
        <w:jc w:val="both"/>
        <w:rPr>
          <w:lang w:eastAsia="en-GB"/>
        </w:rPr>
      </w:pPr>
      <w:r>
        <w:rPr>
          <w:lang w:eastAsia="en-GB"/>
        </w:rPr>
        <w:t xml:space="preserve">As a result, the books agree that </w:t>
      </w:r>
      <w:r w:rsidR="00AE208D">
        <w:rPr>
          <w:lang w:eastAsia="en-GB"/>
        </w:rPr>
        <w:t xml:space="preserve">“[c]onstructive trusts can arise over a wide variety of </w:t>
      </w:r>
      <w:r w:rsidR="00AE208D" w:rsidRPr="007E35F2">
        <w:t>situations</w:t>
      </w:r>
      <w:r w:rsidR="00AE208D">
        <w:rPr>
          <w:lang w:eastAsia="en-GB"/>
        </w:rPr>
        <w:t>”</w:t>
      </w:r>
      <w:r w:rsidR="00F907FF">
        <w:rPr>
          <w:lang w:eastAsia="en-GB"/>
        </w:rPr>
        <w:t>,</w:t>
      </w:r>
      <w:r w:rsidR="00AE208D">
        <w:rPr>
          <w:rStyle w:val="FootnoteReference"/>
          <w:lang w:eastAsia="en-GB"/>
        </w:rPr>
        <w:footnoteReference w:id="182"/>
      </w:r>
      <w:r w:rsidR="00F907FF">
        <w:rPr>
          <w:lang w:eastAsia="en-GB"/>
        </w:rPr>
        <w:t xml:space="preserve"> but there is little consensus over </w:t>
      </w:r>
      <w:r w:rsidR="008D7E75">
        <w:rPr>
          <w:lang w:eastAsia="en-GB"/>
        </w:rPr>
        <w:t xml:space="preserve">what, exactly, these situations are. The Princes and India relied upon </w:t>
      </w:r>
      <w:r w:rsidR="004B2BBC">
        <w:rPr>
          <w:lang w:eastAsia="en-GB"/>
        </w:rPr>
        <w:t xml:space="preserve">what has been termed a </w:t>
      </w:r>
      <w:r w:rsidR="008D7E75">
        <w:rPr>
          <w:lang w:eastAsia="en-GB"/>
        </w:rPr>
        <w:t>constructive trust</w:t>
      </w:r>
      <w:r w:rsidR="004B2BBC" w:rsidRPr="004B2BBC">
        <w:t xml:space="preserve"> </w:t>
      </w:r>
      <w:r w:rsidR="004B2BBC">
        <w:t>of “the first kind”</w:t>
      </w:r>
      <w:r w:rsidR="008D7E75">
        <w:rPr>
          <w:lang w:eastAsia="en-GB"/>
        </w:rPr>
        <w:t>:</w:t>
      </w:r>
    </w:p>
    <w:p w14:paraId="13C94849" w14:textId="77777777" w:rsidR="00CE0EA8" w:rsidRDefault="008D7E75" w:rsidP="001D09B7">
      <w:pPr>
        <w:pStyle w:val="ListParagraph"/>
        <w:numPr>
          <w:ilvl w:val="1"/>
          <w:numId w:val="2"/>
        </w:numPr>
        <w:suppressAutoHyphens w:val="0"/>
        <w:autoSpaceDN/>
        <w:textAlignment w:val="auto"/>
        <w:rPr>
          <w:lang w:eastAsia="en-GB"/>
        </w:rPr>
      </w:pPr>
      <w:r>
        <w:rPr>
          <w:i/>
          <w:iCs/>
          <w:lang w:eastAsia="en-GB"/>
        </w:rPr>
        <w:t>Lewin</w:t>
      </w:r>
      <w:r>
        <w:rPr>
          <w:lang w:eastAsia="en-GB"/>
        </w:rPr>
        <w:t xml:space="preserve"> </w:t>
      </w:r>
      <w:r w:rsidR="0078423E">
        <w:t xml:space="preserve">describes </w:t>
      </w:r>
      <w:r w:rsidR="001D09B7">
        <w:t>a constructive trust</w:t>
      </w:r>
      <w:r w:rsidR="009C1D40">
        <w:t xml:space="preserve"> of “the first kind”</w:t>
      </w:r>
      <w:r w:rsidR="004B2BBC">
        <w:t xml:space="preserve"> in the following terms</w:t>
      </w:r>
      <w:r w:rsidR="009C1D40">
        <w:t>:</w:t>
      </w:r>
      <w:r w:rsidR="009C1D40">
        <w:rPr>
          <w:rStyle w:val="FootnoteReference"/>
        </w:rPr>
        <w:footnoteReference w:id="183"/>
      </w:r>
    </w:p>
    <w:p w14:paraId="2BE6E626" w14:textId="77777777" w:rsidR="00D6270D" w:rsidRPr="00D6270D" w:rsidRDefault="00D6270D" w:rsidP="001D09B7">
      <w:pPr>
        <w:autoSpaceDE w:val="0"/>
        <w:spacing w:before="240" w:after="240"/>
        <w:ind w:left="1134"/>
        <w:jc w:val="both"/>
        <w:rPr>
          <w:sz w:val="22"/>
          <w:szCs w:val="22"/>
        </w:rPr>
      </w:pPr>
      <w:r>
        <w:rPr>
          <w:sz w:val="22"/>
          <w:szCs w:val="22"/>
        </w:rPr>
        <w:lastRenderedPageBreak/>
        <w:t>“</w:t>
      </w:r>
      <w:r w:rsidR="00DF74F8">
        <w:rPr>
          <w:sz w:val="22"/>
          <w:szCs w:val="22"/>
        </w:rPr>
        <w:t xml:space="preserve">Constructive trusts of the first kind </w:t>
      </w:r>
      <w:r w:rsidR="008130B7">
        <w:rPr>
          <w:sz w:val="22"/>
          <w:szCs w:val="22"/>
        </w:rPr>
        <w:t xml:space="preserve">arise where </w:t>
      </w:r>
      <w:r w:rsidR="00394B64">
        <w:rPr>
          <w:sz w:val="22"/>
          <w:szCs w:val="22"/>
        </w:rPr>
        <w:t xml:space="preserve">persons have accepted or assumed the role of a trustee </w:t>
      </w:r>
      <w:r w:rsidR="00D43300">
        <w:rPr>
          <w:sz w:val="22"/>
          <w:szCs w:val="22"/>
        </w:rPr>
        <w:t xml:space="preserve">by transactions not </w:t>
      </w:r>
      <w:r w:rsidR="00D43300" w:rsidRPr="009359CB">
        <w:rPr>
          <w:sz w:val="22"/>
          <w:szCs w:val="22"/>
          <w:u w:val="single"/>
        </w:rPr>
        <w:t xml:space="preserve">impeached by the </w:t>
      </w:r>
      <w:r w:rsidR="00D15041" w:rsidRPr="009359CB">
        <w:rPr>
          <w:sz w:val="22"/>
          <w:szCs w:val="22"/>
          <w:u w:val="single"/>
        </w:rPr>
        <w:t>claimant</w:t>
      </w:r>
      <w:r w:rsidR="005B7848">
        <w:rPr>
          <w:sz w:val="22"/>
          <w:szCs w:val="22"/>
        </w:rPr>
        <w:t xml:space="preserve">, independently of, and preceding, any breach of duty. Such a constructive trustee </w:t>
      </w:r>
      <w:r w:rsidR="001B0D4C">
        <w:rPr>
          <w:sz w:val="22"/>
          <w:szCs w:val="22"/>
        </w:rPr>
        <w:t xml:space="preserve">really is a trustee. He does not receive the trust property in his own right, </w:t>
      </w:r>
      <w:r w:rsidR="001B0D4C" w:rsidRPr="009359CB">
        <w:rPr>
          <w:sz w:val="22"/>
          <w:szCs w:val="22"/>
          <w:u w:val="single"/>
        </w:rPr>
        <w:t xml:space="preserve">but by a transaction </w:t>
      </w:r>
      <w:r w:rsidR="00221416" w:rsidRPr="009359CB">
        <w:rPr>
          <w:sz w:val="22"/>
          <w:szCs w:val="22"/>
          <w:u w:val="single"/>
        </w:rPr>
        <w:t>which was intended to create a trust from the start</w:t>
      </w:r>
      <w:r w:rsidR="00221416">
        <w:rPr>
          <w:sz w:val="22"/>
          <w:szCs w:val="22"/>
        </w:rPr>
        <w:t xml:space="preserve">. The trustee’s possession of the property is coloured from the first by the trust </w:t>
      </w:r>
      <w:r w:rsidR="00784A99">
        <w:rPr>
          <w:sz w:val="22"/>
          <w:szCs w:val="22"/>
        </w:rPr>
        <w:t xml:space="preserve">and confidence by means of which he obtained it, and any subsequent appropriation </w:t>
      </w:r>
      <w:r w:rsidR="002015AF">
        <w:rPr>
          <w:sz w:val="22"/>
          <w:szCs w:val="22"/>
        </w:rPr>
        <w:t>of the property to his own use is a breach of that trust.”</w:t>
      </w:r>
    </w:p>
    <w:p w14:paraId="5417FA2C" w14:textId="77777777" w:rsidR="00D6270D" w:rsidRDefault="00185255" w:rsidP="001D09B7">
      <w:pPr>
        <w:autoSpaceDE w:val="0"/>
        <w:spacing w:before="240" w:after="240"/>
        <w:ind w:left="1134"/>
        <w:jc w:val="both"/>
      </w:pPr>
      <w:r>
        <w:rPr>
          <w:i/>
          <w:iCs/>
        </w:rPr>
        <w:t>Snell</w:t>
      </w:r>
      <w:r>
        <w:t xml:space="preserve"> </w:t>
      </w:r>
      <w:r w:rsidR="00C71782">
        <w:t xml:space="preserve">describes this sort of trust as </w:t>
      </w:r>
      <w:r w:rsidR="000056BE">
        <w:t xml:space="preserve">one “imposed on property to give effect </w:t>
      </w:r>
      <w:r w:rsidR="00A61988">
        <w:t>[to] a person’s intention to make a gift to another or to act as an express trustee</w:t>
      </w:r>
      <w:r w:rsidR="006511D3">
        <w:t>, but where the formalities necessary to give effect to the gift or the express trust have not been fully complied with”.</w:t>
      </w:r>
      <w:r w:rsidR="00F667CE">
        <w:rPr>
          <w:rStyle w:val="FootnoteReference"/>
        </w:rPr>
        <w:footnoteReference w:id="184"/>
      </w:r>
    </w:p>
    <w:p w14:paraId="36E556EE" w14:textId="77777777" w:rsidR="009F4B77" w:rsidRDefault="004B2BBC" w:rsidP="009F4B77">
      <w:pPr>
        <w:numPr>
          <w:ilvl w:val="1"/>
          <w:numId w:val="2"/>
        </w:numPr>
        <w:autoSpaceDE w:val="0"/>
        <w:spacing w:before="240" w:after="240"/>
        <w:jc w:val="both"/>
      </w:pPr>
      <w:r>
        <w:t>A</w:t>
      </w:r>
      <w:r w:rsidR="00D474B2">
        <w:t xml:space="preserve"> </w:t>
      </w:r>
      <w:r w:rsidR="003B37FA">
        <w:t xml:space="preserve">trusteeship </w:t>
      </w:r>
      <w:r w:rsidR="003B37FA">
        <w:rPr>
          <w:i/>
          <w:iCs/>
        </w:rPr>
        <w:t>de son tort</w:t>
      </w:r>
      <w:r w:rsidR="003B37FA">
        <w:rPr>
          <w:rStyle w:val="FootnoteReference"/>
        </w:rPr>
        <w:footnoteReference w:id="185"/>
      </w:r>
      <w:r w:rsidR="009F50CE">
        <w:t xml:space="preserve"> </w:t>
      </w:r>
      <w:r>
        <w:t>is one example of a constructive trust</w:t>
      </w:r>
      <w:r w:rsidR="00C35C0B">
        <w:t xml:space="preserve"> </w:t>
      </w:r>
      <w:r>
        <w:t xml:space="preserve">of the first kind. </w:t>
      </w:r>
      <w:r w:rsidR="009F50CE">
        <w:t xml:space="preserve">As to this form of constructive trust, </w:t>
      </w:r>
      <w:r w:rsidR="009F50CE">
        <w:rPr>
          <w:i/>
          <w:iCs/>
        </w:rPr>
        <w:t>Lewin</w:t>
      </w:r>
      <w:r w:rsidR="009F50CE">
        <w:t xml:space="preserve"> says this:</w:t>
      </w:r>
      <w:r w:rsidR="009F50CE">
        <w:rPr>
          <w:rStyle w:val="FootnoteReference"/>
        </w:rPr>
        <w:footnoteReference w:id="186"/>
      </w:r>
    </w:p>
    <w:p w14:paraId="1744C659" w14:textId="77777777" w:rsidR="008772BC" w:rsidRPr="009F4B77" w:rsidRDefault="009F4B77" w:rsidP="009F4B77">
      <w:pPr>
        <w:autoSpaceDE w:val="0"/>
        <w:spacing w:before="240" w:after="240"/>
        <w:ind w:left="1134"/>
        <w:jc w:val="both"/>
        <w:rPr>
          <w:sz w:val="22"/>
          <w:szCs w:val="22"/>
        </w:rPr>
      </w:pPr>
      <w:r w:rsidRPr="009F4B77">
        <w:rPr>
          <w:color w:val="212121"/>
          <w:sz w:val="22"/>
          <w:szCs w:val="22"/>
        </w:rPr>
        <w:t>“</w:t>
      </w:r>
      <w:r w:rsidR="000C31B5" w:rsidRPr="009F4B77">
        <w:rPr>
          <w:color w:val="212121"/>
          <w:sz w:val="22"/>
          <w:szCs w:val="22"/>
        </w:rPr>
        <w:t>If a person by mistake or otherwise assumes the character of trustee when it does not really belong to him, he becomes a trustee de son tort and he may be called to account by the beneficiaries for the money he has received under the colour of the trust.</w:t>
      </w:r>
      <w:r w:rsidR="000C31B5" w:rsidRPr="009F4B77">
        <w:rPr>
          <w:rStyle w:val="apple-converted-space"/>
          <w:color w:val="212121"/>
          <w:sz w:val="22"/>
          <w:szCs w:val="22"/>
        </w:rPr>
        <w:t> </w:t>
      </w:r>
      <w:r w:rsidR="000C31B5" w:rsidRPr="009F4B77">
        <w:rPr>
          <w:color w:val="212121"/>
          <w:sz w:val="22"/>
          <w:szCs w:val="22"/>
        </w:rPr>
        <w:t>A trustee de son tort closely resembles an express trustee</w:t>
      </w:r>
      <w:r w:rsidRPr="009F4B77">
        <w:rPr>
          <w:color w:val="212121"/>
          <w:sz w:val="22"/>
          <w:szCs w:val="22"/>
        </w:rPr>
        <w:t xml:space="preserve"> </w:t>
      </w:r>
      <w:r w:rsidR="000C31B5" w:rsidRPr="009F4B77">
        <w:rPr>
          <w:color w:val="212121"/>
          <w:sz w:val="22"/>
          <w:szCs w:val="22"/>
        </w:rPr>
        <w:t>and is a constructive trustee of the first kind in the classification of constructive trusts we have given earlier in this work.</w:t>
      </w:r>
      <w:r w:rsidR="000C31B5" w:rsidRPr="009F4B77">
        <w:rPr>
          <w:rStyle w:val="apple-converted-space"/>
          <w:color w:val="212121"/>
          <w:sz w:val="22"/>
          <w:szCs w:val="22"/>
        </w:rPr>
        <w:t> </w:t>
      </w:r>
      <w:r w:rsidR="000C31B5" w:rsidRPr="009F4B77">
        <w:rPr>
          <w:color w:val="212121"/>
          <w:sz w:val="22"/>
          <w:szCs w:val="22"/>
        </w:rPr>
        <w:t>The principle is that a person who assumes</w:t>
      </w:r>
      <w:r w:rsidRPr="009F4B77">
        <w:rPr>
          <w:color w:val="212121"/>
          <w:sz w:val="22"/>
          <w:szCs w:val="22"/>
        </w:rPr>
        <w:t xml:space="preserve"> </w:t>
      </w:r>
      <w:r w:rsidR="000C31B5" w:rsidRPr="009F4B77">
        <w:rPr>
          <w:color w:val="212121"/>
          <w:sz w:val="22"/>
          <w:szCs w:val="22"/>
        </w:rPr>
        <w:t>an office ought not to be in any better position than if he were what he pretends:</w:t>
      </w:r>
      <w:r w:rsidR="000C31B5" w:rsidRPr="009F4B77">
        <w:rPr>
          <w:rStyle w:val="apple-converted-space"/>
          <w:color w:val="212121"/>
          <w:sz w:val="22"/>
          <w:szCs w:val="22"/>
        </w:rPr>
        <w:t> </w:t>
      </w:r>
      <w:r w:rsidR="000C31B5" w:rsidRPr="009F4B77">
        <w:rPr>
          <w:color w:val="212121"/>
          <w:sz w:val="22"/>
          <w:szCs w:val="22"/>
        </w:rPr>
        <w:t>he is accountable as if he had the authority which has been assumed.</w:t>
      </w:r>
      <w:r w:rsidR="000C31B5" w:rsidRPr="009F4B77">
        <w:rPr>
          <w:rStyle w:val="apple-converted-space"/>
          <w:color w:val="212121"/>
          <w:sz w:val="22"/>
          <w:szCs w:val="22"/>
        </w:rPr>
        <w:t> </w:t>
      </w:r>
      <w:r w:rsidR="000C31B5" w:rsidRPr="009F4B77">
        <w:rPr>
          <w:color w:val="212121"/>
          <w:sz w:val="22"/>
          <w:szCs w:val="22"/>
        </w:rPr>
        <w:t>While it is essential, if a person is to become a trustee de son tort, that he consciously takes the office of trustee, it does not matter whether he knows all the trusts or the extent of his powers. For it is a trustee’s duty to acquaint himself with the trusts and his powers upon his taking office, and a trustee de son tort can be in no better position.</w:t>
      </w:r>
      <w:r w:rsidRPr="009F4B77">
        <w:rPr>
          <w:color w:val="212121"/>
          <w:sz w:val="22"/>
          <w:szCs w:val="22"/>
        </w:rPr>
        <w:t>”</w:t>
      </w:r>
    </w:p>
    <w:p w14:paraId="447A0EA9" w14:textId="77777777" w:rsidR="00701C13" w:rsidRPr="00477BFE" w:rsidRDefault="00477BFE" w:rsidP="005954FA">
      <w:pPr>
        <w:keepNext/>
        <w:tabs>
          <w:tab w:val="left" w:pos="567"/>
        </w:tabs>
        <w:autoSpaceDE w:val="0"/>
        <w:spacing w:before="240" w:after="240"/>
        <w:jc w:val="both"/>
        <w:rPr>
          <w:i/>
          <w:iCs/>
        </w:rPr>
      </w:pPr>
      <w:r>
        <w:rPr>
          <w:i/>
          <w:iCs/>
        </w:rPr>
        <w:t>(ii)</w:t>
      </w:r>
      <w:r>
        <w:rPr>
          <w:i/>
          <w:iCs/>
        </w:rPr>
        <w:tab/>
        <w:t>A constructive trust “of the first kind”</w:t>
      </w:r>
      <w:r w:rsidR="004B2D86">
        <w:rPr>
          <w:i/>
          <w:iCs/>
        </w:rPr>
        <w:t xml:space="preserve"> generally</w:t>
      </w:r>
    </w:p>
    <w:p w14:paraId="19914A6E" w14:textId="77777777" w:rsidR="00AD05C1" w:rsidRDefault="004B2BBC" w:rsidP="00CE0EA8">
      <w:pPr>
        <w:numPr>
          <w:ilvl w:val="0"/>
          <w:numId w:val="2"/>
        </w:numPr>
        <w:autoSpaceDE w:val="0"/>
        <w:spacing w:before="240" w:after="240"/>
        <w:jc w:val="both"/>
      </w:pPr>
      <w:r>
        <w:t xml:space="preserve">This is not a case </w:t>
      </w:r>
      <w:r w:rsidR="000769EA">
        <w:t xml:space="preserve">where </w:t>
      </w:r>
      <w:r w:rsidR="000E7B04">
        <w:t xml:space="preserve">it can be said that </w:t>
      </w:r>
      <w:r w:rsidR="000769EA">
        <w:t xml:space="preserve">there </w:t>
      </w:r>
      <w:r w:rsidR="000E7B04">
        <w:t>wa</w:t>
      </w:r>
      <w:r w:rsidR="00FA0E9D">
        <w:t xml:space="preserve">s an intention </w:t>
      </w:r>
      <w:r w:rsidR="001E49C0">
        <w:t>to create a trust, but where the necessary formalities to do so have not been complied with.</w:t>
      </w:r>
      <w:r>
        <w:t xml:space="preserve"> A</w:t>
      </w:r>
      <w:r w:rsidR="000769EA">
        <w:t>s I have found</w:t>
      </w:r>
      <w:r>
        <w:t>,</w:t>
      </w:r>
      <w:r w:rsidR="008D6728">
        <w:t xml:space="preserve"> there was </w:t>
      </w:r>
      <w:r w:rsidR="008D6728">
        <w:rPr>
          <w:u w:val="single"/>
        </w:rPr>
        <w:t>no</w:t>
      </w:r>
      <w:r w:rsidR="008D6728">
        <w:t xml:space="preserve"> intention on the part of Nizam VII to create any kind of trust. Had there been such an intention, an express trust would have arisen</w:t>
      </w:r>
      <w:r w:rsidR="0075792C">
        <w:t>.</w:t>
      </w:r>
      <w:r w:rsidR="0075792C">
        <w:rPr>
          <w:rStyle w:val="FootnoteReference"/>
        </w:rPr>
        <w:footnoteReference w:id="187"/>
      </w:r>
      <w:r w:rsidR="000E7B04">
        <w:t xml:space="preserve"> However, such an intention to create a trust is not required where the constructive trust alleged is a trusteeship </w:t>
      </w:r>
      <w:r w:rsidR="000E7B04">
        <w:rPr>
          <w:i/>
          <w:iCs/>
        </w:rPr>
        <w:t>de son tort</w:t>
      </w:r>
      <w:r w:rsidR="000E7B04">
        <w:t>.</w:t>
      </w:r>
    </w:p>
    <w:bookmarkEnd w:id="3"/>
    <w:p w14:paraId="75E11A0D" w14:textId="77777777" w:rsidR="0075792C" w:rsidRPr="000F2E99" w:rsidRDefault="0075792C" w:rsidP="00FB310D">
      <w:pPr>
        <w:keepNext/>
        <w:tabs>
          <w:tab w:val="left" w:pos="567"/>
        </w:tabs>
        <w:autoSpaceDE w:val="0"/>
        <w:spacing w:before="240" w:after="240"/>
        <w:jc w:val="both"/>
        <w:rPr>
          <w:i/>
          <w:lang w:val="fr-FR"/>
        </w:rPr>
      </w:pPr>
      <w:r w:rsidRPr="000F2E99">
        <w:rPr>
          <w:i/>
          <w:lang w:val="fr-FR"/>
        </w:rPr>
        <w:t>(i</w:t>
      </w:r>
      <w:r w:rsidR="008C6CD2" w:rsidRPr="000F2E99">
        <w:rPr>
          <w:i/>
          <w:lang w:val="fr-FR"/>
        </w:rPr>
        <w:t>ii</w:t>
      </w:r>
      <w:r w:rsidRPr="000F2E99">
        <w:rPr>
          <w:i/>
          <w:lang w:val="fr-FR"/>
        </w:rPr>
        <w:t>)</w:t>
      </w:r>
      <w:r w:rsidRPr="000F2E99">
        <w:rPr>
          <w:i/>
          <w:lang w:val="fr-FR"/>
        </w:rPr>
        <w:tab/>
      </w:r>
      <w:r w:rsidR="0008444C" w:rsidRPr="000F2E99">
        <w:rPr>
          <w:i/>
          <w:lang w:val="fr-FR"/>
        </w:rPr>
        <w:t>A trustee de son tort</w:t>
      </w:r>
    </w:p>
    <w:p w14:paraId="57B1587C" w14:textId="77777777" w:rsidR="004E1470" w:rsidRDefault="0008444C" w:rsidP="004E1470">
      <w:pPr>
        <w:numPr>
          <w:ilvl w:val="0"/>
          <w:numId w:val="2"/>
        </w:numPr>
        <w:autoSpaceDE w:val="0"/>
        <w:spacing w:before="240" w:after="240"/>
        <w:jc w:val="both"/>
      </w:pPr>
      <w:r>
        <w:t xml:space="preserve">I find that </w:t>
      </w:r>
      <w:r w:rsidR="00273145">
        <w:t xml:space="preserve">Rahimtoola, in his capacity as High Commissioner, was a trustee de son tort. </w:t>
      </w:r>
      <w:r w:rsidR="008077C6">
        <w:t xml:space="preserve">The label is – at least in this case – a misnomer for Rahimtoola </w:t>
      </w:r>
      <w:r w:rsidR="00621F58">
        <w:t xml:space="preserve">cannot be criticised for accepting the obligations of trustee in circumstances where </w:t>
      </w:r>
      <w:r w:rsidR="009E6380">
        <w:t xml:space="preserve">– unknown to him – </w:t>
      </w:r>
      <w:r w:rsidR="00621F58">
        <w:t>Moin had no authority</w:t>
      </w:r>
      <w:r w:rsidR="009E6380">
        <w:t xml:space="preserve">. </w:t>
      </w:r>
      <w:r w:rsidR="000050F9">
        <w:t xml:space="preserve">It is in this case clearer to say that Rahimtoola, as High Commissioner, </w:t>
      </w:r>
      <w:r w:rsidR="000050F9">
        <w:rPr>
          <w:i/>
          <w:iCs/>
        </w:rPr>
        <w:t>bona fide</w:t>
      </w:r>
      <w:r w:rsidR="000050F9">
        <w:t xml:space="preserve"> accepted the obligations to act as trustee for Nizam VII</w:t>
      </w:r>
      <w:r w:rsidR="00AB50B5">
        <w:t xml:space="preserve">, in circumstances where it appeared (particularly given that the </w:t>
      </w:r>
      <w:r w:rsidR="006B7570">
        <w:t>letter evincing his intention to act as trustee was dated 1</w:t>
      </w:r>
      <w:r w:rsidR="00B03AB8">
        <w:t>5</w:t>
      </w:r>
      <w:r w:rsidR="006B7570">
        <w:t xml:space="preserve"> September 1948, when Moin still had an official capacity) </w:t>
      </w:r>
      <w:r w:rsidR="00641970">
        <w:t xml:space="preserve">that Moin had </w:t>
      </w:r>
      <w:r w:rsidR="00641970">
        <w:lastRenderedPageBreak/>
        <w:t>authority to create this trust on behalf of Nizam VII.</w:t>
      </w:r>
      <w:r w:rsidR="00F54718">
        <w:t xml:space="preserve"> I accept India’s submission in paragraph 37 of her written submissions:</w:t>
      </w:r>
    </w:p>
    <w:p w14:paraId="499C7F50" w14:textId="77777777" w:rsidR="0049084A" w:rsidRPr="00F05D71" w:rsidRDefault="004E1470" w:rsidP="00F05D71">
      <w:pPr>
        <w:autoSpaceDE w:val="0"/>
        <w:spacing w:before="240" w:after="240"/>
        <w:ind w:left="567"/>
        <w:jc w:val="both"/>
        <w:rPr>
          <w:sz w:val="22"/>
          <w:szCs w:val="22"/>
        </w:rPr>
      </w:pPr>
      <w:r w:rsidRPr="004E1470">
        <w:rPr>
          <w:sz w:val="22"/>
          <w:szCs w:val="22"/>
          <w:lang w:eastAsia="en-GB"/>
        </w:rPr>
        <w:t xml:space="preserve">“All that is required for a finding of such a trust in this case is a conclusion that there was an intent on the part of the transferee that beneficial ownership was not to pass, and that the Fund would therefore be held on trust. If it were held, for example, that Rahimtoola or Pakistan had assumed the responsibility of acting as a trustee (by which it is meant that they had no intention to take beneficially), but for some reason they did not take as an express trustee then a constructive trust of this kind would arise and they would be a trustee de son tort (see </w:t>
      </w:r>
      <w:r w:rsidRPr="004E1470">
        <w:rPr>
          <w:i/>
          <w:sz w:val="22"/>
          <w:szCs w:val="22"/>
          <w:lang w:eastAsia="en-GB"/>
        </w:rPr>
        <w:t>Lewin</w:t>
      </w:r>
      <w:r w:rsidRPr="004E1470">
        <w:rPr>
          <w:sz w:val="22"/>
          <w:szCs w:val="22"/>
          <w:lang w:eastAsia="en-GB"/>
        </w:rPr>
        <w:t xml:space="preserve"> at </w:t>
      </w:r>
      <w:r>
        <w:rPr>
          <w:sz w:val="22"/>
          <w:szCs w:val="22"/>
          <w:lang w:eastAsia="en-GB"/>
        </w:rPr>
        <w:t>[</w:t>
      </w:r>
      <w:r w:rsidRPr="004E1470">
        <w:rPr>
          <w:sz w:val="22"/>
          <w:szCs w:val="22"/>
          <w:lang w:eastAsia="en-GB"/>
        </w:rPr>
        <w:t>7-015</w:t>
      </w:r>
      <w:r>
        <w:rPr>
          <w:sz w:val="22"/>
          <w:szCs w:val="22"/>
          <w:lang w:eastAsia="en-GB"/>
        </w:rPr>
        <w:t>]</w:t>
      </w:r>
      <w:r w:rsidRPr="004E1470">
        <w:rPr>
          <w:sz w:val="22"/>
          <w:szCs w:val="22"/>
          <w:lang w:eastAsia="en-GB"/>
        </w:rPr>
        <w:t xml:space="preserve">, </w:t>
      </w:r>
      <w:r>
        <w:rPr>
          <w:sz w:val="22"/>
          <w:szCs w:val="22"/>
          <w:lang w:eastAsia="en-GB"/>
        </w:rPr>
        <w:t>[</w:t>
      </w:r>
      <w:r w:rsidRPr="004E1470">
        <w:rPr>
          <w:sz w:val="22"/>
          <w:szCs w:val="22"/>
          <w:lang w:eastAsia="en-GB"/>
        </w:rPr>
        <w:t>7-017</w:t>
      </w:r>
      <w:r>
        <w:rPr>
          <w:sz w:val="22"/>
          <w:szCs w:val="22"/>
          <w:lang w:eastAsia="en-GB"/>
        </w:rPr>
        <w:t>]</w:t>
      </w:r>
      <w:r w:rsidRPr="004E1470">
        <w:rPr>
          <w:sz w:val="22"/>
          <w:szCs w:val="22"/>
          <w:lang w:eastAsia="en-GB"/>
        </w:rPr>
        <w:t xml:space="preserve">, </w:t>
      </w:r>
      <w:r>
        <w:rPr>
          <w:sz w:val="22"/>
          <w:szCs w:val="22"/>
          <w:lang w:eastAsia="en-GB"/>
        </w:rPr>
        <w:t>[</w:t>
      </w:r>
      <w:r w:rsidRPr="004E1470">
        <w:rPr>
          <w:sz w:val="22"/>
          <w:szCs w:val="22"/>
          <w:lang w:eastAsia="en-GB"/>
        </w:rPr>
        <w:t>42-101</w:t>
      </w:r>
      <w:r>
        <w:rPr>
          <w:sz w:val="22"/>
          <w:szCs w:val="22"/>
          <w:lang w:eastAsia="en-GB"/>
        </w:rPr>
        <w:t>]</w:t>
      </w:r>
      <w:r w:rsidRPr="004E1470">
        <w:rPr>
          <w:sz w:val="22"/>
          <w:szCs w:val="22"/>
          <w:lang w:eastAsia="en-GB"/>
        </w:rPr>
        <w:t>)</w:t>
      </w:r>
      <w:r>
        <w:rPr>
          <w:sz w:val="22"/>
          <w:szCs w:val="22"/>
          <w:lang w:eastAsia="en-GB"/>
        </w:rPr>
        <w:t>…</w:t>
      </w:r>
      <w:r w:rsidRPr="004E1470">
        <w:rPr>
          <w:sz w:val="22"/>
          <w:szCs w:val="22"/>
          <w:lang w:eastAsia="en-GB"/>
        </w:rPr>
        <w:t>a finding of such an assumption of responsibility by Rahimtoola or Pakistan is entirely justified on the facts now before the Court. A finding of such a trust may, moreover, be made without any finding as to the intention of the transferor.”</w:t>
      </w:r>
    </w:p>
    <w:p w14:paraId="13CCF9FB" w14:textId="77777777" w:rsidR="00BF35B5" w:rsidRPr="008C6CD2" w:rsidRDefault="00BF35B5" w:rsidP="009667DE">
      <w:pPr>
        <w:keepNext/>
        <w:tabs>
          <w:tab w:val="left" w:pos="567"/>
        </w:tabs>
        <w:autoSpaceDE w:val="0"/>
        <w:spacing w:before="240" w:after="240"/>
        <w:jc w:val="both"/>
        <w:rPr>
          <w:b/>
          <w:bCs/>
          <w:i/>
          <w:iCs/>
        </w:rPr>
      </w:pPr>
      <w:r w:rsidRPr="008C6CD2">
        <w:rPr>
          <w:b/>
          <w:bCs/>
          <w:i/>
          <w:iCs/>
        </w:rPr>
        <w:t>(</w:t>
      </w:r>
      <w:r w:rsidR="008C6CD2" w:rsidRPr="008C6CD2">
        <w:rPr>
          <w:b/>
          <w:bCs/>
          <w:i/>
          <w:iCs/>
        </w:rPr>
        <w:t>d</w:t>
      </w:r>
      <w:r w:rsidRPr="008C6CD2">
        <w:rPr>
          <w:b/>
          <w:bCs/>
          <w:i/>
          <w:iCs/>
        </w:rPr>
        <w:t>)</w:t>
      </w:r>
      <w:r w:rsidRPr="008C6CD2">
        <w:rPr>
          <w:b/>
          <w:bCs/>
          <w:i/>
          <w:iCs/>
        </w:rPr>
        <w:tab/>
        <w:t>Resulting trust</w:t>
      </w:r>
    </w:p>
    <w:p w14:paraId="399EC476" w14:textId="77777777" w:rsidR="005F31B6" w:rsidRPr="005F31B6" w:rsidRDefault="00206791" w:rsidP="00CE0EA8">
      <w:pPr>
        <w:numPr>
          <w:ilvl w:val="0"/>
          <w:numId w:val="2"/>
        </w:numPr>
        <w:autoSpaceDE w:val="0"/>
        <w:spacing w:before="240" w:after="240"/>
        <w:jc w:val="both"/>
        <w:rPr>
          <w:b/>
          <w:bCs/>
        </w:rPr>
      </w:pPr>
      <w:r>
        <w:t xml:space="preserve">A resulting trust can arise in two sets of circumstance, </w:t>
      </w:r>
      <w:r w:rsidR="005716BF">
        <w:t>only one of which is relevant in this case</w:t>
      </w:r>
      <w:r w:rsidR="00BD609B">
        <w:t xml:space="preserve">. </w:t>
      </w:r>
      <w:r w:rsidR="00AF09B4">
        <w:t xml:space="preserve">Lord Browne-Wilkinson described this sort of resulting trust in </w:t>
      </w:r>
      <w:r w:rsidR="00AF09B4">
        <w:rPr>
          <w:i/>
          <w:iCs/>
        </w:rPr>
        <w:t>Westdeutsche Landesbank Girozentrale v. Islington LBC</w:t>
      </w:r>
      <w:r w:rsidR="00950F9B">
        <w:t>:</w:t>
      </w:r>
      <w:r w:rsidR="00950F9B">
        <w:rPr>
          <w:rStyle w:val="FootnoteReference"/>
        </w:rPr>
        <w:footnoteReference w:id="188"/>
      </w:r>
      <w:r w:rsidR="00F6295E">
        <w:t xml:space="preserve"> </w:t>
      </w:r>
    </w:p>
    <w:p w14:paraId="1AE3B823" w14:textId="77777777" w:rsidR="000049AE" w:rsidRPr="005F31B6" w:rsidRDefault="00F6295E" w:rsidP="005F31B6">
      <w:pPr>
        <w:autoSpaceDE w:val="0"/>
        <w:spacing w:before="240" w:after="240"/>
        <w:ind w:left="567"/>
        <w:jc w:val="both"/>
        <w:rPr>
          <w:b/>
          <w:bCs/>
          <w:sz w:val="22"/>
          <w:szCs w:val="22"/>
        </w:rPr>
      </w:pPr>
      <w:r w:rsidRPr="005F31B6">
        <w:rPr>
          <w:sz w:val="22"/>
          <w:szCs w:val="22"/>
        </w:rPr>
        <w:t>“</w:t>
      </w:r>
      <w:r w:rsidR="005F31B6" w:rsidRPr="005F31B6">
        <w:rPr>
          <w:sz w:val="22"/>
          <w:szCs w:val="22"/>
        </w:rPr>
        <w:t>…</w:t>
      </w:r>
      <w:r w:rsidRPr="005F31B6">
        <w:rPr>
          <w:sz w:val="22"/>
          <w:szCs w:val="22"/>
        </w:rPr>
        <w:t xml:space="preserve">where </w:t>
      </w:r>
      <w:r w:rsidR="00DD6C50">
        <w:rPr>
          <w:sz w:val="22"/>
          <w:szCs w:val="22"/>
        </w:rPr>
        <w:t>A</w:t>
      </w:r>
      <w:r w:rsidRPr="005F31B6">
        <w:rPr>
          <w:sz w:val="22"/>
          <w:szCs w:val="22"/>
        </w:rPr>
        <w:t xml:space="preserve"> makes </w:t>
      </w:r>
      <w:r w:rsidR="00B62B02" w:rsidRPr="005F31B6">
        <w:rPr>
          <w:sz w:val="22"/>
          <w:szCs w:val="22"/>
        </w:rPr>
        <w:t xml:space="preserve">a voluntary payment to </w:t>
      </w:r>
      <w:r w:rsidR="00DD6C50">
        <w:rPr>
          <w:sz w:val="22"/>
          <w:szCs w:val="22"/>
        </w:rPr>
        <w:t>B</w:t>
      </w:r>
      <w:r w:rsidR="00F64EFE" w:rsidRPr="005F31B6">
        <w:rPr>
          <w:sz w:val="22"/>
          <w:szCs w:val="22"/>
        </w:rPr>
        <w:t xml:space="preserve">…there is a presumption that </w:t>
      </w:r>
      <w:r w:rsidR="00DD6C50">
        <w:rPr>
          <w:sz w:val="22"/>
          <w:szCs w:val="22"/>
        </w:rPr>
        <w:t>A</w:t>
      </w:r>
      <w:r w:rsidR="00F64EFE" w:rsidRPr="005F31B6">
        <w:rPr>
          <w:sz w:val="22"/>
          <w:szCs w:val="22"/>
        </w:rPr>
        <w:t xml:space="preserve"> did not intend to make a gift to </w:t>
      </w:r>
      <w:r w:rsidR="00DD6C50">
        <w:rPr>
          <w:sz w:val="22"/>
          <w:szCs w:val="22"/>
        </w:rPr>
        <w:t>B</w:t>
      </w:r>
      <w:r w:rsidR="007527B9" w:rsidRPr="005F31B6">
        <w:rPr>
          <w:sz w:val="22"/>
          <w:szCs w:val="22"/>
        </w:rPr>
        <w:t xml:space="preserve">: the money is held on trust for </w:t>
      </w:r>
      <w:r w:rsidR="00DD6C50">
        <w:rPr>
          <w:sz w:val="22"/>
          <w:szCs w:val="22"/>
        </w:rPr>
        <w:t>B</w:t>
      </w:r>
      <w:r w:rsidR="007527B9" w:rsidRPr="005F31B6">
        <w:rPr>
          <w:sz w:val="22"/>
          <w:szCs w:val="22"/>
        </w:rPr>
        <w:t>…It is important to stress that this is only a presumption</w:t>
      </w:r>
      <w:r w:rsidR="00DD6C50">
        <w:rPr>
          <w:sz w:val="22"/>
          <w:szCs w:val="22"/>
        </w:rPr>
        <w:t>,</w:t>
      </w:r>
      <w:r w:rsidR="007527B9" w:rsidRPr="005F31B6">
        <w:rPr>
          <w:sz w:val="22"/>
          <w:szCs w:val="22"/>
        </w:rPr>
        <w:t xml:space="preserve"> which presumption is easily rebutted </w:t>
      </w:r>
      <w:r w:rsidR="00DD6C50">
        <w:rPr>
          <w:sz w:val="22"/>
          <w:szCs w:val="22"/>
        </w:rPr>
        <w:t xml:space="preserve">either </w:t>
      </w:r>
      <w:r w:rsidR="00260DEB" w:rsidRPr="005F31B6">
        <w:rPr>
          <w:sz w:val="22"/>
          <w:szCs w:val="22"/>
        </w:rPr>
        <w:t xml:space="preserve">by </w:t>
      </w:r>
      <w:r w:rsidR="00DD6C50">
        <w:rPr>
          <w:sz w:val="22"/>
          <w:szCs w:val="22"/>
        </w:rPr>
        <w:t>the</w:t>
      </w:r>
      <w:r w:rsidR="00260DEB" w:rsidRPr="005F31B6">
        <w:rPr>
          <w:sz w:val="22"/>
          <w:szCs w:val="22"/>
        </w:rPr>
        <w:t xml:space="preserve"> counter-presumption of advancement or by direct evidence of </w:t>
      </w:r>
      <w:r w:rsidR="00DD6C50">
        <w:rPr>
          <w:sz w:val="22"/>
          <w:szCs w:val="22"/>
        </w:rPr>
        <w:t>A</w:t>
      </w:r>
      <w:r w:rsidR="00260DEB" w:rsidRPr="005F31B6">
        <w:rPr>
          <w:sz w:val="22"/>
          <w:szCs w:val="22"/>
        </w:rPr>
        <w:t>’s intention</w:t>
      </w:r>
      <w:r w:rsidR="005F31B6" w:rsidRPr="005F31B6">
        <w:rPr>
          <w:sz w:val="22"/>
          <w:szCs w:val="22"/>
        </w:rPr>
        <w:t>…”</w:t>
      </w:r>
      <w:r w:rsidR="00260DEB" w:rsidRPr="005F31B6">
        <w:rPr>
          <w:sz w:val="22"/>
          <w:szCs w:val="22"/>
        </w:rPr>
        <w:t xml:space="preserve"> </w:t>
      </w:r>
    </w:p>
    <w:p w14:paraId="2D1BE551" w14:textId="77777777" w:rsidR="00BD609B" w:rsidRPr="0034495D" w:rsidRDefault="005E3063" w:rsidP="00CE0EA8">
      <w:pPr>
        <w:numPr>
          <w:ilvl w:val="0"/>
          <w:numId w:val="2"/>
        </w:numPr>
        <w:autoSpaceDE w:val="0"/>
        <w:spacing w:before="240" w:after="240"/>
        <w:jc w:val="both"/>
        <w:rPr>
          <w:b/>
          <w:bCs/>
        </w:rPr>
      </w:pPr>
      <w:r>
        <w:t xml:space="preserve">As regards this type of </w:t>
      </w:r>
      <w:r w:rsidR="0034495D">
        <w:t xml:space="preserve">resulting trust, </w:t>
      </w:r>
      <w:r w:rsidR="0034495D">
        <w:rPr>
          <w:i/>
          <w:iCs/>
        </w:rPr>
        <w:t>Lewin</w:t>
      </w:r>
      <w:r w:rsidR="0034495D">
        <w:t xml:space="preserve"> says this:</w:t>
      </w:r>
      <w:r w:rsidR="0034495D">
        <w:rPr>
          <w:rStyle w:val="FootnoteReference"/>
        </w:rPr>
        <w:footnoteReference w:id="189"/>
      </w:r>
    </w:p>
    <w:p w14:paraId="22391CA9" w14:textId="77777777" w:rsidR="0034495D" w:rsidRPr="0034495D" w:rsidRDefault="0034495D" w:rsidP="0034495D">
      <w:pPr>
        <w:autoSpaceDE w:val="0"/>
        <w:spacing w:before="240" w:after="240"/>
        <w:ind w:left="567"/>
        <w:jc w:val="both"/>
        <w:rPr>
          <w:sz w:val="22"/>
          <w:szCs w:val="22"/>
          <w:lang w:eastAsia="en-GB"/>
        </w:rPr>
      </w:pPr>
      <w:r w:rsidRPr="0034495D">
        <w:rPr>
          <w:sz w:val="22"/>
          <w:szCs w:val="22"/>
          <w:lang w:eastAsia="en-GB"/>
        </w:rPr>
        <w:t xml:space="preserve">“In a case where the relationship between transferor and transferee is not such as to raise a presumption of advancement, the presumption of resulting trust, if applicable, will operate so that the transferor retains beneficial ownership if there is no evidence of the actual intention of the transferor…In such a case the presumption of resulting trust is crucial </w:t>
      </w:r>
      <w:r w:rsidRPr="0034495D">
        <w:rPr>
          <w:sz w:val="22"/>
          <w:szCs w:val="22"/>
        </w:rPr>
        <w:t>because</w:t>
      </w:r>
      <w:r w:rsidRPr="0034495D">
        <w:rPr>
          <w:sz w:val="22"/>
          <w:szCs w:val="22"/>
          <w:lang w:eastAsia="en-GB"/>
        </w:rPr>
        <w:t xml:space="preserve">, apart from the presumption, there would be no basis on which the transferor could claim to retain beneficial ownership against the person in whom the property is vested. But </w:t>
      </w:r>
      <w:r w:rsidR="00092E86">
        <w:rPr>
          <w:sz w:val="22"/>
          <w:szCs w:val="22"/>
          <w:lang w:eastAsia="en-GB"/>
        </w:rPr>
        <w:t xml:space="preserve">… </w:t>
      </w:r>
      <w:r w:rsidRPr="0034495D">
        <w:rPr>
          <w:sz w:val="22"/>
          <w:szCs w:val="22"/>
          <w:lang w:eastAsia="en-GB"/>
        </w:rPr>
        <w:t>the presumption of resulting trust is easily rebutted. The reason for this is that while a transferor may certainly have special reasons for wanting to retain the beneficial ownership of the property transferred, it is odd to presume, before one considers the evidence that that was his intention. It has therefore been said that the ‘so-called’ presumption of resulting trust is no more than a long stop to provide the answer when the relevant facts and circumstances fail to yield a solution. In other words the presumption of resulting trust is a fall-back when the evidence of the transferor’s actual intention does not establish whether he did or did not intend to make a gift.</w:t>
      </w:r>
    </w:p>
    <w:p w14:paraId="040D36C5" w14:textId="77777777" w:rsidR="0034495D" w:rsidRPr="0034495D" w:rsidRDefault="0034495D" w:rsidP="0034495D">
      <w:pPr>
        <w:autoSpaceDE w:val="0"/>
        <w:spacing w:before="240" w:after="240"/>
        <w:ind w:left="567"/>
        <w:jc w:val="both"/>
        <w:rPr>
          <w:sz w:val="22"/>
          <w:szCs w:val="22"/>
          <w:lang w:eastAsia="en-GB"/>
        </w:rPr>
      </w:pPr>
      <w:r w:rsidRPr="0034495D">
        <w:rPr>
          <w:sz w:val="22"/>
          <w:szCs w:val="22"/>
          <w:lang w:eastAsia="en-GB"/>
        </w:rPr>
        <w:t>…</w:t>
      </w:r>
    </w:p>
    <w:p w14:paraId="09FADFF6" w14:textId="77777777" w:rsidR="0034495D" w:rsidRPr="0034495D" w:rsidRDefault="0034495D" w:rsidP="0034495D">
      <w:pPr>
        <w:autoSpaceDE w:val="0"/>
        <w:spacing w:before="240" w:after="240"/>
        <w:ind w:left="567"/>
        <w:jc w:val="both"/>
        <w:rPr>
          <w:lang w:eastAsia="en-GB"/>
        </w:rPr>
      </w:pPr>
      <w:r w:rsidRPr="0034495D">
        <w:rPr>
          <w:sz w:val="22"/>
          <w:szCs w:val="22"/>
          <w:lang w:eastAsia="en-GB"/>
        </w:rPr>
        <w:t>It will be observed…that a resulting trust, whether based on a presumption, or on the evidence, is founded on a presumption or evidence as to the transferor’s intention. There is no requirement as such for the transferee to share or participate in that intention.”</w:t>
      </w:r>
    </w:p>
    <w:p w14:paraId="786EA346" w14:textId="77777777" w:rsidR="0034495D" w:rsidRPr="00D65115" w:rsidRDefault="00B45C5D" w:rsidP="00CE0EA8">
      <w:pPr>
        <w:numPr>
          <w:ilvl w:val="0"/>
          <w:numId w:val="2"/>
        </w:numPr>
        <w:autoSpaceDE w:val="0"/>
        <w:spacing w:before="240" w:after="240"/>
        <w:jc w:val="both"/>
        <w:rPr>
          <w:b/>
          <w:bCs/>
        </w:rPr>
      </w:pPr>
      <w:r>
        <w:t>If this were not a case of constructive trust – as I have found</w:t>
      </w:r>
      <w:r>
        <w:rPr>
          <w:rStyle w:val="FootnoteReference"/>
        </w:rPr>
        <w:footnoteReference w:id="190"/>
      </w:r>
      <w:r w:rsidR="009667DE">
        <w:t xml:space="preserve"> – </w:t>
      </w:r>
      <w:r>
        <w:t xml:space="preserve"> this would be a case of a resulting trust. The Transfer to Rahimtoola was entirely </w:t>
      </w:r>
      <w:r w:rsidR="006F4F18">
        <w:t xml:space="preserve">voluntary, and there is no evidence to support any suggestion that Nizam VII intended </w:t>
      </w:r>
      <w:r w:rsidR="00B95B1A">
        <w:t xml:space="preserve">to make a gift of the Fund </w:t>
      </w:r>
      <w:r w:rsidR="00B95B1A">
        <w:lastRenderedPageBreak/>
        <w:t>to either Pakistan or Rahimtoola.</w:t>
      </w:r>
      <w:r w:rsidR="0047600E">
        <w:t xml:space="preserve"> To the contrary, I consider that Nizam VII intended to retain his interest in the Fund.</w:t>
      </w:r>
      <w:r w:rsidR="00F0245E">
        <w:rPr>
          <w:rStyle w:val="FootnoteReference"/>
        </w:rPr>
        <w:footnoteReference w:id="191"/>
      </w:r>
    </w:p>
    <w:p w14:paraId="477ABC80" w14:textId="77777777" w:rsidR="00D65115" w:rsidRPr="00D65115" w:rsidRDefault="00D65115" w:rsidP="00F0245E">
      <w:pPr>
        <w:keepNext/>
        <w:tabs>
          <w:tab w:val="left" w:pos="567"/>
        </w:tabs>
        <w:autoSpaceDE w:val="0"/>
        <w:spacing w:before="240" w:after="240"/>
        <w:jc w:val="both"/>
        <w:rPr>
          <w:b/>
          <w:bCs/>
        </w:rPr>
      </w:pPr>
      <w:r>
        <w:rPr>
          <w:b/>
          <w:bCs/>
        </w:rPr>
        <w:t>(</w:t>
      </w:r>
      <w:r w:rsidR="008E7EC5">
        <w:rPr>
          <w:b/>
          <w:bCs/>
        </w:rPr>
        <w:t>4</w:t>
      </w:r>
      <w:r>
        <w:rPr>
          <w:b/>
          <w:bCs/>
        </w:rPr>
        <w:t>)</w:t>
      </w:r>
      <w:r>
        <w:rPr>
          <w:b/>
          <w:bCs/>
        </w:rPr>
        <w:tab/>
        <w:t xml:space="preserve">The question of “choice” as to trustee </w:t>
      </w:r>
      <w:r w:rsidR="0039492B">
        <w:rPr>
          <w:b/>
          <w:bCs/>
        </w:rPr>
        <w:t>and the Ispahani letter</w:t>
      </w:r>
    </w:p>
    <w:p w14:paraId="4A9E4EF2" w14:textId="77777777" w:rsidR="00D65115" w:rsidRDefault="006402D2" w:rsidP="00CE0EA8">
      <w:pPr>
        <w:numPr>
          <w:ilvl w:val="0"/>
          <w:numId w:val="2"/>
        </w:numPr>
        <w:autoSpaceDE w:val="0"/>
        <w:spacing w:before="240" w:after="240"/>
        <w:jc w:val="both"/>
      </w:pPr>
      <w:r>
        <w:t xml:space="preserve">In submissions before me, </w:t>
      </w:r>
      <w:r w:rsidR="00026EBF">
        <w:t xml:space="preserve">the Princes and India sought to rely upon the Ispahani letter, set out in paragraph </w:t>
      </w:r>
      <w:r w:rsidR="00C24468">
        <w:t>150</w:t>
      </w:r>
      <w:r w:rsidR="00026EBF">
        <w:t xml:space="preserve"> above, in support of their contention</w:t>
      </w:r>
      <w:r w:rsidR="00F62CCE">
        <w:t xml:space="preserve"> that </w:t>
      </w:r>
      <w:r w:rsidR="007B416D">
        <w:t>the Fund was held on trust by Rahimtoola in his private capacity rather than in his capacity as High Commissioner.</w:t>
      </w:r>
    </w:p>
    <w:p w14:paraId="36476897" w14:textId="77777777" w:rsidR="007B416D" w:rsidRDefault="00BD1782" w:rsidP="00CE0EA8">
      <w:pPr>
        <w:numPr>
          <w:ilvl w:val="0"/>
          <w:numId w:val="2"/>
        </w:numPr>
        <w:autoSpaceDE w:val="0"/>
        <w:spacing w:before="240" w:after="240"/>
        <w:jc w:val="both"/>
      </w:pPr>
      <w:r>
        <w:t xml:space="preserve">Obviously, </w:t>
      </w:r>
      <w:r w:rsidR="00660C95">
        <w:t xml:space="preserve">this is a document that I have taken into account when considering the intentions of the various parties, specifically those of Rahimtoola himself. </w:t>
      </w:r>
      <w:r w:rsidR="009B3E41">
        <w:t xml:space="preserve">It is certainly the case that the Ispahani letter shows </w:t>
      </w:r>
      <w:r w:rsidR="00E16DC3">
        <w:t xml:space="preserve">a sophisticated level of thinking as to how Pakistan should handle questions </w:t>
      </w:r>
      <w:r w:rsidR="006E235C">
        <w:t>as</w:t>
      </w:r>
      <w:r w:rsidR="00E16DC3">
        <w:t xml:space="preserve"> to </w:t>
      </w:r>
      <w:r w:rsidR="00F53BDF">
        <w:t>how the</w:t>
      </w:r>
      <w:r w:rsidR="00E16DC3">
        <w:t xml:space="preserve"> Fund </w:t>
      </w:r>
      <w:r w:rsidR="00F53BDF">
        <w:t xml:space="preserve">was held </w:t>
      </w:r>
      <w:r w:rsidR="00E16DC3">
        <w:t>going forward.</w:t>
      </w:r>
      <w:r w:rsidR="005A27D3">
        <w:t xml:space="preserve"> Pakistan was clearly aware that </w:t>
      </w:r>
      <w:r w:rsidR="005A27D3">
        <w:rPr>
          <w:u w:val="single"/>
        </w:rPr>
        <w:t>if</w:t>
      </w:r>
      <w:r w:rsidR="005A27D3">
        <w:t xml:space="preserve"> the Fund was held by Rahimtoola personally, the way would be paved for Nizam VII (</w:t>
      </w:r>
      <w:r w:rsidR="00665E5F">
        <w:t xml:space="preserve">and, through Nizam VII, India) to claim the Fund, whereas </w:t>
      </w:r>
      <w:r w:rsidR="00665E5F">
        <w:rPr>
          <w:u w:val="single"/>
        </w:rPr>
        <w:t>if</w:t>
      </w:r>
      <w:r w:rsidR="00665E5F">
        <w:t xml:space="preserve"> the Fund was held by Pakistan (</w:t>
      </w:r>
      <w:r w:rsidR="00665E5F">
        <w:rPr>
          <w:i/>
          <w:iCs/>
        </w:rPr>
        <w:t xml:space="preserve">i.e. </w:t>
      </w:r>
      <w:r w:rsidR="00665E5F">
        <w:t xml:space="preserve">by Rahimtoola as High Commissioner) </w:t>
      </w:r>
      <w:r w:rsidR="00616FFA">
        <w:t xml:space="preserve">the procedural bar of sovereign immunity could be invoked by Pakistan were Nizam VII to lay claim to the Fund. </w:t>
      </w:r>
      <w:r w:rsidR="009E4489">
        <w:t xml:space="preserve">Accordingly, Pakistan elected to make clear </w:t>
      </w:r>
      <w:r w:rsidR="00F53BDF">
        <w:t xml:space="preserve">that the Fund was held by Rahimtoola in his capacity as </w:t>
      </w:r>
      <w:r w:rsidR="00CA13D9">
        <w:t>High Commissioner.</w:t>
      </w:r>
    </w:p>
    <w:p w14:paraId="6C84380D" w14:textId="77777777" w:rsidR="006A74FD" w:rsidRDefault="00CA13D9" w:rsidP="00CE0EA8">
      <w:pPr>
        <w:numPr>
          <w:ilvl w:val="0"/>
          <w:numId w:val="2"/>
        </w:numPr>
        <w:autoSpaceDE w:val="0"/>
        <w:spacing w:before="240" w:after="240"/>
        <w:jc w:val="both"/>
      </w:pPr>
      <w:r>
        <w:t>The trust was constituted on 20 September 1948</w:t>
      </w:r>
      <w:r w:rsidR="00933064">
        <w:t xml:space="preserve">. It was either constituted with Rahimtoola as trustee in his personal capacity or in his capacity as High Commissioner. That is a question </w:t>
      </w:r>
      <w:r w:rsidR="000C77CC">
        <w:t xml:space="preserve">that must be resolved in light of all the evidence – and I have done so. The Ispahani letter is </w:t>
      </w:r>
      <w:r w:rsidR="00CA0234">
        <w:t xml:space="preserve">a good example of why I must treat Rahimtoola’s evidence with a degree of caution, and I have done so. But the Ispahani letter cannot </w:t>
      </w:r>
      <w:r w:rsidR="0044111C">
        <w:t xml:space="preserve">of itself </w:t>
      </w:r>
      <w:r w:rsidR="00865395">
        <w:t xml:space="preserve">affect the conclusion that I have reached on the basis of this evidence. The fact is that Pakistan might very well – in 1953 – debate how </w:t>
      </w:r>
      <w:r w:rsidR="004E3CA5">
        <w:t xml:space="preserve">its argument might be framed, but she could not, in 1953, alter the terms of the trust </w:t>
      </w:r>
      <w:r w:rsidR="00A3557A">
        <w:t>as created in 1948</w:t>
      </w:r>
      <w:r w:rsidR="00E3144A" w:rsidRPr="00E3144A">
        <w:t xml:space="preserve"> </w:t>
      </w:r>
      <w:r w:rsidR="00E3144A">
        <w:t xml:space="preserve">or the capacity of the trustee of that </w:t>
      </w:r>
      <w:r w:rsidR="006A74FD">
        <w:t>trust</w:t>
      </w:r>
      <w:r w:rsidR="00A3557A">
        <w:t>.</w:t>
      </w:r>
      <w:r w:rsidR="003F317C">
        <w:t xml:space="preserve"> The </w:t>
      </w:r>
      <w:r w:rsidR="00A94606">
        <w:t xml:space="preserve">Ispahani letter, in my judgment says nothing about the constitution of the trust in September 1948: it says a great deal about Pakistan’s </w:t>
      </w:r>
      <w:r w:rsidR="00BE7902">
        <w:t>approach in the 1954 Proceedings, but that is nothing to the point.</w:t>
      </w:r>
    </w:p>
    <w:p w14:paraId="27674AB4" w14:textId="77777777" w:rsidR="00A3557A" w:rsidRPr="004D4F91" w:rsidRDefault="006A74FD" w:rsidP="004D4F91">
      <w:pPr>
        <w:keepNext/>
        <w:tabs>
          <w:tab w:val="left" w:pos="567"/>
        </w:tabs>
        <w:autoSpaceDE w:val="0"/>
        <w:spacing w:before="240" w:after="240"/>
        <w:jc w:val="both"/>
        <w:rPr>
          <w:b/>
          <w:bCs/>
        </w:rPr>
      </w:pPr>
      <w:r w:rsidRPr="004D4F91">
        <w:rPr>
          <w:b/>
          <w:bCs/>
        </w:rPr>
        <w:t>(5)</w:t>
      </w:r>
      <w:r w:rsidRPr="004D4F91">
        <w:rPr>
          <w:b/>
          <w:bCs/>
        </w:rPr>
        <w:tab/>
      </w:r>
      <w:r w:rsidR="004D4F91" w:rsidRPr="004D4F91">
        <w:rPr>
          <w:b/>
          <w:bCs/>
        </w:rPr>
        <w:t>An absolute interest in Pakistan</w:t>
      </w:r>
      <w:r w:rsidR="00A3557A" w:rsidRPr="004D4F91">
        <w:rPr>
          <w:b/>
          <w:bCs/>
        </w:rPr>
        <w:t xml:space="preserve"> </w:t>
      </w:r>
    </w:p>
    <w:p w14:paraId="40A99828" w14:textId="77777777" w:rsidR="00CA13D9" w:rsidRDefault="00F819A5" w:rsidP="00CE0EA8">
      <w:pPr>
        <w:numPr>
          <w:ilvl w:val="0"/>
          <w:numId w:val="2"/>
        </w:numPr>
        <w:autoSpaceDE w:val="0"/>
        <w:spacing w:before="240" w:after="240"/>
        <w:jc w:val="both"/>
      </w:pPr>
      <w:r>
        <w:t xml:space="preserve">The inevitable corollary of my finding that the Fund </w:t>
      </w:r>
      <w:r w:rsidR="00CF296E">
        <w:t xml:space="preserve">is held on trust is that Pakistan cannot herself hold beneficially. </w:t>
      </w:r>
      <w:r w:rsidR="0083299C">
        <w:t xml:space="preserve">However, even apart from the findings that I have made </w:t>
      </w:r>
      <w:r w:rsidR="0065661D">
        <w:t xml:space="preserve">in </w:t>
      </w:r>
      <w:r w:rsidR="00B51B04">
        <w:t xml:space="preserve">the foregoing </w:t>
      </w:r>
      <w:r w:rsidR="0065661D">
        <w:t>paragraphs</w:t>
      </w:r>
      <w:r w:rsidR="001C0D9C">
        <w:t xml:space="preserve">, there are </w:t>
      </w:r>
      <w:r w:rsidR="00C84A1B">
        <w:t xml:space="preserve">other </w:t>
      </w:r>
      <w:r w:rsidR="001C0D9C">
        <w:t>reasons for finding that</w:t>
      </w:r>
      <w:r w:rsidR="00C84A1B">
        <w:t xml:space="preserve"> </w:t>
      </w:r>
      <w:r w:rsidR="00A45507">
        <w:t>Pakistan never held the Fund absolutely for itself:</w:t>
      </w:r>
    </w:p>
    <w:p w14:paraId="453F1C49" w14:textId="77777777" w:rsidR="00A45507" w:rsidRDefault="00A45507" w:rsidP="00A45507">
      <w:pPr>
        <w:numPr>
          <w:ilvl w:val="1"/>
          <w:numId w:val="2"/>
        </w:numPr>
        <w:autoSpaceDE w:val="0"/>
        <w:spacing w:before="240" w:after="240"/>
        <w:jc w:val="both"/>
      </w:pPr>
      <w:r>
        <w:t xml:space="preserve">I find Pakistan’s deliberate failure to assert </w:t>
      </w:r>
      <w:r w:rsidR="006F7D23">
        <w:t>a beneficial interest in the 1954 Proceedings to be telling.</w:t>
      </w:r>
      <w:r w:rsidR="006F7D23">
        <w:rPr>
          <w:rStyle w:val="FootnoteReference"/>
        </w:rPr>
        <w:footnoteReference w:id="192"/>
      </w:r>
      <w:r w:rsidR="00065646">
        <w:t xml:space="preserve"> Clearly, Pakistan could – successfully – assert </w:t>
      </w:r>
      <w:r w:rsidR="00B806F3">
        <w:t>sovereign immunity on the basis of her legal title to the Fund</w:t>
      </w:r>
      <w:r w:rsidR="00B1446B">
        <w:t xml:space="preserve"> and, as Lord Simonds noted,</w:t>
      </w:r>
      <w:r w:rsidR="00B1446B">
        <w:rPr>
          <w:rStyle w:val="FootnoteReference"/>
        </w:rPr>
        <w:footnoteReference w:id="193"/>
      </w:r>
      <w:r w:rsidR="00B1446B" w:rsidRPr="00B1446B">
        <w:t xml:space="preserve"> </w:t>
      </w:r>
      <w:r w:rsidR="00A64DB1">
        <w:t xml:space="preserve">Pakistan was </w:t>
      </w:r>
      <w:r w:rsidR="00B1446B">
        <w:t>not concerned to admit, assert or deny</w:t>
      </w:r>
      <w:r w:rsidR="00A64DB1">
        <w:t>:</w:t>
      </w:r>
      <w:r w:rsidR="00B1446B">
        <w:t xml:space="preserve"> </w:t>
      </w:r>
      <w:r w:rsidR="00A64DB1">
        <w:t>she had</w:t>
      </w:r>
      <w:r w:rsidR="00B1446B">
        <w:t xml:space="preserve"> the legal title, which </w:t>
      </w:r>
      <w:r w:rsidR="00A64DB1">
        <w:t>could not</w:t>
      </w:r>
      <w:r w:rsidR="00B1446B">
        <w:t xml:space="preserve"> be displaced except by litigation, which </w:t>
      </w:r>
      <w:r w:rsidR="00A64DB1">
        <w:t>Pakistan was</w:t>
      </w:r>
      <w:r w:rsidR="00B1446B">
        <w:t xml:space="preserve"> entitled to decline</w:t>
      </w:r>
      <w:r w:rsidR="00A64DB1">
        <w:t xml:space="preserve">. </w:t>
      </w:r>
      <w:r w:rsidR="007B2A65">
        <w:t xml:space="preserve">However, Pakistan’s assertion of a (disputed) beneficial interest would undoubtedly have strengthened her claim to sovereign immunity, and I find that </w:t>
      </w:r>
      <w:r w:rsidR="005166FC">
        <w:t xml:space="preserve">it </w:t>
      </w:r>
      <w:r w:rsidR="005166FC">
        <w:lastRenderedPageBreak/>
        <w:t xml:space="preserve">is a proper inference to draw that no such beneficial interest was asserted by Pakistan </w:t>
      </w:r>
      <w:r w:rsidR="00A43BAF">
        <w:t xml:space="preserve">because Pakistan considered that none existed. In resisting the Nizam’s claim a mere </w:t>
      </w:r>
      <w:r w:rsidR="00473D3D">
        <w:t xml:space="preserve">six years after the Transfer, Pakistan was, I consider, fulfilling the safeguarding function she had assumed in </w:t>
      </w:r>
      <w:r w:rsidR="00275C36">
        <w:t>1948: she was keeping the money out of the hands of India through the assertion of sovereign immunity</w:t>
      </w:r>
      <w:r w:rsidR="00EA709C">
        <w:t xml:space="preserve"> based on her legal interest alone</w:t>
      </w:r>
      <w:r w:rsidR="00275C36">
        <w:t>.</w:t>
      </w:r>
      <w:r w:rsidR="009C72F3">
        <w:t xml:space="preserve"> That was the only way she could</w:t>
      </w:r>
      <w:r w:rsidR="00C7424A">
        <w:t>, having no beneficial interest in the Fund herself.</w:t>
      </w:r>
      <w:r w:rsidR="00275C36">
        <w:t xml:space="preserve"> </w:t>
      </w:r>
    </w:p>
    <w:p w14:paraId="212CE99F" w14:textId="77777777" w:rsidR="00C860F8" w:rsidRDefault="00446D91" w:rsidP="00A45507">
      <w:pPr>
        <w:numPr>
          <w:ilvl w:val="1"/>
          <w:numId w:val="2"/>
        </w:numPr>
        <w:autoSpaceDE w:val="0"/>
        <w:spacing w:before="240" w:after="240"/>
        <w:jc w:val="both"/>
      </w:pPr>
      <w:r>
        <w:t xml:space="preserve">Although it would be very dangerous to attach </w:t>
      </w:r>
      <w:r w:rsidR="00096A17">
        <w:t>great weight to the negotiations that occurred between the various parties interested in the Fund after the 1954 Proceedings had ended, when it was clear that absent a settlement</w:t>
      </w:r>
      <w:r w:rsidR="004E3EF8">
        <w:t xml:space="preserve">, the Fund would simply remain with the Bank, I do gain some assistance from </w:t>
      </w:r>
      <w:r w:rsidR="00C86544">
        <w:t>a conversation Prince M</w:t>
      </w:r>
      <w:r w:rsidR="002F27A2">
        <w:t>uffakham ha</w:t>
      </w:r>
      <w:r w:rsidR="004266B2">
        <w:t>d</w:t>
      </w:r>
      <w:r w:rsidR="002F27A2">
        <w:t xml:space="preserve"> with I</w:t>
      </w:r>
      <w:r w:rsidR="0003155C">
        <w:t>kramullah:</w:t>
      </w:r>
    </w:p>
    <w:p w14:paraId="530B4F14" w14:textId="77777777" w:rsidR="0003155C" w:rsidRDefault="004A1A1C" w:rsidP="0003155C">
      <w:pPr>
        <w:numPr>
          <w:ilvl w:val="2"/>
          <w:numId w:val="2"/>
        </w:numPr>
        <w:autoSpaceDE w:val="0"/>
        <w:spacing w:before="240" w:after="240"/>
        <w:jc w:val="both"/>
      </w:pPr>
      <w:r>
        <w:t xml:space="preserve">Prince Muffakham describes the meeting in </w:t>
      </w:r>
      <w:r w:rsidR="00DC4A03">
        <w:t>Muffakham 2:</w:t>
      </w:r>
    </w:p>
    <w:p w14:paraId="73E595B1" w14:textId="77777777" w:rsidR="00E67D87" w:rsidRDefault="00DC4A03" w:rsidP="00E67D87">
      <w:pPr>
        <w:autoSpaceDE w:val="0"/>
        <w:spacing w:before="240" w:after="240"/>
        <w:ind w:left="2534" w:hanging="720"/>
        <w:jc w:val="both"/>
        <w:rPr>
          <w:sz w:val="22"/>
          <w:szCs w:val="22"/>
        </w:rPr>
      </w:pPr>
      <w:r>
        <w:rPr>
          <w:sz w:val="22"/>
          <w:szCs w:val="22"/>
        </w:rPr>
        <w:t>“</w:t>
      </w:r>
      <w:r w:rsidR="00E67D87">
        <w:rPr>
          <w:sz w:val="22"/>
          <w:szCs w:val="22"/>
        </w:rPr>
        <w:t>25.</w:t>
      </w:r>
      <w:r w:rsidR="00E67D87">
        <w:rPr>
          <w:sz w:val="22"/>
          <w:szCs w:val="22"/>
        </w:rPr>
        <w:tab/>
      </w:r>
      <w:r w:rsidR="00331106">
        <w:rPr>
          <w:sz w:val="22"/>
          <w:szCs w:val="22"/>
        </w:rPr>
        <w:t xml:space="preserve">A positive indication that Pakistan accepted that the Fund belonged to my grandfather </w:t>
      </w:r>
      <w:r w:rsidR="009A28FD">
        <w:rPr>
          <w:sz w:val="22"/>
          <w:szCs w:val="22"/>
        </w:rPr>
        <w:t xml:space="preserve">was given to me directly by </w:t>
      </w:r>
      <w:r w:rsidR="009177F2">
        <w:rPr>
          <w:sz w:val="22"/>
          <w:szCs w:val="22"/>
        </w:rPr>
        <w:t xml:space="preserve">Mr Mohammed </w:t>
      </w:r>
      <w:r w:rsidR="009A28FD">
        <w:rPr>
          <w:sz w:val="22"/>
          <w:szCs w:val="22"/>
        </w:rPr>
        <w:t xml:space="preserve">Ikramullah. </w:t>
      </w:r>
      <w:r w:rsidR="001C2714">
        <w:rPr>
          <w:sz w:val="22"/>
          <w:szCs w:val="22"/>
        </w:rPr>
        <w:t>I met him towards the end of 1957 (I do not recall the precise date</w:t>
      </w:r>
      <w:r w:rsidR="00D5457A">
        <w:rPr>
          <w:sz w:val="22"/>
          <w:szCs w:val="22"/>
        </w:rPr>
        <w:t>, but by reference to a letter sent to my mother by Lord Monckton dated 16 December 1957</w:t>
      </w:r>
      <w:r w:rsidR="009177F2">
        <w:rPr>
          <w:sz w:val="22"/>
          <w:szCs w:val="22"/>
        </w:rPr>
        <w:t xml:space="preserve">, I think it must have been before the date of that letter). </w:t>
      </w:r>
      <w:r w:rsidR="00BA3C76">
        <w:rPr>
          <w:sz w:val="22"/>
          <w:szCs w:val="22"/>
        </w:rPr>
        <w:t xml:space="preserve">Mr Ikramullah was at that time the High Commissioner of Pakistan in London. The meeting came about because I happened to be involved </w:t>
      </w:r>
      <w:r w:rsidR="001261DC">
        <w:rPr>
          <w:sz w:val="22"/>
          <w:szCs w:val="22"/>
        </w:rPr>
        <w:t>in the Islamic Society of Oxford University, where I was a student from October 1957</w:t>
      </w:r>
      <w:r w:rsidR="0094432A">
        <w:rPr>
          <w:sz w:val="22"/>
          <w:szCs w:val="22"/>
        </w:rPr>
        <w:t>, and Mr Ikramullah was kind enough</w:t>
      </w:r>
      <w:r w:rsidR="001335AE">
        <w:rPr>
          <w:sz w:val="22"/>
          <w:szCs w:val="22"/>
        </w:rPr>
        <w:t xml:space="preserve"> to visit the Society as a guest to speak at one of our functions. I was a member of the committee of the society</w:t>
      </w:r>
      <w:r w:rsidR="0094376E">
        <w:rPr>
          <w:sz w:val="22"/>
          <w:szCs w:val="22"/>
        </w:rPr>
        <w:t xml:space="preserve"> and therefore met him as he was received and later I had the opportunity to speak to him.</w:t>
      </w:r>
      <w:r w:rsidR="00983E8D">
        <w:rPr>
          <w:sz w:val="22"/>
          <w:szCs w:val="22"/>
        </w:rPr>
        <w:t xml:space="preserve"> Upon learning who I was (i.e. the grandson of [Nizam VII]</w:t>
      </w:r>
      <w:r w:rsidR="00446E0C">
        <w:rPr>
          <w:sz w:val="22"/>
          <w:szCs w:val="22"/>
        </w:rPr>
        <w:t>)</w:t>
      </w:r>
      <w:r w:rsidR="00983E8D">
        <w:rPr>
          <w:sz w:val="22"/>
          <w:szCs w:val="22"/>
        </w:rPr>
        <w:t xml:space="preserve"> he brought up the topic of the Fund and he said (speaking to me in Urdu) words to the effect of</w:t>
      </w:r>
      <w:r w:rsidR="005B6D5B">
        <w:rPr>
          <w:sz w:val="22"/>
          <w:szCs w:val="22"/>
        </w:rPr>
        <w:t>: this money belongs to you people, your family, and has only been kept with us on trust. The word he used which I have translated as “trust” was “amanat”.</w:t>
      </w:r>
    </w:p>
    <w:p w14:paraId="49ACA8ED" w14:textId="77777777" w:rsidR="00D257DF" w:rsidRDefault="00E67D87" w:rsidP="00E67D87">
      <w:pPr>
        <w:autoSpaceDE w:val="0"/>
        <w:spacing w:before="240" w:after="240"/>
        <w:ind w:left="2534" w:hanging="720"/>
        <w:jc w:val="both"/>
        <w:rPr>
          <w:sz w:val="22"/>
          <w:szCs w:val="22"/>
        </w:rPr>
      </w:pPr>
      <w:r>
        <w:rPr>
          <w:sz w:val="22"/>
          <w:szCs w:val="22"/>
        </w:rPr>
        <w:t>26.</w:t>
      </w:r>
      <w:r>
        <w:rPr>
          <w:sz w:val="22"/>
          <w:szCs w:val="22"/>
        </w:rPr>
        <w:tab/>
        <w:t>This was a striking conversation</w:t>
      </w:r>
      <w:r w:rsidR="00D90725">
        <w:rPr>
          <w:sz w:val="22"/>
          <w:szCs w:val="22"/>
        </w:rPr>
        <w:t xml:space="preserve"> because Mr Ikramullah was a most distinguished person</w:t>
      </w:r>
      <w:r w:rsidR="009832B3">
        <w:rPr>
          <w:sz w:val="22"/>
          <w:szCs w:val="22"/>
        </w:rPr>
        <w:t>. He had, I believe, been the first Foreign Secretary of Pakistan (i.e. a leading civil servant – equivalent to the Permanent Secretary of the Foreign Office in the UK) at the time of Partition</w:t>
      </w:r>
      <w:r w:rsidR="00780072">
        <w:rPr>
          <w:sz w:val="22"/>
          <w:szCs w:val="22"/>
        </w:rPr>
        <w:t xml:space="preserve">, and he was in post during Operation Polo. On the basis that Mr Ikramullah held this position, I would expect </w:t>
      </w:r>
      <w:r w:rsidR="00195224">
        <w:rPr>
          <w:sz w:val="22"/>
          <w:szCs w:val="22"/>
        </w:rPr>
        <w:t xml:space="preserve">that he must have been familiar with the circumstances of the transfer to Mr Rahimtoola. He certainly gave me the impression </w:t>
      </w:r>
      <w:r w:rsidR="00D257DF">
        <w:rPr>
          <w:sz w:val="22"/>
          <w:szCs w:val="22"/>
        </w:rPr>
        <w:t>that he well understood the situation when we met in 1957.</w:t>
      </w:r>
      <w:r w:rsidR="00A30695">
        <w:rPr>
          <w:sz w:val="22"/>
          <w:szCs w:val="22"/>
        </w:rPr>
        <w:t>”</w:t>
      </w:r>
    </w:p>
    <w:p w14:paraId="7FD96F39" w14:textId="77777777" w:rsidR="00DC4A03" w:rsidRDefault="00277E4F" w:rsidP="0003155C">
      <w:pPr>
        <w:numPr>
          <w:ilvl w:val="2"/>
          <w:numId w:val="2"/>
        </w:numPr>
        <w:autoSpaceDE w:val="0"/>
        <w:spacing w:before="240" w:after="240"/>
        <w:jc w:val="both"/>
      </w:pPr>
      <w:r w:rsidRPr="00277E4F">
        <w:t>The</w:t>
      </w:r>
      <w:r>
        <w:t xml:space="preserve"> letter from Monckton to </w:t>
      </w:r>
      <w:r w:rsidR="00DB3D21">
        <w:t>Prince Muffakham’s mother, referred to by Prince Muffakham, describes a conversation</w:t>
      </w:r>
      <w:r w:rsidR="0096581A">
        <w:t xml:space="preserve"> Monckton had </w:t>
      </w:r>
      <w:r w:rsidR="00857657">
        <w:t xml:space="preserve">with Ikramullah in December 1957, where they discussed a trust </w:t>
      </w:r>
      <w:r w:rsidR="00856078">
        <w:t xml:space="preserve">to be formed for the Nizam’s family. </w:t>
      </w:r>
      <w:r w:rsidR="0016504A">
        <w:t>It is quite clear, from later negotiations (which came to nothing)</w:t>
      </w:r>
      <w:r w:rsidR="007C4F90">
        <w:t>,</w:t>
      </w:r>
      <w:r w:rsidR="0016504A">
        <w:t xml:space="preserve"> that Pakistan continued to be concerned to ensure that India did not benefit from any payment of the money</w:t>
      </w:r>
      <w:r w:rsidR="00EF37DF">
        <w:t>, and that is no doubt why discussions between Ikramullah and Monckton focussed on a trust for the benefit of the Nizam’s family, rather than returning the Fund to Nizam VII</w:t>
      </w:r>
      <w:r w:rsidR="0016504A">
        <w:t>.</w:t>
      </w:r>
      <w:r w:rsidR="00EF37DF">
        <w:t xml:space="preserve"> The let</w:t>
      </w:r>
      <w:r w:rsidR="00206F7A">
        <w:t>t</w:t>
      </w:r>
      <w:r w:rsidR="00EF37DF">
        <w:t>er</w:t>
      </w:r>
      <w:r w:rsidR="00206F7A">
        <w:t xml:space="preserve"> concluded:</w:t>
      </w:r>
    </w:p>
    <w:p w14:paraId="538CE9D2" w14:textId="77777777" w:rsidR="00206F7A" w:rsidRPr="00206F7A" w:rsidRDefault="00206F7A" w:rsidP="00206F7A">
      <w:pPr>
        <w:autoSpaceDE w:val="0"/>
        <w:spacing w:before="240" w:after="240"/>
        <w:ind w:left="1814"/>
        <w:jc w:val="both"/>
        <w:rPr>
          <w:sz w:val="22"/>
          <w:szCs w:val="22"/>
        </w:rPr>
      </w:pPr>
      <w:r>
        <w:rPr>
          <w:sz w:val="22"/>
          <w:szCs w:val="22"/>
        </w:rPr>
        <w:lastRenderedPageBreak/>
        <w:t>“I understand from Mr Ikramullah</w:t>
      </w:r>
      <w:r w:rsidR="00BC4A7E">
        <w:rPr>
          <w:sz w:val="22"/>
          <w:szCs w:val="22"/>
        </w:rPr>
        <w:t xml:space="preserve"> that he had given [Prince Muffakham] an inkling of what was in his mind when they met just before [Prince Muffakham]</w:t>
      </w:r>
      <w:r w:rsidR="00510E24">
        <w:rPr>
          <w:sz w:val="22"/>
          <w:szCs w:val="22"/>
        </w:rPr>
        <w:t xml:space="preserve"> came out to you.”</w:t>
      </w:r>
    </w:p>
    <w:p w14:paraId="5FF310E7" w14:textId="77777777" w:rsidR="00E828E1" w:rsidRDefault="00510E24" w:rsidP="0003155C">
      <w:pPr>
        <w:numPr>
          <w:ilvl w:val="2"/>
          <w:numId w:val="2"/>
        </w:numPr>
        <w:autoSpaceDE w:val="0"/>
        <w:spacing w:before="240" w:after="240"/>
        <w:jc w:val="both"/>
      </w:pPr>
      <w:r>
        <w:t>Prince Muffakham – in his oral evidence – confirmed his evidence in Muffakham 2</w:t>
      </w:r>
      <w:r w:rsidR="00E828E1">
        <w:t>, and his evidence is, of course, corroborated by Monckton’s letter</w:t>
      </w:r>
      <w:r>
        <w:t>.</w:t>
      </w:r>
      <w:r w:rsidR="00E828E1">
        <w:t xml:space="preserve"> I believe what he says.</w:t>
      </w:r>
    </w:p>
    <w:p w14:paraId="0ADC522D" w14:textId="77777777" w:rsidR="00206F7A" w:rsidRPr="00277E4F" w:rsidRDefault="00E828E1" w:rsidP="0003155C">
      <w:pPr>
        <w:numPr>
          <w:ilvl w:val="2"/>
          <w:numId w:val="2"/>
        </w:numPr>
        <w:autoSpaceDE w:val="0"/>
        <w:spacing w:before="240" w:after="240"/>
        <w:jc w:val="both"/>
      </w:pPr>
      <w:r>
        <w:t>It seems to me that I can infer from th</w:t>
      </w:r>
      <w:r w:rsidR="0037576C">
        <w:t xml:space="preserve">e conversation Ikramullah had with Prince Muffakham that </w:t>
      </w:r>
      <w:r w:rsidR="00DA15E5">
        <w:t xml:space="preserve">Ikramullah’s and, therefore, </w:t>
      </w:r>
      <w:r w:rsidR="0037576C">
        <w:t xml:space="preserve">Pakistan’s then understanding was that </w:t>
      </w:r>
      <w:r w:rsidR="00DA15E5">
        <w:t>Pakistan</w:t>
      </w:r>
      <w:r w:rsidR="0037576C">
        <w:t xml:space="preserve"> had </w:t>
      </w:r>
      <w:r w:rsidR="007C5465">
        <w:t xml:space="preserve">herself </w:t>
      </w:r>
      <w:r w:rsidR="0037576C">
        <w:t>no</w:t>
      </w:r>
      <w:r w:rsidR="007C5465">
        <w:t xml:space="preserve"> beneficial interest in the Fund.</w:t>
      </w:r>
      <w:r w:rsidR="00DA15E5">
        <w:t xml:space="preserve"> </w:t>
      </w:r>
      <w:r w:rsidR="00B461DB">
        <w:t xml:space="preserve">I consider that I can draw this inference because </w:t>
      </w:r>
      <w:r w:rsidR="006332F4">
        <w:t>Ikra</w:t>
      </w:r>
      <w:r w:rsidR="002116A1">
        <w:t xml:space="preserve">mullah was Pakistan’s successor as High Commissioner, who would have been well aware of the history of the </w:t>
      </w:r>
      <w:r w:rsidR="006334D3">
        <w:t>Fund and the Transfer, as the Ikramullah letter, if nothing else, demonstrates.</w:t>
      </w:r>
      <w:r w:rsidR="00A0343E">
        <w:t xml:space="preserve"> Ikramullah would have known </w:t>
      </w:r>
      <w:r w:rsidR="00242084">
        <w:t xml:space="preserve">that it was Pakistan’s position that he – the High Commissioner – held </w:t>
      </w:r>
      <w:r w:rsidR="00276052">
        <w:t>the Fund as such</w:t>
      </w:r>
      <w:r w:rsidR="0062160F">
        <w:t xml:space="preserve">. When speaking of the Fund, he must have appreciated that </w:t>
      </w:r>
      <w:r w:rsidR="00730A02">
        <w:t xml:space="preserve">he could only be speaking in an official capacity. </w:t>
      </w:r>
    </w:p>
    <w:p w14:paraId="41493D2C" w14:textId="77777777" w:rsidR="00814669" w:rsidRPr="008D048A" w:rsidRDefault="008D048A" w:rsidP="00BA2658">
      <w:pPr>
        <w:keepNext/>
        <w:tabs>
          <w:tab w:val="left" w:pos="567"/>
        </w:tabs>
        <w:autoSpaceDE w:val="0"/>
        <w:spacing w:before="240" w:after="240"/>
        <w:jc w:val="both"/>
        <w:rPr>
          <w:b/>
          <w:bCs/>
        </w:rPr>
      </w:pPr>
      <w:r>
        <w:rPr>
          <w:b/>
          <w:bCs/>
        </w:rPr>
        <w:t>(</w:t>
      </w:r>
      <w:r w:rsidR="004D4F91">
        <w:rPr>
          <w:b/>
          <w:bCs/>
        </w:rPr>
        <w:t>6</w:t>
      </w:r>
      <w:r>
        <w:rPr>
          <w:b/>
          <w:bCs/>
        </w:rPr>
        <w:t>)</w:t>
      </w:r>
      <w:r>
        <w:rPr>
          <w:b/>
          <w:bCs/>
        </w:rPr>
        <w:tab/>
        <w:t>Conclusions</w:t>
      </w:r>
    </w:p>
    <w:p w14:paraId="31BC9CFF" w14:textId="77777777" w:rsidR="00814669" w:rsidRDefault="00730A02" w:rsidP="00CE0EA8">
      <w:pPr>
        <w:numPr>
          <w:ilvl w:val="0"/>
          <w:numId w:val="2"/>
        </w:numPr>
        <w:autoSpaceDE w:val="0"/>
        <w:spacing w:before="240" w:after="240"/>
        <w:jc w:val="both"/>
      </w:pPr>
      <w:r>
        <w:t>For the reasons I have given, I find that:</w:t>
      </w:r>
    </w:p>
    <w:p w14:paraId="2BDFBE93" w14:textId="77777777" w:rsidR="00730A02" w:rsidRDefault="00730A02" w:rsidP="00730A02">
      <w:pPr>
        <w:numPr>
          <w:ilvl w:val="1"/>
          <w:numId w:val="2"/>
        </w:numPr>
        <w:autoSpaceDE w:val="0"/>
        <w:spacing w:before="240" w:after="240"/>
        <w:jc w:val="both"/>
      </w:pPr>
      <w:r>
        <w:t>The Fund was held originally by Rahimtoola as High Commissioner and thereafter by his successors as High Commissioner.</w:t>
      </w:r>
    </w:p>
    <w:p w14:paraId="419EE25F" w14:textId="77777777" w:rsidR="00730A02" w:rsidRDefault="00730A02" w:rsidP="00730A02">
      <w:pPr>
        <w:numPr>
          <w:ilvl w:val="1"/>
          <w:numId w:val="2"/>
        </w:numPr>
        <w:autoSpaceDE w:val="0"/>
        <w:spacing w:before="240" w:after="240"/>
        <w:jc w:val="both"/>
      </w:pPr>
      <w:r>
        <w:t xml:space="preserve">However, the Fund was not held absolutely </w:t>
      </w:r>
      <w:r w:rsidR="00BA2658">
        <w:t>for Pakistan, but was held on trust. The trust was a constructive trust alternatively a resulting trust.</w:t>
      </w:r>
    </w:p>
    <w:p w14:paraId="075F2F9B" w14:textId="77777777" w:rsidR="00BA2658" w:rsidRPr="008D048A" w:rsidRDefault="00BA2658" w:rsidP="00730A02">
      <w:pPr>
        <w:numPr>
          <w:ilvl w:val="1"/>
          <w:numId w:val="2"/>
        </w:numPr>
        <w:autoSpaceDE w:val="0"/>
        <w:spacing w:before="240" w:after="240"/>
        <w:jc w:val="both"/>
      </w:pPr>
      <w:r>
        <w:t xml:space="preserve">The Fund was not held on an express trust, because Moin acted outwith his authority from Nizam VII when making the transfer. If, contrary to this finding, Moin </w:t>
      </w:r>
      <w:r>
        <w:rPr>
          <w:u w:val="single"/>
        </w:rPr>
        <w:t>was</w:t>
      </w:r>
      <w:r>
        <w:t xml:space="preserve"> authorised by the Nizam, then an express trust</w:t>
      </w:r>
      <w:r w:rsidR="00292D05">
        <w:t xml:space="preserve"> would have arisen</w:t>
      </w:r>
      <w:r>
        <w:t>.</w:t>
      </w:r>
    </w:p>
    <w:p w14:paraId="69B1FFA8" w14:textId="77777777" w:rsidR="001C2485" w:rsidRPr="001C2485" w:rsidRDefault="00D032F8" w:rsidP="006B6451">
      <w:pPr>
        <w:keepNext/>
        <w:tabs>
          <w:tab w:val="left" w:pos="567"/>
        </w:tabs>
        <w:autoSpaceDE w:val="0"/>
        <w:spacing w:before="240" w:after="240"/>
        <w:jc w:val="both"/>
        <w:rPr>
          <w:b/>
          <w:bCs/>
        </w:rPr>
      </w:pPr>
      <w:r>
        <w:rPr>
          <w:b/>
          <w:bCs/>
        </w:rPr>
        <w:t>I.</w:t>
      </w:r>
      <w:r w:rsidR="001C2485">
        <w:rPr>
          <w:b/>
          <w:bCs/>
        </w:rPr>
        <w:tab/>
      </w:r>
      <w:r w:rsidR="00791F71">
        <w:rPr>
          <w:b/>
          <w:bCs/>
        </w:rPr>
        <w:t>NO TRUST IN ANY EVENT</w:t>
      </w:r>
    </w:p>
    <w:p w14:paraId="6CA9D2A1" w14:textId="77777777" w:rsidR="00D262E7" w:rsidRPr="00D262E7" w:rsidRDefault="00D262E7" w:rsidP="006B6451">
      <w:pPr>
        <w:keepNext/>
        <w:tabs>
          <w:tab w:val="left" w:pos="567"/>
        </w:tabs>
        <w:autoSpaceDE w:val="0"/>
        <w:spacing w:before="240" w:after="240"/>
        <w:jc w:val="both"/>
        <w:rPr>
          <w:b/>
          <w:bCs/>
        </w:rPr>
      </w:pPr>
      <w:r w:rsidRPr="00D262E7">
        <w:rPr>
          <w:b/>
          <w:bCs/>
        </w:rPr>
        <w:t>(1)</w:t>
      </w:r>
      <w:r w:rsidRPr="00D262E7">
        <w:rPr>
          <w:b/>
          <w:bCs/>
        </w:rPr>
        <w:tab/>
        <w:t>Introduction</w:t>
      </w:r>
    </w:p>
    <w:p w14:paraId="4A025B54" w14:textId="77777777" w:rsidR="001C2485" w:rsidRDefault="003A66AD" w:rsidP="00CE0EA8">
      <w:pPr>
        <w:numPr>
          <w:ilvl w:val="0"/>
          <w:numId w:val="2"/>
        </w:numPr>
        <w:autoSpaceDE w:val="0"/>
        <w:spacing w:before="240" w:after="240"/>
        <w:jc w:val="both"/>
      </w:pPr>
      <w:r>
        <w:t xml:space="preserve">Pakistan’s </w:t>
      </w:r>
      <w:r w:rsidR="00CA14AE">
        <w:t>pleading on this point is set out in paragraph</w:t>
      </w:r>
      <w:r w:rsidR="00850CB0">
        <w:t>s 21-22</w:t>
      </w:r>
      <w:r w:rsidR="00CA14AE">
        <w:t xml:space="preserve"> above. </w:t>
      </w:r>
      <w:r w:rsidR="00EB1ADE">
        <w:t>Pakistan advanced two alternative cases:</w:t>
      </w:r>
    </w:p>
    <w:p w14:paraId="577694A2" w14:textId="77777777" w:rsidR="00EB1ADE" w:rsidRDefault="00EB1ADE" w:rsidP="00EB1ADE">
      <w:pPr>
        <w:numPr>
          <w:ilvl w:val="1"/>
          <w:numId w:val="2"/>
        </w:numPr>
        <w:autoSpaceDE w:val="0"/>
        <w:spacing w:before="240" w:after="240"/>
        <w:jc w:val="both"/>
      </w:pPr>
      <w:r>
        <w:t xml:space="preserve">First, </w:t>
      </w:r>
      <w:r w:rsidR="003C4C95">
        <w:t>that a payment from one sovereign state to another sovereign state cannot give rise to a trust relationship as a matter of English law.</w:t>
      </w:r>
    </w:p>
    <w:p w14:paraId="7B30F300" w14:textId="77777777" w:rsidR="00190A90" w:rsidRDefault="00190A90" w:rsidP="00EB1ADE">
      <w:pPr>
        <w:numPr>
          <w:ilvl w:val="1"/>
          <w:numId w:val="2"/>
        </w:numPr>
        <w:autoSpaceDE w:val="0"/>
        <w:spacing w:before="240" w:after="240"/>
        <w:jc w:val="both"/>
      </w:pPr>
      <w:r>
        <w:t>Secondly, and alternatively, that inter-state transactions are</w:t>
      </w:r>
      <w:r w:rsidR="00344D8E">
        <w:t>, intrinsically, different from transactions between private persons, and that</w:t>
      </w:r>
      <w:r w:rsidR="00A47D97">
        <w:t>:</w:t>
      </w:r>
    </w:p>
    <w:p w14:paraId="1FE73346" w14:textId="77777777" w:rsidR="00A47D97" w:rsidRDefault="00A47D97" w:rsidP="00A47D97">
      <w:pPr>
        <w:numPr>
          <w:ilvl w:val="2"/>
          <w:numId w:val="2"/>
        </w:numPr>
        <w:autoSpaceDE w:val="0"/>
        <w:spacing w:before="240" w:after="240"/>
        <w:jc w:val="both"/>
      </w:pPr>
      <w:r>
        <w:t xml:space="preserve">States cannot be taken to </w:t>
      </w:r>
      <w:r w:rsidR="00EC352C">
        <w:t>intend to render themselves trustees or beneficiaries in relation to payments made between them; and/or</w:t>
      </w:r>
    </w:p>
    <w:p w14:paraId="03A6CA0B" w14:textId="77777777" w:rsidR="00EC352C" w:rsidRDefault="00BA5F38" w:rsidP="00A47D97">
      <w:pPr>
        <w:numPr>
          <w:ilvl w:val="2"/>
          <w:numId w:val="2"/>
        </w:numPr>
        <w:autoSpaceDE w:val="0"/>
        <w:spacing w:before="240" w:after="240"/>
        <w:jc w:val="both"/>
      </w:pPr>
      <w:r>
        <w:t>Cogent evidence would be required of any such intention.</w:t>
      </w:r>
    </w:p>
    <w:p w14:paraId="30A1B1A8" w14:textId="77777777" w:rsidR="00A41396" w:rsidRDefault="00AC155E" w:rsidP="009C6302">
      <w:pPr>
        <w:numPr>
          <w:ilvl w:val="0"/>
          <w:numId w:val="2"/>
        </w:numPr>
        <w:autoSpaceDE w:val="0"/>
        <w:spacing w:before="240" w:after="240"/>
        <w:jc w:val="both"/>
      </w:pPr>
      <w:r>
        <w:lastRenderedPageBreak/>
        <w:t xml:space="preserve">Although not completely clear, it appears to be Pakistan’s case </w:t>
      </w:r>
      <w:r>
        <w:rPr>
          <w:u w:val="single"/>
        </w:rPr>
        <w:t>first</w:t>
      </w:r>
      <w:r>
        <w:t xml:space="preserve"> that </w:t>
      </w:r>
      <w:r w:rsidR="0065547F">
        <w:t xml:space="preserve">transactions between sovereign states have no private law implications at all, at least so far as the creation of trusts is concerned; </w:t>
      </w:r>
      <w:r w:rsidR="0065547F">
        <w:rPr>
          <w:u w:val="single"/>
        </w:rPr>
        <w:t>alternatively</w:t>
      </w:r>
      <w:r w:rsidR="0065547F" w:rsidRPr="009C6302">
        <w:t>,</w:t>
      </w:r>
      <w:r w:rsidR="0065547F">
        <w:t xml:space="preserve"> that an English court ought to be slow </w:t>
      </w:r>
      <w:r w:rsidR="00A41396">
        <w:t>to find the existence of a trust in such a case.</w:t>
      </w:r>
      <w:r w:rsidR="009C6302">
        <w:t xml:space="preserve"> </w:t>
      </w:r>
      <w:r w:rsidR="00A41396">
        <w:t>I consider these two points in turn below.</w:t>
      </w:r>
    </w:p>
    <w:p w14:paraId="46295392" w14:textId="77777777" w:rsidR="00A41396" w:rsidRPr="00A41396" w:rsidRDefault="00A41396" w:rsidP="00EF5C6A">
      <w:pPr>
        <w:keepNext/>
        <w:tabs>
          <w:tab w:val="left" w:pos="567"/>
        </w:tabs>
        <w:autoSpaceDE w:val="0"/>
        <w:spacing w:before="240" w:after="240"/>
        <w:jc w:val="both"/>
        <w:rPr>
          <w:b/>
          <w:bCs/>
        </w:rPr>
      </w:pPr>
      <w:r>
        <w:rPr>
          <w:b/>
          <w:bCs/>
        </w:rPr>
        <w:t>(2)</w:t>
      </w:r>
      <w:r>
        <w:rPr>
          <w:b/>
          <w:bCs/>
        </w:rPr>
        <w:tab/>
        <w:t xml:space="preserve">No trust relationship can arise </w:t>
      </w:r>
      <w:r w:rsidR="00754020">
        <w:rPr>
          <w:b/>
          <w:bCs/>
        </w:rPr>
        <w:t>as a matter of private law</w:t>
      </w:r>
    </w:p>
    <w:p w14:paraId="3A77E434" w14:textId="77777777" w:rsidR="001A0278" w:rsidRDefault="00C53928" w:rsidP="00352D28">
      <w:pPr>
        <w:numPr>
          <w:ilvl w:val="0"/>
          <w:numId w:val="2"/>
        </w:numPr>
        <w:autoSpaceDE w:val="0"/>
        <w:spacing w:before="240" w:after="240"/>
        <w:jc w:val="both"/>
      </w:pPr>
      <w:r>
        <w:t xml:space="preserve">As a sovereign state </w:t>
      </w:r>
      <w:r w:rsidR="00F336A4">
        <w:t xml:space="preserve">Pakistan was </w:t>
      </w:r>
      <w:r w:rsidR="00CF31DA">
        <w:t xml:space="preserve">entitled </w:t>
      </w:r>
      <w:r>
        <w:t xml:space="preserve">to, and did, assert sovereign immunity. </w:t>
      </w:r>
      <w:r w:rsidR="0084394D">
        <w:t xml:space="preserve">That enabled Pakistan to </w:t>
      </w:r>
      <w:r w:rsidR="00CF31DA">
        <w:t xml:space="preserve">prevent the question of </w:t>
      </w:r>
      <w:r w:rsidR="00E358E3">
        <w:t xml:space="preserve">ownership of the Fund </w:t>
      </w:r>
      <w:r w:rsidR="00CF31DA">
        <w:t xml:space="preserve">from being litigated </w:t>
      </w:r>
      <w:r w:rsidR="00DB5FD4">
        <w:t>b</w:t>
      </w:r>
      <w:r w:rsidR="00E358E3">
        <w:t xml:space="preserve">efore and determined by an English </w:t>
      </w:r>
      <w:r w:rsidR="00645262">
        <w:t>C</w:t>
      </w:r>
      <w:r w:rsidR="00E358E3">
        <w:t xml:space="preserve">ourt. </w:t>
      </w:r>
      <w:r w:rsidR="00585C6A">
        <w:t xml:space="preserve">Pakistan contended that </w:t>
      </w:r>
      <w:r w:rsidR="00352D28">
        <w:t>the doctrine of sovereign immunity</w:t>
      </w:r>
      <w:r w:rsidR="006E0059">
        <w:t xml:space="preserve"> went</w:t>
      </w:r>
      <w:r w:rsidR="00352D28">
        <w:t xml:space="preserve"> </w:t>
      </w:r>
      <w:r w:rsidR="00352D28" w:rsidRPr="00352D28">
        <w:rPr>
          <w:u w:val="single"/>
        </w:rPr>
        <w:t>beyond</w:t>
      </w:r>
      <w:r w:rsidR="00352D28">
        <w:t xml:space="preserve"> </w:t>
      </w:r>
      <w:r w:rsidR="006E0059">
        <w:t>this</w:t>
      </w:r>
      <w:r w:rsidR="00352D28">
        <w:t xml:space="preserve"> procedural bar to the bringing of a claim against a sovereign state. </w:t>
      </w:r>
      <w:r w:rsidR="006E0059">
        <w:t xml:space="preserve">It was </w:t>
      </w:r>
      <w:r w:rsidR="00C43569">
        <w:t xml:space="preserve">contended </w:t>
      </w:r>
      <w:r w:rsidR="00352D28">
        <w:t>that, in those cases where sovereign immunity was waived</w:t>
      </w:r>
      <w:r w:rsidR="00C43569">
        <w:t xml:space="preserve"> by a sovereign state</w:t>
      </w:r>
      <w:r w:rsidR="00352D28">
        <w:t xml:space="preserve">, the law applicable to the matter before the </w:t>
      </w:r>
      <w:r w:rsidR="00BD003D">
        <w:t>C</w:t>
      </w:r>
      <w:r w:rsidR="00352D28">
        <w:t xml:space="preserve">ourt was not the law that would </w:t>
      </w:r>
      <w:r w:rsidR="00964834">
        <w:t xml:space="preserve">ordinarily </w:t>
      </w:r>
      <w:r w:rsidR="00352D28">
        <w:t>apply</w:t>
      </w:r>
      <w:r w:rsidR="00964834">
        <w:t xml:space="preserve"> were the litigant </w:t>
      </w:r>
      <w:r w:rsidR="00993370">
        <w:t>not a sovereign state. The applicable law was different and in this case prevented a trust from arising.</w:t>
      </w:r>
    </w:p>
    <w:p w14:paraId="247A6267" w14:textId="77777777" w:rsidR="00993370" w:rsidRDefault="003951BC" w:rsidP="00352D28">
      <w:pPr>
        <w:numPr>
          <w:ilvl w:val="0"/>
          <w:numId w:val="2"/>
        </w:numPr>
        <w:autoSpaceDE w:val="0"/>
        <w:spacing w:before="240" w:after="240"/>
        <w:jc w:val="both"/>
      </w:pPr>
      <w:r>
        <w:t>No authority was cited in support of this proposition</w:t>
      </w:r>
      <w:r w:rsidR="000566F4" w:rsidRPr="000566F4">
        <w:t xml:space="preserve"> </w:t>
      </w:r>
      <w:r w:rsidR="000566F4">
        <w:t xml:space="preserve">and I can identify no legal basis for suggesting that the </w:t>
      </w:r>
      <w:r w:rsidR="00D3526E">
        <w:t xml:space="preserve">ordinary </w:t>
      </w:r>
      <w:r w:rsidR="000566F4">
        <w:t xml:space="preserve">private law consequences of </w:t>
      </w:r>
      <w:r w:rsidR="00D3526E">
        <w:t xml:space="preserve">a sovereign state’s actions </w:t>
      </w:r>
      <w:r w:rsidR="000566F4">
        <w:t xml:space="preserve">do not attach in the proceedings that follow </w:t>
      </w:r>
      <w:r w:rsidR="00D3526E">
        <w:t>a waiver of sovereign immunity</w:t>
      </w:r>
      <w:r w:rsidR="000566F4">
        <w:t>.</w:t>
      </w:r>
      <w:r w:rsidR="00E13DCE">
        <w:t xml:space="preserve"> </w:t>
      </w:r>
    </w:p>
    <w:p w14:paraId="061DD626" w14:textId="77777777" w:rsidR="001903D2" w:rsidRDefault="00E13DCE" w:rsidP="00173E43">
      <w:pPr>
        <w:numPr>
          <w:ilvl w:val="0"/>
          <w:numId w:val="2"/>
        </w:numPr>
        <w:autoSpaceDE w:val="0"/>
        <w:spacing w:before="240" w:after="240"/>
        <w:jc w:val="both"/>
      </w:pPr>
      <w:r>
        <w:t>In</w:t>
      </w:r>
      <w:r w:rsidR="0050249C">
        <w:t xml:space="preserve">deed, </w:t>
      </w:r>
      <w:r w:rsidR="005C2446">
        <w:t xml:space="preserve">Pakistan’s contention is contrary to </w:t>
      </w:r>
      <w:r w:rsidR="00787863">
        <w:t>established law</w:t>
      </w:r>
      <w:r w:rsidR="00173E43">
        <w:t xml:space="preserve">. </w:t>
      </w:r>
      <w:r w:rsidR="00F06A60" w:rsidRPr="00F06A60">
        <w:t xml:space="preserve">English </w:t>
      </w:r>
      <w:r w:rsidR="00E5301D">
        <w:t>C</w:t>
      </w:r>
      <w:r w:rsidR="00F06A60" w:rsidRPr="00F06A60">
        <w:t xml:space="preserve">ourts </w:t>
      </w:r>
      <w:r w:rsidR="00F06A60">
        <w:t>identify as persons for the purposes of private law</w:t>
      </w:r>
      <w:r w:rsidR="004A387B">
        <w:t xml:space="preserve"> individuals (that is to say, natural persons), corporate bodies </w:t>
      </w:r>
      <w:r w:rsidR="00620FC6">
        <w:t xml:space="preserve">(private legal persons, whether recognised under English law or applicable foreign law) and </w:t>
      </w:r>
      <w:r w:rsidR="00AD04DC">
        <w:t>sovereign states.</w:t>
      </w:r>
      <w:r w:rsidR="00AD04DC">
        <w:rPr>
          <w:rStyle w:val="FootnoteReference"/>
        </w:rPr>
        <w:footnoteReference w:id="194"/>
      </w:r>
      <w:r w:rsidR="004A387B">
        <w:t xml:space="preserve"> </w:t>
      </w:r>
      <w:r w:rsidR="00196224">
        <w:t>One of the consequences of recognising a state is that – as a matter of English law – that state has all the capacities and powers of a person under English law.</w:t>
      </w:r>
      <w:r w:rsidR="004B3F39">
        <w:rPr>
          <w:rStyle w:val="FootnoteReference"/>
        </w:rPr>
        <w:footnoteReference w:id="195"/>
      </w:r>
      <w:r w:rsidR="00196224">
        <w:t xml:space="preserve"> The state may, therefore, enter into a contract; </w:t>
      </w:r>
      <w:r w:rsidR="00E5301D">
        <w:t xml:space="preserve">and </w:t>
      </w:r>
      <w:r w:rsidR="00196224">
        <w:t>own, hold and transfer property. In doing so, it will be subject to the law of the land.</w:t>
      </w:r>
      <w:r w:rsidR="009D5E6E">
        <w:t xml:space="preserve"> That is so, whether the sovereign state acts as a claimant (</w:t>
      </w:r>
      <w:r w:rsidR="009D5E6E" w:rsidRPr="00173E43">
        <w:rPr>
          <w:i/>
          <w:iCs/>
        </w:rPr>
        <w:t xml:space="preserve">i.e. </w:t>
      </w:r>
      <w:r w:rsidR="009D5E6E">
        <w:t xml:space="preserve">where </w:t>
      </w:r>
      <w:r w:rsidR="008B589F">
        <w:t>she</w:t>
      </w:r>
      <w:r w:rsidR="009D5E6E">
        <w:t xml:space="preserve"> is seeking to vindicate a private law right that</w:t>
      </w:r>
      <w:r w:rsidR="009F1C3D">
        <w:t xml:space="preserve"> she</w:t>
      </w:r>
      <w:r w:rsidR="009D5E6E">
        <w:t xml:space="preserve"> may have)</w:t>
      </w:r>
      <w:r w:rsidR="00952876">
        <w:rPr>
          <w:rStyle w:val="FootnoteReference"/>
        </w:rPr>
        <w:footnoteReference w:id="196"/>
      </w:r>
      <w:r w:rsidR="009D5E6E">
        <w:t xml:space="preserve"> </w:t>
      </w:r>
      <w:r w:rsidR="00FF135B">
        <w:t>or as a defendant (</w:t>
      </w:r>
      <w:r w:rsidR="00FF135B" w:rsidRPr="00173E43">
        <w:rPr>
          <w:i/>
          <w:iCs/>
        </w:rPr>
        <w:t>i.e.</w:t>
      </w:r>
      <w:r w:rsidR="00FF135B">
        <w:t xml:space="preserve"> where another is seeking to vindicate a private law right against that state).</w:t>
      </w:r>
      <w:r w:rsidR="00FF135B">
        <w:rPr>
          <w:rStyle w:val="FootnoteReference"/>
        </w:rPr>
        <w:footnoteReference w:id="197"/>
      </w:r>
      <w:r w:rsidR="004A63BE">
        <w:t xml:space="preserve"> Where </w:t>
      </w:r>
      <w:r w:rsidR="00F3264E">
        <w:t>a sovereign</w:t>
      </w:r>
      <w:r w:rsidR="004A63BE">
        <w:t xml:space="preserve"> state is impleaded as a defendant, that state </w:t>
      </w:r>
      <w:r w:rsidR="00617810">
        <w:t>ha</w:t>
      </w:r>
      <w:r w:rsidR="00FF052F">
        <w:t>s</w:t>
      </w:r>
      <w:r w:rsidR="00617810">
        <w:t xml:space="preserve"> the benefit of </w:t>
      </w:r>
      <w:r w:rsidR="00FF052F">
        <w:t>sovereign</w:t>
      </w:r>
      <w:r w:rsidR="00F5301A">
        <w:t xml:space="preserve"> immunity. Where, however, that immunity is </w:t>
      </w:r>
      <w:r w:rsidR="00FF052F">
        <w:t xml:space="preserve">not asserted or </w:t>
      </w:r>
      <w:r w:rsidR="00F5301A">
        <w:t xml:space="preserve">waived, </w:t>
      </w:r>
      <w:r w:rsidR="009B69B9">
        <w:t xml:space="preserve">then municipal law applies </w:t>
      </w:r>
      <w:r w:rsidR="00C74172">
        <w:t xml:space="preserve">to that state in the ordinary way and without </w:t>
      </w:r>
      <w:r w:rsidR="009A2C03">
        <w:t>variation or exception.</w:t>
      </w:r>
      <w:r w:rsidR="009A2C03">
        <w:rPr>
          <w:rStyle w:val="FootnoteReference"/>
        </w:rPr>
        <w:footnoteReference w:id="198"/>
      </w:r>
    </w:p>
    <w:p w14:paraId="41AD2348" w14:textId="77777777" w:rsidR="004C6D70" w:rsidRPr="00D03F8F" w:rsidRDefault="00A35D62" w:rsidP="004C6D70">
      <w:pPr>
        <w:numPr>
          <w:ilvl w:val="0"/>
          <w:numId w:val="2"/>
        </w:numPr>
        <w:autoSpaceDE w:val="0"/>
        <w:spacing w:before="240" w:after="240"/>
        <w:jc w:val="both"/>
      </w:pPr>
      <w:r>
        <w:t xml:space="preserve">In this, a sovereign state’s position is no different from that of the Crown. </w:t>
      </w:r>
      <w:r w:rsidR="005D3E58">
        <w:t xml:space="preserve">It is clear law that </w:t>
      </w:r>
      <w:r w:rsidR="003E6925">
        <w:t xml:space="preserve">“[t]here is nothing to prevent </w:t>
      </w:r>
      <w:r w:rsidR="007C7BED">
        <w:t>the Crown from acting as a trustee if it chooses deliberately to do so”</w:t>
      </w:r>
      <w:r w:rsidR="00DB4235">
        <w:t>.</w:t>
      </w:r>
      <w:r w:rsidR="007C7BED">
        <w:rPr>
          <w:rStyle w:val="FootnoteReference"/>
        </w:rPr>
        <w:footnoteReference w:id="199"/>
      </w:r>
      <w:r w:rsidR="006E7166">
        <w:t xml:space="preserve"> </w:t>
      </w:r>
    </w:p>
    <w:p w14:paraId="2A2F52D4" w14:textId="77777777" w:rsidR="00D03F8F" w:rsidRPr="00191FCA" w:rsidRDefault="00191FCA" w:rsidP="0065564A">
      <w:pPr>
        <w:keepNext/>
        <w:tabs>
          <w:tab w:val="left" w:pos="567"/>
        </w:tabs>
        <w:autoSpaceDE w:val="0"/>
        <w:spacing w:before="240" w:after="240"/>
        <w:ind w:left="567" w:hanging="567"/>
        <w:jc w:val="both"/>
        <w:rPr>
          <w:b/>
          <w:bCs/>
        </w:rPr>
      </w:pPr>
      <w:r>
        <w:rPr>
          <w:b/>
          <w:bCs/>
        </w:rPr>
        <w:lastRenderedPageBreak/>
        <w:t>(3)</w:t>
      </w:r>
      <w:r>
        <w:rPr>
          <w:b/>
          <w:bCs/>
        </w:rPr>
        <w:tab/>
        <w:t xml:space="preserve">A court should exercise caution when considering whether </w:t>
      </w:r>
      <w:r w:rsidR="007F6D87">
        <w:rPr>
          <w:b/>
          <w:bCs/>
        </w:rPr>
        <w:t>a trust arises in the case of sovereign states</w:t>
      </w:r>
    </w:p>
    <w:p w14:paraId="74896867" w14:textId="77777777" w:rsidR="00997CB4" w:rsidRDefault="00CE4991" w:rsidP="004C6D70">
      <w:pPr>
        <w:numPr>
          <w:ilvl w:val="0"/>
          <w:numId w:val="2"/>
        </w:numPr>
        <w:autoSpaceDE w:val="0"/>
        <w:spacing w:before="240" w:after="240"/>
        <w:jc w:val="both"/>
      </w:pPr>
      <w:r>
        <w:t>I have alread</w:t>
      </w:r>
      <w:r w:rsidR="00263865">
        <w:t xml:space="preserve">y noted that the use of the term “trust” does not, of itself, </w:t>
      </w:r>
      <w:r w:rsidR="00F901D6">
        <w:t>determine</w:t>
      </w:r>
      <w:r w:rsidR="00263865">
        <w:t xml:space="preserve"> that an express trust arises</w:t>
      </w:r>
      <w:r w:rsidR="005018D4">
        <w:t xml:space="preserve">. </w:t>
      </w:r>
      <w:r w:rsidR="00DD0B82">
        <w:t xml:space="preserve">Megarry V-C made this point in </w:t>
      </w:r>
      <w:r w:rsidR="00DD0B82">
        <w:rPr>
          <w:i/>
          <w:iCs/>
        </w:rPr>
        <w:t>Tito v. Waddell (No 2)</w:t>
      </w:r>
      <w:r w:rsidR="00DD0B82">
        <w:t>:</w:t>
      </w:r>
      <w:r w:rsidR="00DD0B82">
        <w:rPr>
          <w:rStyle w:val="FootnoteReference"/>
        </w:rPr>
        <w:footnoteReference w:id="200"/>
      </w:r>
    </w:p>
    <w:p w14:paraId="56772C01" w14:textId="77777777" w:rsidR="0035095E" w:rsidRDefault="0035095E" w:rsidP="0035095E">
      <w:pPr>
        <w:autoSpaceDE w:val="0"/>
        <w:spacing w:before="240" w:after="240"/>
        <w:ind w:left="567"/>
        <w:jc w:val="both"/>
        <w:rPr>
          <w:sz w:val="22"/>
          <w:szCs w:val="22"/>
        </w:rPr>
      </w:pPr>
      <w:r>
        <w:rPr>
          <w:sz w:val="22"/>
          <w:szCs w:val="22"/>
        </w:rPr>
        <w:t>“</w:t>
      </w:r>
      <w:r w:rsidR="00D9548A">
        <w:rPr>
          <w:sz w:val="22"/>
          <w:szCs w:val="22"/>
        </w:rPr>
        <w:t xml:space="preserve">I propose to turn at once to the position of the Crown as trustee, leaving on one side any question of what is meant </w:t>
      </w:r>
      <w:r w:rsidR="003C1E9B">
        <w:rPr>
          <w:sz w:val="22"/>
          <w:szCs w:val="22"/>
        </w:rPr>
        <w:t>by the Crown for this purpose;</w:t>
      </w:r>
      <w:r w:rsidR="00610055">
        <w:rPr>
          <w:sz w:val="22"/>
          <w:szCs w:val="22"/>
        </w:rPr>
        <w:t xml:space="preserve"> and</w:t>
      </w:r>
      <w:r w:rsidR="003C1E9B">
        <w:rPr>
          <w:sz w:val="22"/>
          <w:szCs w:val="22"/>
        </w:rPr>
        <w:t xml:space="preserve"> I must also consider what is meant by “trust”. The word is in common use </w:t>
      </w:r>
      <w:r w:rsidR="0027228E">
        <w:rPr>
          <w:sz w:val="22"/>
          <w:szCs w:val="22"/>
        </w:rPr>
        <w:t xml:space="preserve">in English language, and whatever may be the position in this court, it must be recognised </w:t>
      </w:r>
      <w:r w:rsidR="004B0875">
        <w:rPr>
          <w:sz w:val="22"/>
          <w:szCs w:val="22"/>
        </w:rPr>
        <w:t>that the word is often used in a sense different from that of an equitable obligation enforceable as such</w:t>
      </w:r>
      <w:r w:rsidR="00F221D1">
        <w:rPr>
          <w:sz w:val="22"/>
          <w:szCs w:val="22"/>
        </w:rPr>
        <w:t xml:space="preserve"> by the courts. Many a man may be in a position of trust without being a trustee in the equitable sense</w:t>
      </w:r>
      <w:r w:rsidR="00CB5FA0">
        <w:rPr>
          <w:sz w:val="22"/>
          <w:szCs w:val="22"/>
        </w:rPr>
        <w:t>; and terms such as “Brains Trust”, “Anti-trust” and “Trust Territories”, though commonly used</w:t>
      </w:r>
      <w:r w:rsidR="003E4B18">
        <w:rPr>
          <w:sz w:val="22"/>
          <w:szCs w:val="22"/>
        </w:rPr>
        <w:t xml:space="preserve">, are not understood as relating to a trust as enforced in a court of equity. At the same time, it can hardly be disputed </w:t>
      </w:r>
      <w:r w:rsidR="002916BE">
        <w:rPr>
          <w:sz w:val="22"/>
          <w:szCs w:val="22"/>
        </w:rPr>
        <w:t xml:space="preserve">that a trust may be created </w:t>
      </w:r>
      <w:r w:rsidR="003756EF">
        <w:rPr>
          <w:sz w:val="22"/>
          <w:szCs w:val="22"/>
        </w:rPr>
        <w:t>without using the word “trust”. In every case one has to look to see whether in the circumstances of the case</w:t>
      </w:r>
      <w:r w:rsidR="00540372">
        <w:rPr>
          <w:sz w:val="22"/>
          <w:szCs w:val="22"/>
        </w:rPr>
        <w:t>, and on the true construction of what was said and written, a sufficient intention to create a true trust has been manifested.</w:t>
      </w:r>
    </w:p>
    <w:p w14:paraId="34E0147B" w14:textId="77777777" w:rsidR="00C7580B" w:rsidRPr="0035095E" w:rsidRDefault="00C7580B" w:rsidP="0035095E">
      <w:pPr>
        <w:autoSpaceDE w:val="0"/>
        <w:spacing w:before="240" w:after="240"/>
        <w:ind w:left="567"/>
        <w:jc w:val="both"/>
        <w:rPr>
          <w:sz w:val="22"/>
          <w:szCs w:val="22"/>
        </w:rPr>
      </w:pPr>
      <w:r>
        <w:rPr>
          <w:sz w:val="22"/>
          <w:szCs w:val="22"/>
        </w:rPr>
        <w:t xml:space="preserve">When it is alleged that the Crown is a trustee, an element which is of especial importance consists of the </w:t>
      </w:r>
      <w:r w:rsidR="00684AAD">
        <w:rPr>
          <w:sz w:val="22"/>
          <w:szCs w:val="22"/>
        </w:rPr>
        <w:t xml:space="preserve">governmental powers and obligations of the Crown; for these readily provide an explanation which is an alternative </w:t>
      </w:r>
      <w:r w:rsidR="00B10411">
        <w:rPr>
          <w:sz w:val="22"/>
          <w:szCs w:val="22"/>
        </w:rPr>
        <w:t>to a trust. If money or other property is vested in the Crown and is used for the benefit of others</w:t>
      </w:r>
      <w:r w:rsidR="001836E3">
        <w:rPr>
          <w:sz w:val="22"/>
          <w:szCs w:val="22"/>
        </w:rPr>
        <w:t xml:space="preserve">, one explanation can be that, without holding the property on a true trust, the Crown is nevertheless administering </w:t>
      </w:r>
      <w:r w:rsidR="00AA5281">
        <w:rPr>
          <w:sz w:val="22"/>
          <w:szCs w:val="22"/>
        </w:rPr>
        <w:t xml:space="preserve">that property in the exercise of the Crown’s governmental functions. This latter possible explanation, which does not exist in the case of an ordinary individual, makes it necessary to scrutinise </w:t>
      </w:r>
      <w:r w:rsidR="002B57B9">
        <w:rPr>
          <w:sz w:val="22"/>
          <w:szCs w:val="22"/>
        </w:rPr>
        <w:t>with greater care the words and circumstances which are alleged to impose a trust.”</w:t>
      </w:r>
      <w:r w:rsidR="00B10411">
        <w:rPr>
          <w:sz w:val="22"/>
          <w:szCs w:val="22"/>
        </w:rPr>
        <w:t xml:space="preserve"> </w:t>
      </w:r>
      <w:r w:rsidR="00684AAD">
        <w:rPr>
          <w:sz w:val="22"/>
          <w:szCs w:val="22"/>
        </w:rPr>
        <w:t xml:space="preserve"> </w:t>
      </w:r>
      <w:r>
        <w:rPr>
          <w:sz w:val="22"/>
          <w:szCs w:val="22"/>
        </w:rPr>
        <w:t xml:space="preserve"> </w:t>
      </w:r>
    </w:p>
    <w:p w14:paraId="137E7EAA" w14:textId="77777777" w:rsidR="002B57B9" w:rsidRDefault="00650FA0" w:rsidP="004C6D70">
      <w:pPr>
        <w:numPr>
          <w:ilvl w:val="0"/>
          <w:numId w:val="2"/>
        </w:numPr>
        <w:autoSpaceDE w:val="0"/>
        <w:spacing w:before="240" w:after="240"/>
        <w:jc w:val="both"/>
      </w:pPr>
      <w:r>
        <w:t>I accept that even in the case of private individuals, the use of the term “trust” is by no means conclusive as to the existence of an express trust: it is one of the factors that must be taken into account</w:t>
      </w:r>
      <w:r w:rsidR="00153EEE">
        <w:t xml:space="preserve"> when considering </w:t>
      </w:r>
      <w:r w:rsidR="00DB2CCA">
        <w:t>whether or not a trust has been created</w:t>
      </w:r>
      <w:r>
        <w:t>.</w:t>
      </w:r>
      <w:r w:rsidR="00DB2CCA">
        <w:t xml:space="preserve"> The matter becomes even more sensitive where a state is involved</w:t>
      </w:r>
      <w:r w:rsidR="00ED23A4">
        <w:t xml:space="preserve">: it is quite possible for </w:t>
      </w:r>
      <w:r w:rsidR="00C94408">
        <w:t xml:space="preserve">property to be held “on trust” importing an obligation that has nothing to do with </w:t>
      </w:r>
      <w:r w:rsidR="00236E4D">
        <w:t xml:space="preserve">the private law concept, but as referring to altogether less concrete </w:t>
      </w:r>
      <w:r w:rsidR="00813EFA">
        <w:t>obligations</w:t>
      </w:r>
      <w:r w:rsidR="00F901D6">
        <w:t xml:space="preserve"> that are</w:t>
      </w:r>
      <w:r w:rsidR="00813EFA">
        <w:t xml:space="preserve"> in no way enforceable in a court of law.</w:t>
      </w:r>
      <w:r w:rsidR="00813EFA">
        <w:rPr>
          <w:rStyle w:val="FootnoteReference"/>
        </w:rPr>
        <w:footnoteReference w:id="201"/>
      </w:r>
    </w:p>
    <w:p w14:paraId="76CDFA46" w14:textId="77777777" w:rsidR="00A9255A" w:rsidRDefault="00A9255A" w:rsidP="004C6D70">
      <w:pPr>
        <w:numPr>
          <w:ilvl w:val="0"/>
          <w:numId w:val="2"/>
        </w:numPr>
        <w:autoSpaceDE w:val="0"/>
        <w:spacing w:before="240" w:after="240"/>
        <w:jc w:val="both"/>
      </w:pPr>
      <w:r>
        <w:t xml:space="preserve">In the present case, </w:t>
      </w:r>
      <w:r w:rsidR="00CE7295">
        <w:t>I have of course found that no express trust arose</w:t>
      </w:r>
      <w:r w:rsidR="00255DB5">
        <w:t xml:space="preserve">, because </w:t>
      </w:r>
      <w:r w:rsidR="0015375E">
        <w:t xml:space="preserve">Moin had no authority from Nizam VII to constitute such a trust. If, contrary to this conclusion, Moin </w:t>
      </w:r>
      <w:r w:rsidR="0015375E">
        <w:rPr>
          <w:u w:val="single"/>
        </w:rPr>
        <w:t>did</w:t>
      </w:r>
      <w:r w:rsidR="0015375E">
        <w:t xml:space="preserve"> have authority, </w:t>
      </w:r>
      <w:r w:rsidR="00E956A1">
        <w:t>then I consider that the intention was to create a private law trust</w:t>
      </w:r>
      <w:r w:rsidR="00BD0B43">
        <w:t xml:space="preserve">. </w:t>
      </w:r>
      <w:r w:rsidR="00381016">
        <w:t xml:space="preserve">Throughout the history of the accounts – from the original transfer of monies into the Hyderabad State Bank Account </w:t>
      </w:r>
      <w:r w:rsidR="005B25EB">
        <w:t xml:space="preserve">to the Transfer itself – </w:t>
      </w:r>
      <w:r w:rsidR="004916E2">
        <w:t>Nizam VII</w:t>
      </w:r>
      <w:r w:rsidR="005B25EB">
        <w:t xml:space="preserve"> was dealing with private law obligations: </w:t>
      </w:r>
      <w:r w:rsidR="00484A45">
        <w:t>he</w:t>
      </w:r>
      <w:r w:rsidR="005B25EB">
        <w:t xml:space="preserve"> was transferring </w:t>
      </w:r>
      <w:r w:rsidR="004916E2">
        <w:t xml:space="preserve">a chose in action, owed to </w:t>
      </w:r>
      <w:r w:rsidR="00484A45">
        <w:t>him</w:t>
      </w:r>
      <w:r w:rsidR="004916E2">
        <w:t xml:space="preserve"> by (initially) Imperial Bank and then the Bank. </w:t>
      </w:r>
      <w:r w:rsidR="004D65D8">
        <w:t xml:space="preserve">In no way was </w:t>
      </w:r>
      <w:r w:rsidR="00484A45">
        <w:t xml:space="preserve">the </w:t>
      </w:r>
      <w:r w:rsidR="004D65D8">
        <w:t xml:space="preserve">Nizam dealing with non-private </w:t>
      </w:r>
      <w:r w:rsidR="0003482E">
        <w:t xml:space="preserve">law </w:t>
      </w:r>
      <w:r w:rsidR="004D65D8">
        <w:t>obligations. If Nizam VII authorised the Transfer</w:t>
      </w:r>
      <w:r w:rsidR="008809D9">
        <w:t>, then it is to my mind inco</w:t>
      </w:r>
      <w:r w:rsidR="008809D9" w:rsidRPr="001766F7">
        <w:t>n</w:t>
      </w:r>
      <w:r w:rsidR="00EF216A" w:rsidRPr="001766F7">
        <w:t>cei</w:t>
      </w:r>
      <w:r w:rsidR="008809D9" w:rsidRPr="001766F7">
        <w:t>va</w:t>
      </w:r>
      <w:r w:rsidR="008809D9">
        <w:t xml:space="preserve">ble that he intended anything other than a private law trust to arise. </w:t>
      </w:r>
      <w:r w:rsidR="00E71588">
        <w:t>I can see no point in the creation of a “trust” in any other sense.</w:t>
      </w:r>
    </w:p>
    <w:p w14:paraId="57074A50" w14:textId="77777777" w:rsidR="00E71588" w:rsidRDefault="00071A6A" w:rsidP="004C6D70">
      <w:pPr>
        <w:numPr>
          <w:ilvl w:val="0"/>
          <w:numId w:val="2"/>
        </w:numPr>
        <w:autoSpaceDE w:val="0"/>
        <w:spacing w:before="240" w:after="240"/>
        <w:jc w:val="both"/>
      </w:pPr>
      <w:r>
        <w:t xml:space="preserve">Rather than finding </w:t>
      </w:r>
      <w:r w:rsidR="001D7B22">
        <w:t xml:space="preserve">an express trust to exist, </w:t>
      </w:r>
      <w:r w:rsidR="00335C05">
        <w:t xml:space="preserve">I have concluded that </w:t>
      </w:r>
      <w:r w:rsidR="00335C05">
        <w:rPr>
          <w:i/>
          <w:iCs/>
        </w:rPr>
        <w:t>(i)</w:t>
      </w:r>
      <w:r w:rsidR="00335C05">
        <w:t xml:space="preserve"> there was a constructive trust and </w:t>
      </w:r>
      <w:r w:rsidR="00335C05">
        <w:rPr>
          <w:i/>
          <w:iCs/>
        </w:rPr>
        <w:t>(ii)</w:t>
      </w:r>
      <w:r w:rsidR="00335C05">
        <w:t xml:space="preserve"> if no constructive trust, a resulting trust.</w:t>
      </w:r>
      <w:r w:rsidR="00A3162D">
        <w:t xml:space="preserve"> Neither of these trusts </w:t>
      </w:r>
      <w:r w:rsidR="00A3162D">
        <w:lastRenderedPageBreak/>
        <w:t xml:space="preserve">arise through the intention of the settlor: they both arise through operation of law. </w:t>
      </w:r>
      <w:r w:rsidR="004E311D">
        <w:t xml:space="preserve">In </w:t>
      </w:r>
      <w:r w:rsidR="004E311D">
        <w:rPr>
          <w:i/>
          <w:iCs/>
        </w:rPr>
        <w:t>Tito v. Waddell</w:t>
      </w:r>
      <w:r w:rsidR="004E311D">
        <w:t xml:space="preserve">, Megarry V-C was concerned with the significance of the word “trust” in the context of an express trust. </w:t>
      </w:r>
      <w:r w:rsidR="00476264">
        <w:t xml:space="preserve">He said nothing about trusts arising by operation of law, because in such cases </w:t>
      </w:r>
      <w:r w:rsidR="00B03910">
        <w:t>the words used by the settlor are irrelevant to the constitution of the trust.</w:t>
      </w:r>
    </w:p>
    <w:p w14:paraId="4DBAB4B4" w14:textId="77777777" w:rsidR="004A7CAD" w:rsidRDefault="00B03910" w:rsidP="00B03910">
      <w:pPr>
        <w:numPr>
          <w:ilvl w:val="0"/>
          <w:numId w:val="2"/>
        </w:numPr>
        <w:autoSpaceDE w:val="0"/>
        <w:spacing w:before="240" w:after="240"/>
        <w:jc w:val="both"/>
      </w:pPr>
      <w:r>
        <w:t>Accordingly, Pakistan’s contentions in this regard do not alter the conclusions that I have reached regarding the basis upon which Pakistan holds the Fund.</w:t>
      </w:r>
    </w:p>
    <w:p w14:paraId="0EB34ED6" w14:textId="77777777" w:rsidR="003D7695" w:rsidRPr="002F5F18" w:rsidRDefault="00627104" w:rsidP="00FA309D">
      <w:pPr>
        <w:keepNext/>
        <w:tabs>
          <w:tab w:val="left" w:pos="567"/>
        </w:tabs>
        <w:autoSpaceDE w:val="0"/>
        <w:spacing w:before="240" w:after="240"/>
        <w:jc w:val="both"/>
        <w:rPr>
          <w:b/>
          <w:bCs/>
        </w:rPr>
      </w:pPr>
      <w:r>
        <w:rPr>
          <w:b/>
          <w:bCs/>
        </w:rPr>
        <w:t>J</w:t>
      </w:r>
      <w:r w:rsidR="0067495A" w:rsidRPr="0067495A">
        <w:rPr>
          <w:b/>
          <w:bCs/>
        </w:rPr>
        <w:t>.</w:t>
      </w:r>
      <w:r w:rsidR="00E83E96" w:rsidRPr="0067495A">
        <w:rPr>
          <w:b/>
          <w:bCs/>
        </w:rPr>
        <w:t xml:space="preserve"> </w:t>
      </w:r>
      <w:r w:rsidR="0067495A" w:rsidRPr="0067495A">
        <w:rPr>
          <w:b/>
          <w:bCs/>
        </w:rPr>
        <w:tab/>
        <w:t>THE RESTITUTION CLAIM</w:t>
      </w:r>
    </w:p>
    <w:p w14:paraId="0FE41B5F" w14:textId="77777777" w:rsidR="00797979" w:rsidRPr="00797979" w:rsidRDefault="00797979" w:rsidP="00FA309D">
      <w:pPr>
        <w:keepNext/>
        <w:tabs>
          <w:tab w:val="left" w:pos="567"/>
        </w:tabs>
        <w:autoSpaceDE w:val="0"/>
        <w:spacing w:before="240" w:after="240"/>
        <w:jc w:val="both"/>
        <w:rPr>
          <w:b/>
          <w:bCs/>
        </w:rPr>
      </w:pPr>
      <w:r>
        <w:rPr>
          <w:b/>
          <w:bCs/>
        </w:rPr>
        <w:t>(1)</w:t>
      </w:r>
      <w:r>
        <w:rPr>
          <w:b/>
          <w:bCs/>
        </w:rPr>
        <w:tab/>
        <w:t>Introduction</w:t>
      </w:r>
    </w:p>
    <w:p w14:paraId="3CFAC4C2" w14:textId="77777777" w:rsidR="009A7BC9" w:rsidRDefault="00965598" w:rsidP="001176D1">
      <w:pPr>
        <w:numPr>
          <w:ilvl w:val="0"/>
          <w:numId w:val="2"/>
        </w:numPr>
        <w:autoSpaceDE w:val="0"/>
        <w:spacing w:before="240" w:after="240"/>
        <w:jc w:val="both"/>
      </w:pPr>
      <w:r>
        <w:t>The Transfer is – self-evidently – an enrichment of Pakistan</w:t>
      </w:r>
      <w:r w:rsidR="00CD2D10">
        <w:t>. For a claim in unjust enrichment to succeed, the enrichment must also be “unjust”</w:t>
      </w:r>
      <w:r w:rsidR="00C84300">
        <w:t>, which generally means that the claimant must bring him- or herself within one of the accepted categories of “unjust” enrichment</w:t>
      </w:r>
      <w:r w:rsidR="00F54856">
        <w:t xml:space="preserve">. </w:t>
      </w:r>
      <w:r w:rsidR="000B4372">
        <w:t xml:space="preserve">In this case, the </w:t>
      </w:r>
      <w:r w:rsidR="0063319B">
        <w:t>“unjust” factor is the fact that the transfer was not authorised by Nizam VII. That, according to India’s written submissions, is a “classic case for restitution”,</w:t>
      </w:r>
      <w:r w:rsidR="0063319B">
        <w:rPr>
          <w:rStyle w:val="FootnoteReference"/>
        </w:rPr>
        <w:footnoteReference w:id="202"/>
      </w:r>
      <w:r w:rsidR="0063319B">
        <w:t xml:space="preserve"> and this was not seriously contested by Pakistan.</w:t>
      </w:r>
      <w:r w:rsidR="009A7BC9">
        <w:t xml:space="preserve"> I have found that the Transfer was indeed an unauthorised one and, accordingly, </w:t>
      </w:r>
      <w:r w:rsidR="00E90B60">
        <w:t>the restitution claim ought to succeed</w:t>
      </w:r>
      <w:r w:rsidR="00F479CF">
        <w:t>.</w:t>
      </w:r>
    </w:p>
    <w:p w14:paraId="7B5B179F" w14:textId="77777777" w:rsidR="005F616B" w:rsidRDefault="00F479CF" w:rsidP="004F625D">
      <w:pPr>
        <w:numPr>
          <w:ilvl w:val="0"/>
          <w:numId w:val="2"/>
        </w:numPr>
        <w:autoSpaceDE w:val="0"/>
        <w:spacing w:before="240" w:after="240"/>
        <w:jc w:val="both"/>
      </w:pPr>
      <w:r>
        <w:t>A</w:t>
      </w:r>
      <w:r w:rsidR="00E8487D">
        <w:t xml:space="preserve">part from the limitation defence pleaded by Pakistan, there </w:t>
      </w:r>
      <w:r w:rsidR="001B56C4">
        <w:t xml:space="preserve">is </w:t>
      </w:r>
      <w:r w:rsidR="00E8487D">
        <w:t xml:space="preserve">no defence to </w:t>
      </w:r>
      <w:r w:rsidR="001B56C4">
        <w:t xml:space="preserve">this </w:t>
      </w:r>
      <w:r w:rsidR="00276E87">
        <w:t xml:space="preserve">claim. </w:t>
      </w:r>
      <w:r w:rsidR="00324755">
        <w:t xml:space="preserve">However, Pakistan </w:t>
      </w:r>
      <w:r w:rsidR="00324755">
        <w:rPr>
          <w:u w:val="single"/>
        </w:rPr>
        <w:t>has</w:t>
      </w:r>
      <w:r w:rsidR="00324755">
        <w:t xml:space="preserve"> pleaded the defence of limitation, </w:t>
      </w:r>
      <w:r w:rsidR="004E6314">
        <w:t xml:space="preserve">and </w:t>
      </w:r>
      <w:r w:rsidR="004E6314" w:rsidRPr="004E6314">
        <w:rPr>
          <w:i/>
          <w:iCs/>
        </w:rPr>
        <w:t>prima facie</w:t>
      </w:r>
      <w:r w:rsidR="004E6314">
        <w:t xml:space="preserve"> (for the reasons described in paragraph </w:t>
      </w:r>
      <w:r w:rsidR="001C48FF">
        <w:t>26</w:t>
      </w:r>
      <w:r w:rsidR="004E6314">
        <w:t xml:space="preserve"> above) the defence is a good one. </w:t>
      </w:r>
    </w:p>
    <w:p w14:paraId="70A62419" w14:textId="77777777" w:rsidR="00561E58" w:rsidRDefault="005F616B" w:rsidP="004F625D">
      <w:pPr>
        <w:numPr>
          <w:ilvl w:val="0"/>
          <w:numId w:val="2"/>
        </w:numPr>
        <w:autoSpaceDE w:val="0"/>
        <w:spacing w:before="240" w:after="240"/>
        <w:jc w:val="both"/>
      </w:pPr>
      <w:r>
        <w:t xml:space="preserve">This section is concerned with the three contentions that the Princes and India advanced in order to overcome this defence. </w:t>
      </w:r>
      <w:r w:rsidR="00520189">
        <w:t xml:space="preserve">As I have described in paragraph </w:t>
      </w:r>
      <w:r w:rsidR="00B96BF1">
        <w:t>26</w:t>
      </w:r>
      <w:r w:rsidR="00520189">
        <w:t xml:space="preserve"> above, </w:t>
      </w:r>
      <w:r w:rsidR="00BA1D94">
        <w:t>the Princes and India contended that:</w:t>
      </w:r>
    </w:p>
    <w:p w14:paraId="30C3BE4E" w14:textId="77777777" w:rsidR="00BA1D94" w:rsidRDefault="003978F4" w:rsidP="00BA1D94">
      <w:pPr>
        <w:numPr>
          <w:ilvl w:val="1"/>
          <w:numId w:val="2"/>
        </w:numPr>
        <w:autoSpaceDE w:val="0"/>
        <w:spacing w:before="240" w:after="240"/>
        <w:jc w:val="both"/>
      </w:pPr>
      <w:r>
        <w:t>When Pak</w:t>
      </w:r>
      <w:r w:rsidR="001C48FF">
        <w:t>i</w:t>
      </w:r>
      <w:r>
        <w:t>stan successfully inv</w:t>
      </w:r>
      <w:r w:rsidRPr="009E3E58">
        <w:t>o</w:t>
      </w:r>
      <w:r w:rsidR="00066AA2" w:rsidRPr="009E3E58">
        <w:t>k</w:t>
      </w:r>
      <w:r w:rsidRPr="009E3E58">
        <w:t>ed</w:t>
      </w:r>
      <w:r>
        <w:t xml:space="preserve"> </w:t>
      </w:r>
      <w:r w:rsidR="00C16CF3">
        <w:t>sovereign immunity</w:t>
      </w:r>
      <w:r>
        <w:t xml:space="preserve">, </w:t>
      </w:r>
      <w:r w:rsidR="00C74BAE">
        <w:t xml:space="preserve">causing the 1954 Proceedings to be stayed, </w:t>
      </w:r>
      <w:r w:rsidR="00C16CF3">
        <w:t xml:space="preserve">time </w:t>
      </w:r>
      <w:r w:rsidR="00C74BAE">
        <w:t xml:space="preserve">ceased to </w:t>
      </w:r>
      <w:r w:rsidR="00C16CF3">
        <w:t>run against any claimants to the Fund</w:t>
      </w:r>
      <w:r w:rsidR="00C74BAE">
        <w:t xml:space="preserve">. </w:t>
      </w:r>
      <w:r w:rsidR="005C27A4">
        <w:t xml:space="preserve">Time only </w:t>
      </w:r>
      <w:r w:rsidR="00FE505B">
        <w:t xml:space="preserve">began to run again when </w:t>
      </w:r>
      <w:r w:rsidR="005C27A4">
        <w:t xml:space="preserve">Pakistan </w:t>
      </w:r>
      <w:r w:rsidR="00FE505B">
        <w:t>waived</w:t>
      </w:r>
      <w:r w:rsidR="005C27A4">
        <w:t xml:space="preserve"> her sovereign immunity.</w:t>
      </w:r>
    </w:p>
    <w:p w14:paraId="60688D7A" w14:textId="77777777" w:rsidR="003813D1" w:rsidRDefault="00DD7E66" w:rsidP="00BA1D94">
      <w:pPr>
        <w:numPr>
          <w:ilvl w:val="1"/>
          <w:numId w:val="2"/>
        </w:numPr>
        <w:autoSpaceDE w:val="0"/>
        <w:spacing w:before="240" w:after="240"/>
        <w:jc w:val="both"/>
      </w:pPr>
      <w:r>
        <w:t>Pakistan</w:t>
      </w:r>
      <w:r w:rsidR="005C27A4">
        <w:t>’s conduct in</w:t>
      </w:r>
      <w:r>
        <w:t xml:space="preserve"> </w:t>
      </w:r>
      <w:r w:rsidR="00BD7094">
        <w:t>raising the limitation defence amounted to an abuse of process.</w:t>
      </w:r>
    </w:p>
    <w:p w14:paraId="260864AD" w14:textId="77777777" w:rsidR="00BD7094" w:rsidRDefault="00BD7094" w:rsidP="00E91407">
      <w:pPr>
        <w:numPr>
          <w:ilvl w:val="1"/>
          <w:numId w:val="2"/>
        </w:numPr>
        <w:autoSpaceDE w:val="0"/>
        <w:spacing w:before="240" w:after="240"/>
        <w:jc w:val="both"/>
      </w:pPr>
      <w:r>
        <w:t xml:space="preserve">Even if the claim against Pakistan failed by reason of </w:t>
      </w:r>
      <w:r w:rsidR="00A84E43">
        <w:t>her invocation of the</w:t>
      </w:r>
      <w:r>
        <w:t xml:space="preserve"> limitation defence, </w:t>
      </w:r>
      <w:r w:rsidR="00407229">
        <w:t>the same claim could be advanced against the Bank, which had raised no limitation defence.</w:t>
      </w:r>
    </w:p>
    <w:p w14:paraId="2B0B1525" w14:textId="77777777" w:rsidR="00A313D2" w:rsidRDefault="00E91407" w:rsidP="009D57D2">
      <w:pPr>
        <w:numPr>
          <w:ilvl w:val="0"/>
          <w:numId w:val="2"/>
        </w:numPr>
        <w:autoSpaceDE w:val="0"/>
        <w:spacing w:before="240" w:after="240"/>
        <w:jc w:val="both"/>
      </w:pPr>
      <w:r>
        <w:t>I consider these points in turn below.</w:t>
      </w:r>
      <w:r w:rsidR="009D57D2">
        <w:t xml:space="preserve"> Before I do so, </w:t>
      </w:r>
      <w:r w:rsidR="00090D4C">
        <w:t xml:space="preserve">it is necessary to say something about the applicable law regarding limitation. When the 1954 Proceedings were commenced, they were within time under the then </w:t>
      </w:r>
      <w:r w:rsidR="003F6AB6">
        <w:t xml:space="preserve">applicable statute of limitation, the Limitation Act 1939. By order of the House of Lords, and by reason of </w:t>
      </w:r>
      <w:r w:rsidR="00775C79">
        <w:t xml:space="preserve">the House of Lords’ decision that Pakistan could assert sovereign immunity, </w:t>
      </w:r>
      <w:r w:rsidR="004A4430">
        <w:t xml:space="preserve">the 1954 Proceedings were stayed. </w:t>
      </w:r>
      <w:r w:rsidR="00590A5B">
        <w:t>It might be thought that the limitation defence asserted by Pakistan cou</w:t>
      </w:r>
      <w:r w:rsidR="00FA4AAA">
        <w:t>ld be circumvented by having</w:t>
      </w:r>
      <w:r w:rsidR="00D53DD5">
        <w:t xml:space="preserve"> the stay lifted and </w:t>
      </w:r>
      <w:r w:rsidR="00FA4AAA">
        <w:t xml:space="preserve">causing the Princes and India to </w:t>
      </w:r>
      <w:r w:rsidR="00D53DD5">
        <w:t xml:space="preserve">be joined </w:t>
      </w:r>
      <w:r w:rsidR="00D53DD5">
        <w:lastRenderedPageBreak/>
        <w:t>to the 1954 Proceedings.</w:t>
      </w:r>
      <w:r w:rsidR="004E1B28">
        <w:t xml:space="preserve"> Th</w:t>
      </w:r>
      <w:r w:rsidR="001F7A99">
        <w:t>is</w:t>
      </w:r>
      <w:r w:rsidR="004E1B28">
        <w:t xml:space="preserve"> point</w:t>
      </w:r>
      <w:r w:rsidR="001F7A99">
        <w:t xml:space="preserve"> was considered </w:t>
      </w:r>
      <w:r w:rsidR="004E1B28">
        <w:t xml:space="preserve">by Henderson J in </w:t>
      </w:r>
      <w:r w:rsidR="00D765EE">
        <w:t>the interlocutory stages of these proceedings:</w:t>
      </w:r>
      <w:r w:rsidR="00B61C37">
        <w:rPr>
          <w:rStyle w:val="FootnoteReference"/>
        </w:rPr>
        <w:footnoteReference w:id="203"/>
      </w:r>
    </w:p>
    <w:p w14:paraId="6336ED2D" w14:textId="77777777" w:rsidR="00A313D2" w:rsidRPr="00D324D2" w:rsidRDefault="00501586" w:rsidP="00A313D2">
      <w:pPr>
        <w:autoSpaceDE w:val="0"/>
        <w:spacing w:before="240" w:after="240"/>
        <w:ind w:left="567"/>
        <w:jc w:val="both"/>
        <w:rPr>
          <w:sz w:val="22"/>
          <w:szCs w:val="22"/>
        </w:rPr>
      </w:pPr>
      <w:r w:rsidRPr="00D324D2">
        <w:rPr>
          <w:sz w:val="22"/>
          <w:szCs w:val="22"/>
        </w:rPr>
        <w:t>“The Princes also have an argument of a more technical nature. They submit that, if a statute of limitation were to apply at all, it would be the Limitation Act 1939, not the Limitation Act 1980.  The reason for this is that any applicable limitation period would have expired before the commencement of the 1980 Act, which itself provides (by paragraph 9(1) of Schedule 2) that nothing in the 1980 Act will enable an action to be brought which was barred by the 1939 Act.  The significance of this</w:t>
      </w:r>
      <w:r w:rsidRPr="00D324D2">
        <w:rPr>
          <w:i/>
          <w:sz w:val="22"/>
          <w:szCs w:val="22"/>
        </w:rPr>
        <w:t xml:space="preserve"> </w:t>
      </w:r>
      <w:r w:rsidRPr="00D324D2">
        <w:rPr>
          <w:sz w:val="22"/>
          <w:szCs w:val="22"/>
        </w:rPr>
        <w:t>point, for present purposes, is that, if the 1980 Act applied, it might be possible for India or the Princes to apply to be joined to the 1954 proceedings, and to lift the stay on those proceedings for the purposes of bringing a claim against Pakistan in reliance on the procedure provided by section 35 of the 1980 Act and CPR rule 19.5, with the result that the claim would then be treated as having been brought against Pakistan in 1954. I express no view on the question whether the doctrine of relation back in section 35 of the 1980 Act could in principle be successfully invoked by India and the Princes in the circumstances of the present case. What matters is that no similar possibility would be available if the position is governed by the 1939 Act, because it contained no equivalent of section 35 enabling a change of parties with retrospective effect after the expiry of a limitation period.  In</w:t>
      </w:r>
      <w:r w:rsidRPr="00D324D2">
        <w:rPr>
          <w:i/>
          <w:sz w:val="22"/>
          <w:szCs w:val="22"/>
        </w:rPr>
        <w:t xml:space="preserve"> </w:t>
      </w:r>
      <w:bookmarkStart w:id="4" w:name="_Hlk8823583"/>
      <w:r w:rsidRPr="00D324D2">
        <w:rPr>
          <w:i/>
          <w:sz w:val="22"/>
          <w:szCs w:val="22"/>
        </w:rPr>
        <w:t xml:space="preserve">Ketteman v Hansel </w:t>
      </w:r>
      <w:r w:rsidRPr="00D324D2">
        <w:rPr>
          <w:sz w:val="22"/>
          <w:szCs w:val="22"/>
        </w:rPr>
        <w:t>[1987] AC 189</w:t>
      </w:r>
      <w:bookmarkEnd w:id="4"/>
      <w:r w:rsidRPr="00D324D2">
        <w:rPr>
          <w:sz w:val="22"/>
          <w:szCs w:val="22"/>
        </w:rPr>
        <w:t>, the House of Lords confirmed that, under the law as it stood before 1980, a person added as a defendant did not become a party until the writ had been served on him, and his joinder could not be treated as having retrospective effect.  It follows that any new claim made against Pakistan in the context of the 1954 proceedings would be treated as having been brought in 2016 rather than 1954.</w:t>
      </w:r>
      <w:r w:rsidR="00D324D2" w:rsidRPr="00D324D2">
        <w:rPr>
          <w:sz w:val="22"/>
          <w:szCs w:val="22"/>
        </w:rPr>
        <w:t>”</w:t>
      </w:r>
    </w:p>
    <w:p w14:paraId="4D35D527" w14:textId="77777777" w:rsidR="00676580" w:rsidRDefault="0097633D" w:rsidP="0097633D">
      <w:pPr>
        <w:autoSpaceDE w:val="0"/>
        <w:spacing w:before="240" w:after="240"/>
        <w:ind w:left="567"/>
        <w:jc w:val="both"/>
      </w:pPr>
      <w:r>
        <w:t xml:space="preserve">Thus, lifting the stay </w:t>
      </w:r>
      <w:r w:rsidR="00E85D6E">
        <w:t xml:space="preserve">of the 1954 </w:t>
      </w:r>
      <w:r w:rsidR="00E85D6E" w:rsidRPr="00751778">
        <w:t>Proceedings to permit</w:t>
      </w:r>
      <w:r w:rsidR="00E85D6E">
        <w:t xml:space="preserve"> other parties to be joined </w:t>
      </w:r>
      <w:r>
        <w:t>would serve no useful purpose.</w:t>
      </w:r>
      <w:r w:rsidR="008C1196">
        <w:t xml:space="preserve"> </w:t>
      </w:r>
    </w:p>
    <w:p w14:paraId="253F1209" w14:textId="77777777" w:rsidR="00E91407" w:rsidRDefault="008C1196" w:rsidP="009D57D2">
      <w:pPr>
        <w:numPr>
          <w:ilvl w:val="0"/>
          <w:numId w:val="2"/>
        </w:numPr>
        <w:autoSpaceDE w:val="0"/>
        <w:spacing w:before="240" w:after="240"/>
        <w:jc w:val="both"/>
      </w:pPr>
      <w:r>
        <w:t xml:space="preserve">I respectfully agree with Henderson J’s reasoning regarding the application of the </w:t>
      </w:r>
      <w:r w:rsidR="00157137">
        <w:t xml:space="preserve">Limitation Act 1939 rather than the Limitation Act 1980: the cause of action </w:t>
      </w:r>
      <w:r w:rsidR="00E930F6">
        <w:t xml:space="preserve">accrued on 20 September 1948, and it is clear that the entry into force of the Limitation Act 1980 cannot </w:t>
      </w:r>
      <w:r w:rsidR="003F179B">
        <w:t>improve the position of the Princes and India.</w:t>
      </w:r>
    </w:p>
    <w:p w14:paraId="7FA3A713" w14:textId="77777777" w:rsidR="009D710E" w:rsidRPr="004527E6" w:rsidRDefault="004527E6" w:rsidP="003F771C">
      <w:pPr>
        <w:keepNext/>
        <w:tabs>
          <w:tab w:val="left" w:pos="567"/>
        </w:tabs>
        <w:autoSpaceDE w:val="0"/>
        <w:spacing w:before="240" w:after="240"/>
        <w:ind w:left="567" w:hanging="567"/>
        <w:jc w:val="both"/>
        <w:rPr>
          <w:b/>
          <w:bCs/>
        </w:rPr>
      </w:pPr>
      <w:r>
        <w:rPr>
          <w:b/>
          <w:bCs/>
        </w:rPr>
        <w:t>(2</w:t>
      </w:r>
      <w:r w:rsidR="00E91407">
        <w:rPr>
          <w:b/>
          <w:bCs/>
        </w:rPr>
        <w:t>)</w:t>
      </w:r>
      <w:r w:rsidR="006C1E95">
        <w:rPr>
          <w:b/>
          <w:bCs/>
        </w:rPr>
        <w:tab/>
      </w:r>
      <w:r w:rsidR="00493561">
        <w:rPr>
          <w:b/>
          <w:bCs/>
        </w:rPr>
        <w:t xml:space="preserve">Pakistan’s raising of the </w:t>
      </w:r>
      <w:r w:rsidR="00422549">
        <w:rPr>
          <w:b/>
          <w:bCs/>
        </w:rPr>
        <w:t xml:space="preserve">procedural bar of sovereign immunity prevented time running against any claimants to the Fund, which only began to run </w:t>
      </w:r>
      <w:r w:rsidR="005F00E8">
        <w:rPr>
          <w:b/>
          <w:bCs/>
        </w:rPr>
        <w:t>when the procedural bar was waived</w:t>
      </w:r>
      <w:r w:rsidR="00422549">
        <w:rPr>
          <w:b/>
          <w:bCs/>
        </w:rPr>
        <w:t xml:space="preserve"> </w:t>
      </w:r>
    </w:p>
    <w:p w14:paraId="444D92DE" w14:textId="77777777" w:rsidR="005F00E8" w:rsidRDefault="003F771C" w:rsidP="009D710E">
      <w:pPr>
        <w:numPr>
          <w:ilvl w:val="0"/>
          <w:numId w:val="2"/>
        </w:numPr>
        <w:autoSpaceDE w:val="0"/>
        <w:spacing w:before="240" w:after="240"/>
        <w:jc w:val="both"/>
      </w:pPr>
      <w:r>
        <w:t>N</w:t>
      </w:r>
      <w:r w:rsidR="00AA5F84">
        <w:t xml:space="preserve">either the Limitation Act 1939 nor the Limitation Act 1980 constitutes a complete code </w:t>
      </w:r>
      <w:r w:rsidR="008B6608">
        <w:t xml:space="preserve">as to when causes of action become time-barred. For example, </w:t>
      </w:r>
      <w:r w:rsidR="002A1DC0">
        <w:t xml:space="preserve">neither Act provides for </w:t>
      </w:r>
      <w:r w:rsidR="002A1DC0">
        <w:rPr>
          <w:u w:val="single"/>
        </w:rPr>
        <w:t>when</w:t>
      </w:r>
      <w:r w:rsidR="002A1DC0">
        <w:t xml:space="preserve"> a cause of action accrues</w:t>
      </w:r>
      <w:r w:rsidR="00991164">
        <w:t>.</w:t>
      </w:r>
      <w:r w:rsidR="00DC1376">
        <w:t xml:space="preserve"> Thus</w:t>
      </w:r>
      <w:r w:rsidR="00AD5ED3">
        <w:t xml:space="preserve">, it has been the common law that has found that causes of action accrue </w:t>
      </w:r>
      <w:r w:rsidR="00DD433F">
        <w:t>when even “latent” damage (</w:t>
      </w:r>
      <w:r w:rsidR="00DD433F">
        <w:rPr>
          <w:i/>
          <w:iCs/>
        </w:rPr>
        <w:t>i.e.</w:t>
      </w:r>
      <w:r w:rsidR="00DD433F">
        <w:t xml:space="preserve"> damage that the claimant could not reasonably have been aware of) </w:t>
      </w:r>
      <w:r w:rsidR="00603F44">
        <w:t>occurs.</w:t>
      </w:r>
      <w:r w:rsidR="00603F44">
        <w:rPr>
          <w:rStyle w:val="FootnoteReference"/>
        </w:rPr>
        <w:footnoteReference w:id="204"/>
      </w:r>
      <w:r w:rsidR="00643B19">
        <w:t xml:space="preserve"> Significantly, </w:t>
      </w:r>
      <w:r w:rsidR="00B61F11">
        <w:t>it was the legislature, and not the common law, that dealt with the injustice of a cause of action becoming time-barred before the claimant could reasonably become aware of it</w:t>
      </w:r>
      <w:r w:rsidR="00AB4DF8">
        <w:t xml:space="preserve">, in section </w:t>
      </w:r>
      <w:r w:rsidR="00905F65">
        <w:t xml:space="preserve">11 of the Limitation Act 1980 </w:t>
      </w:r>
      <w:r w:rsidR="004A3BB8">
        <w:t xml:space="preserve">(in the case of personal injury) and in section 14A of the Limitation Act 1980 (in the case of </w:t>
      </w:r>
      <w:r w:rsidR="00BC196C">
        <w:t>latent damage not involving personal injury).</w:t>
      </w:r>
      <w:r w:rsidR="00441D21">
        <w:rPr>
          <w:rStyle w:val="FootnoteReference"/>
        </w:rPr>
        <w:footnoteReference w:id="205"/>
      </w:r>
    </w:p>
    <w:p w14:paraId="6F081800" w14:textId="77777777" w:rsidR="00451A60" w:rsidRDefault="002B2C94" w:rsidP="00847BEC">
      <w:pPr>
        <w:numPr>
          <w:ilvl w:val="0"/>
          <w:numId w:val="2"/>
        </w:numPr>
        <w:autoSpaceDE w:val="0"/>
        <w:spacing w:before="240" w:after="240"/>
        <w:jc w:val="both"/>
      </w:pPr>
      <w:r>
        <w:lastRenderedPageBreak/>
        <w:t xml:space="preserve">The fact that it has been necessary to introduce extensions of the limitation period in appropriate cases by statute seems to me to constitute a complete answer to </w:t>
      </w:r>
      <w:r w:rsidR="000D0EBB">
        <w:t>the Princes’ and India’s contention that the period during which Pakistan asserted sovereign immunity does not count towards the limitation period</w:t>
      </w:r>
      <w:r w:rsidR="00847BEC">
        <w:t xml:space="preserve">. </w:t>
      </w:r>
      <w:r w:rsidR="00451A60">
        <w:t xml:space="preserve">Both the Limitation Act 1939 and the Limitation Act 1980 are structured similarly. </w:t>
      </w:r>
      <w:r w:rsidR="00763E09">
        <w:t xml:space="preserve">In each case, Part I sets out the periods of limitation for different classes of action, </w:t>
      </w:r>
      <w:r w:rsidR="00763E09" w:rsidRPr="00847BEC">
        <w:rPr>
          <w:i/>
          <w:iCs/>
        </w:rPr>
        <w:t xml:space="preserve">i.e. </w:t>
      </w:r>
      <w:r w:rsidR="00763E09">
        <w:t xml:space="preserve">the period within which, </w:t>
      </w:r>
      <w:r w:rsidR="00706F7D">
        <w:t xml:space="preserve">after the cause of action has accrued, the claim must be brought. </w:t>
      </w:r>
      <w:r w:rsidR="005F55CF">
        <w:t xml:space="preserve">Part II of </w:t>
      </w:r>
      <w:r w:rsidR="00CB1E3C">
        <w:t>both</w:t>
      </w:r>
      <w:r w:rsidR="005F55CF">
        <w:t xml:space="preserve"> Acts then</w:t>
      </w:r>
      <w:r w:rsidR="003B3154">
        <w:t xml:space="preserve"> contain a series of extensions to or exclusions of these ordinary time limits. Thus, for instance, </w:t>
      </w:r>
      <w:r w:rsidR="0002304A">
        <w:t>both Acts provide for an extension of the applicable periods in case</w:t>
      </w:r>
      <w:r w:rsidR="00CB1E3C">
        <w:t>s</w:t>
      </w:r>
      <w:r w:rsidR="0002304A">
        <w:t xml:space="preserve"> of disability.</w:t>
      </w:r>
      <w:r w:rsidR="0002304A">
        <w:rPr>
          <w:rStyle w:val="FootnoteReference"/>
        </w:rPr>
        <w:footnoteReference w:id="206"/>
      </w:r>
      <w:r w:rsidR="005B7986">
        <w:t xml:space="preserve"> I do not consider that it is open to me to create a fresh basis for extending </w:t>
      </w:r>
      <w:r w:rsidR="00BE319C">
        <w:t>the time within which a claim must be brought, no matter how appropriate such a basis for extending time might seem to me. As the law in the case of latent damage shows, such changes have been achieved through legislation</w:t>
      </w:r>
      <w:r w:rsidR="00C01302">
        <w:t>, and not through judicial intervention.</w:t>
      </w:r>
    </w:p>
    <w:p w14:paraId="248DB189" w14:textId="77777777" w:rsidR="004631BC" w:rsidRDefault="00C01302" w:rsidP="00847BEC">
      <w:pPr>
        <w:numPr>
          <w:ilvl w:val="0"/>
          <w:numId w:val="2"/>
        </w:numPr>
        <w:autoSpaceDE w:val="0"/>
        <w:spacing w:before="240" w:after="240"/>
        <w:jc w:val="both"/>
      </w:pPr>
      <w:r>
        <w:t xml:space="preserve">The </w:t>
      </w:r>
      <w:r w:rsidR="00DA127A">
        <w:t xml:space="preserve">only authority relied upon by the Princes and India in support of their contention was </w:t>
      </w:r>
      <w:r w:rsidR="004631BC">
        <w:rPr>
          <w:i/>
          <w:iCs/>
        </w:rPr>
        <w:t xml:space="preserve">Musurus Bey v. </w:t>
      </w:r>
      <w:r w:rsidR="00C919B1">
        <w:rPr>
          <w:i/>
          <w:iCs/>
        </w:rPr>
        <w:t>Gadban</w:t>
      </w:r>
      <w:r w:rsidR="004631BC">
        <w:t>,</w:t>
      </w:r>
      <w:r w:rsidR="004631BC">
        <w:rPr>
          <w:rStyle w:val="FootnoteReference"/>
        </w:rPr>
        <w:footnoteReference w:id="207"/>
      </w:r>
      <w:r w:rsidR="00C72AFF">
        <w:t xml:space="preserve"> where it was held that the immunity from suit of a foreign ambassador in the English courts </w:t>
      </w:r>
      <w:r w:rsidR="00446247">
        <w:t xml:space="preserve">during his period of accreditation and a reasonable period thereafter had the effect that time did not begin to run against his creditors </w:t>
      </w:r>
      <w:r w:rsidR="003B0458">
        <w:t xml:space="preserve">until the end of that period. Henderson J considered </w:t>
      </w:r>
      <w:r w:rsidR="003B0458">
        <w:rPr>
          <w:i/>
          <w:iCs/>
        </w:rPr>
        <w:t>Musurus Bey</w:t>
      </w:r>
      <w:r w:rsidR="003B0458">
        <w:t xml:space="preserve"> in </w:t>
      </w:r>
      <w:r w:rsidR="00283DC9">
        <w:t>his interlocutory judgment in these proceedings,</w:t>
      </w:r>
      <w:r w:rsidR="00283DC9">
        <w:rPr>
          <w:rStyle w:val="FootnoteReference"/>
        </w:rPr>
        <w:footnoteReference w:id="208"/>
      </w:r>
      <w:r w:rsidR="000F2281">
        <w:t xml:space="preserve"> where he noted that this decision had been the subject of </w:t>
      </w:r>
      <w:r w:rsidR="00AF2745">
        <w:t>criticism in later cases.</w:t>
      </w:r>
      <w:r w:rsidR="00AF2745">
        <w:rPr>
          <w:rStyle w:val="FootnoteReference"/>
        </w:rPr>
        <w:footnoteReference w:id="209"/>
      </w:r>
      <w:r w:rsidR="00AF2745">
        <w:t xml:space="preserve"> He concluded</w:t>
      </w:r>
      <w:r w:rsidR="003F6EFA">
        <w:t>:</w:t>
      </w:r>
      <w:r w:rsidR="003F6EFA">
        <w:rPr>
          <w:rStyle w:val="FootnoteReference"/>
        </w:rPr>
        <w:footnoteReference w:id="210"/>
      </w:r>
    </w:p>
    <w:p w14:paraId="6AE0A038" w14:textId="77777777" w:rsidR="003F6EFA" w:rsidRPr="003F6EFA" w:rsidRDefault="003F6EFA" w:rsidP="00DB06AD">
      <w:pPr>
        <w:autoSpaceDE w:val="0"/>
        <w:spacing w:before="240" w:after="240"/>
        <w:ind w:left="567"/>
        <w:jc w:val="both"/>
        <w:rPr>
          <w:sz w:val="22"/>
          <w:szCs w:val="22"/>
        </w:rPr>
      </w:pPr>
      <w:r>
        <w:rPr>
          <w:sz w:val="22"/>
          <w:szCs w:val="22"/>
        </w:rPr>
        <w:t>“The question is not straightforward</w:t>
      </w:r>
      <w:r w:rsidR="00DA4C55">
        <w:rPr>
          <w:sz w:val="22"/>
          <w:szCs w:val="22"/>
        </w:rPr>
        <w:t>, however, and in my view it is unsuitable for summary determination. The better course is to leave it for determination at trial</w:t>
      </w:r>
      <w:r w:rsidR="00C230DA">
        <w:rPr>
          <w:sz w:val="22"/>
          <w:szCs w:val="22"/>
        </w:rPr>
        <w:t xml:space="preserve">, when it can be considered together with the question whether it is an abuse of process for Pakistan to rely on limitation defences at all. </w:t>
      </w:r>
      <w:r w:rsidR="00076067">
        <w:rPr>
          <w:sz w:val="22"/>
          <w:szCs w:val="22"/>
        </w:rPr>
        <w:t xml:space="preserve">Since the trust claims of India and the Princes will have to go to trial in any event, I cannot see any advantage </w:t>
      </w:r>
      <w:r w:rsidR="009B19D2">
        <w:rPr>
          <w:sz w:val="22"/>
          <w:szCs w:val="22"/>
        </w:rPr>
        <w:t>in determining the difficult questions of law to which these aspects of Pakistan’s limitation defences give rise in advance of the trial</w:t>
      </w:r>
      <w:r w:rsidR="00F240A4">
        <w:rPr>
          <w:sz w:val="22"/>
          <w:szCs w:val="22"/>
        </w:rPr>
        <w:t>, and I think the court will be better placed to consider a</w:t>
      </w:r>
      <w:r w:rsidR="00B11E07">
        <w:rPr>
          <w:sz w:val="22"/>
          <w:szCs w:val="22"/>
        </w:rPr>
        <w:t>nd</w:t>
      </w:r>
      <w:r w:rsidR="00F240A4">
        <w:rPr>
          <w:sz w:val="22"/>
          <w:szCs w:val="22"/>
        </w:rPr>
        <w:t xml:space="preserve"> rule upon them in the context of its actual, rather than hypothetical, findings of fact.” </w:t>
      </w:r>
    </w:p>
    <w:p w14:paraId="466F812D" w14:textId="77777777" w:rsidR="004631BC" w:rsidRDefault="00F240A4" w:rsidP="00DB06AD">
      <w:pPr>
        <w:numPr>
          <w:ilvl w:val="0"/>
          <w:numId w:val="2"/>
        </w:numPr>
        <w:autoSpaceDE w:val="0"/>
        <w:spacing w:before="240" w:after="240"/>
        <w:jc w:val="both"/>
      </w:pPr>
      <w:r>
        <w:t xml:space="preserve">There is, as it seems to me, nothing in </w:t>
      </w:r>
      <w:r>
        <w:rPr>
          <w:i/>
          <w:iCs/>
        </w:rPr>
        <w:t>Musurus Bey</w:t>
      </w:r>
      <w:r>
        <w:t xml:space="preserve"> to cause me to alter </w:t>
      </w:r>
      <w:r w:rsidR="00DB06AD">
        <w:t>the</w:t>
      </w:r>
      <w:r>
        <w:t xml:space="preserve"> conclusion </w:t>
      </w:r>
      <w:r w:rsidR="00DB06AD">
        <w:t>expressed</w:t>
      </w:r>
      <w:r w:rsidR="00125326">
        <w:t xml:space="preserve"> in paragraph </w:t>
      </w:r>
      <w:r w:rsidR="00C87B99">
        <w:t>277</w:t>
      </w:r>
      <w:r w:rsidR="00125326">
        <w:t xml:space="preserve"> above. Not only has the </w:t>
      </w:r>
      <w:r w:rsidR="00DB06AD">
        <w:rPr>
          <w:i/>
          <w:iCs/>
        </w:rPr>
        <w:t xml:space="preserve">Musurus Bey </w:t>
      </w:r>
      <w:r w:rsidR="00125326">
        <w:t xml:space="preserve">decision been criticised </w:t>
      </w:r>
      <w:r w:rsidR="007216F9">
        <w:t xml:space="preserve">in later cases, </w:t>
      </w:r>
      <w:r w:rsidR="00160680">
        <w:t xml:space="preserve">as Henderson J noted, but more to the point the decision pre-dates the 1939 Act which </w:t>
      </w:r>
      <w:r w:rsidR="00CC6BA6">
        <w:t>–</w:t>
      </w:r>
      <w:r w:rsidR="00160680">
        <w:t xml:space="preserve"> </w:t>
      </w:r>
      <w:r w:rsidR="00CC6BA6">
        <w:t>for the reasons I have given – seems to me to be codificatory of the circumstances in which limitation periods can be extended.</w:t>
      </w:r>
      <w:r w:rsidR="005E046A">
        <w:rPr>
          <w:rStyle w:val="FootnoteReference"/>
        </w:rPr>
        <w:footnoteReference w:id="211"/>
      </w:r>
      <w:r w:rsidR="00CC6BA6">
        <w:t xml:space="preserve"> </w:t>
      </w:r>
    </w:p>
    <w:p w14:paraId="3EBB6680" w14:textId="77777777" w:rsidR="001701DB" w:rsidRPr="001701DB" w:rsidRDefault="001701DB" w:rsidP="00C10063">
      <w:pPr>
        <w:keepNext/>
        <w:tabs>
          <w:tab w:val="left" w:pos="567"/>
        </w:tabs>
        <w:autoSpaceDE w:val="0"/>
        <w:spacing w:before="240" w:after="240"/>
        <w:jc w:val="both"/>
        <w:rPr>
          <w:b/>
          <w:bCs/>
        </w:rPr>
      </w:pPr>
      <w:r>
        <w:rPr>
          <w:b/>
          <w:bCs/>
        </w:rPr>
        <w:lastRenderedPageBreak/>
        <w:t>(3)</w:t>
      </w:r>
      <w:r>
        <w:rPr>
          <w:b/>
          <w:bCs/>
        </w:rPr>
        <w:tab/>
        <w:t>Abuse of process</w:t>
      </w:r>
      <w:r w:rsidR="00F303E9">
        <w:rPr>
          <w:b/>
          <w:bCs/>
        </w:rPr>
        <w:t xml:space="preserve"> in raising </w:t>
      </w:r>
      <w:r w:rsidR="00E47F60">
        <w:rPr>
          <w:b/>
          <w:bCs/>
        </w:rPr>
        <w:t>the limitation defence</w:t>
      </w:r>
    </w:p>
    <w:p w14:paraId="36581D75" w14:textId="77777777" w:rsidR="00AF41AA" w:rsidRDefault="00AF41AA" w:rsidP="009D710E">
      <w:pPr>
        <w:numPr>
          <w:ilvl w:val="0"/>
          <w:numId w:val="2"/>
        </w:numPr>
        <w:autoSpaceDE w:val="0"/>
        <w:spacing w:before="240" w:after="240"/>
        <w:jc w:val="both"/>
      </w:pPr>
      <w:r>
        <w:t xml:space="preserve">In his interlocutory judgment, Henderson J </w:t>
      </w:r>
      <w:r w:rsidR="00510FA1">
        <w:t>described the Princes’ and India’s contention in this regard in the following way:</w:t>
      </w:r>
      <w:r w:rsidR="00510FA1">
        <w:rPr>
          <w:rStyle w:val="FootnoteReference"/>
        </w:rPr>
        <w:footnoteReference w:id="212"/>
      </w:r>
    </w:p>
    <w:p w14:paraId="6D6EECFD" w14:textId="77777777" w:rsidR="00815433" w:rsidRDefault="00510FA1" w:rsidP="00815433">
      <w:pPr>
        <w:autoSpaceDE w:val="0"/>
        <w:spacing w:before="240" w:after="240"/>
        <w:ind w:left="1287" w:hanging="720"/>
        <w:jc w:val="both"/>
        <w:rPr>
          <w:sz w:val="22"/>
          <w:szCs w:val="22"/>
        </w:rPr>
      </w:pPr>
      <w:r w:rsidRPr="00CF5BED">
        <w:rPr>
          <w:sz w:val="22"/>
          <w:szCs w:val="22"/>
        </w:rPr>
        <w:t>“</w:t>
      </w:r>
      <w:r w:rsidR="00815433">
        <w:rPr>
          <w:sz w:val="22"/>
          <w:szCs w:val="22"/>
        </w:rPr>
        <w:t>115.</w:t>
      </w:r>
      <w:r w:rsidR="00815433">
        <w:rPr>
          <w:sz w:val="22"/>
          <w:szCs w:val="22"/>
        </w:rPr>
        <w:tab/>
      </w:r>
      <w:r w:rsidR="00CF5BED" w:rsidRPr="00CF5BED">
        <w:rPr>
          <w:sz w:val="22"/>
          <w:szCs w:val="22"/>
        </w:rPr>
        <w:t>My inclination, therefore, would be to hold that it is in principle open to India and the Princes to argue that Pakistan’s limitation defences are abusive, and the court should not permit her to rely on them. If the court can properly entertain the question, I would then see very considerable force in the argument that Pakistan’s conduct in pleading the defences was indeed abusive. The abuse would lie in Pakistan’s reliance upon limitation to defeat claims which she had herself prevented from being pursued within the relevant limitation periods by her invocation of sovereign immunity. It is important to observe that the abuse would lie, not in Pakistan’s original decision to plead sovereign immunity, nor in her subsequent decision to waive that immunity by starting the present proceedings, but only in the reliance upon limitation defences to defeat claims which she had herself prevented from being begun in time.</w:t>
      </w:r>
    </w:p>
    <w:p w14:paraId="53869DCB" w14:textId="77777777" w:rsidR="00510FA1" w:rsidRPr="00815433" w:rsidRDefault="00815433" w:rsidP="00815433">
      <w:pPr>
        <w:autoSpaceDE w:val="0"/>
        <w:spacing w:before="240" w:after="240"/>
        <w:ind w:left="1287" w:hanging="720"/>
        <w:jc w:val="both"/>
        <w:rPr>
          <w:sz w:val="22"/>
          <w:szCs w:val="22"/>
        </w:rPr>
      </w:pPr>
      <w:r w:rsidRPr="00815433">
        <w:rPr>
          <w:sz w:val="22"/>
          <w:szCs w:val="22"/>
        </w:rPr>
        <w:t xml:space="preserve">116. </w:t>
      </w:r>
      <w:r w:rsidRPr="00815433">
        <w:rPr>
          <w:sz w:val="22"/>
          <w:szCs w:val="22"/>
        </w:rPr>
        <w:tab/>
        <w:t>It would be no objection to such an analysis, I think, that, once she had invoked her sovereign immunity, Pakistan was in principle able to defer adjudication upon the merits of the dispute indefinitely, and certainly until long after the expiry of any relevant limitation period.  The point is, rather, that, once Pakistan had deliberately brought this state of affairs into existence, it would be an abuse of process for her to initiate proceedings for the purpose of resolving the dispute, but then rely on a defence which owed its existence to the immunity which she had now waived. Unless implicitly excluded by the statutory scheme of the Limitation Acts, a challenge to Pakistan’s limitation defences on these grounds would in my view, at the lowest, have good prospects of success.</w:t>
      </w:r>
      <w:r>
        <w:rPr>
          <w:sz w:val="22"/>
          <w:szCs w:val="22"/>
        </w:rPr>
        <w:t>”</w:t>
      </w:r>
    </w:p>
    <w:p w14:paraId="6E60668F" w14:textId="77777777" w:rsidR="001701DB" w:rsidRDefault="00AF7250" w:rsidP="00E066BB">
      <w:pPr>
        <w:numPr>
          <w:ilvl w:val="0"/>
          <w:numId w:val="2"/>
        </w:numPr>
        <w:autoSpaceDE w:val="0"/>
        <w:spacing w:before="240" w:after="240"/>
        <w:jc w:val="both"/>
      </w:pPr>
      <w:r>
        <w:t>Pakistan’s alleged abuse of process thus arises out of a combination of</w:t>
      </w:r>
      <w:r w:rsidR="00305662">
        <w:t>:</w:t>
      </w:r>
    </w:p>
    <w:p w14:paraId="034B78C9" w14:textId="77777777" w:rsidR="00305662" w:rsidRDefault="00305662" w:rsidP="00305662">
      <w:pPr>
        <w:numPr>
          <w:ilvl w:val="1"/>
          <w:numId w:val="2"/>
        </w:numPr>
        <w:autoSpaceDE w:val="0"/>
        <w:spacing w:before="240" w:after="240"/>
        <w:jc w:val="both"/>
      </w:pPr>
      <w:r>
        <w:t xml:space="preserve">Pakistan’s assertion of </w:t>
      </w:r>
      <w:r w:rsidR="009A17A2">
        <w:t xml:space="preserve">sovereign immunity, </w:t>
      </w:r>
      <w:r w:rsidR="00AF7250">
        <w:t xml:space="preserve">thus </w:t>
      </w:r>
      <w:r w:rsidR="009A17A2">
        <w:t xml:space="preserve">preventing </w:t>
      </w:r>
      <w:r w:rsidR="00AF7250">
        <w:t>these claims from being made</w:t>
      </w:r>
      <w:r w:rsidR="009A17A2">
        <w:t>;</w:t>
      </w:r>
    </w:p>
    <w:p w14:paraId="01655BD0" w14:textId="77777777" w:rsidR="000B4992" w:rsidRDefault="009A17A2" w:rsidP="00305662">
      <w:pPr>
        <w:numPr>
          <w:ilvl w:val="1"/>
          <w:numId w:val="2"/>
        </w:numPr>
        <w:autoSpaceDE w:val="0"/>
        <w:spacing w:before="240" w:after="240"/>
        <w:jc w:val="both"/>
      </w:pPr>
      <w:r>
        <w:t>Her waiver of that immunity</w:t>
      </w:r>
      <w:r w:rsidR="0064603F">
        <w:t xml:space="preserve"> by the bringing of a claim </w:t>
      </w:r>
      <w:r w:rsidR="000B4992">
        <w:t xml:space="preserve">herself </w:t>
      </w:r>
      <w:r w:rsidR="0064603F">
        <w:t xml:space="preserve">regarding the </w:t>
      </w:r>
      <w:r w:rsidR="000B4992">
        <w:t xml:space="preserve">property over which the Princes and India </w:t>
      </w:r>
      <w:r w:rsidR="009D51A4">
        <w:t xml:space="preserve">also </w:t>
      </w:r>
      <w:r w:rsidR="000B4992">
        <w:t>asserted a claim; and</w:t>
      </w:r>
    </w:p>
    <w:p w14:paraId="287FF529" w14:textId="77777777" w:rsidR="009A17A2" w:rsidRDefault="000B4992" w:rsidP="00305662">
      <w:pPr>
        <w:numPr>
          <w:ilvl w:val="1"/>
          <w:numId w:val="2"/>
        </w:numPr>
        <w:autoSpaceDE w:val="0"/>
        <w:spacing w:before="240" w:after="240"/>
        <w:jc w:val="both"/>
      </w:pPr>
      <w:r>
        <w:t xml:space="preserve">Her </w:t>
      </w:r>
      <w:r w:rsidR="0064603F">
        <w:t>asserti</w:t>
      </w:r>
      <w:r>
        <w:t>on,</w:t>
      </w:r>
      <w:r w:rsidR="0064603F">
        <w:t xml:space="preserve"> </w:t>
      </w:r>
      <w:r>
        <w:t xml:space="preserve">against those </w:t>
      </w:r>
      <w:r w:rsidR="009D51A4">
        <w:t xml:space="preserve">rival </w:t>
      </w:r>
      <w:r>
        <w:t>claims</w:t>
      </w:r>
      <w:r w:rsidR="0064603F">
        <w:t xml:space="preserve">, </w:t>
      </w:r>
      <w:r>
        <w:t xml:space="preserve">of </w:t>
      </w:r>
      <w:r w:rsidR="0064603F">
        <w:t>a limitation defence</w:t>
      </w:r>
      <w:r>
        <w:t xml:space="preserve"> </w:t>
      </w:r>
      <w:r w:rsidR="00E066BB">
        <w:t xml:space="preserve">that it was open to her </w:t>
      </w:r>
      <w:r w:rsidR="00E066BB">
        <w:rPr>
          <w:u w:val="single"/>
        </w:rPr>
        <w:t>not</w:t>
      </w:r>
      <w:r w:rsidR="00E066BB">
        <w:t xml:space="preserve"> to take</w:t>
      </w:r>
      <w:r w:rsidR="0064603F">
        <w:t>.</w:t>
      </w:r>
    </w:p>
    <w:p w14:paraId="4FECF204" w14:textId="77777777" w:rsidR="007C621C" w:rsidRDefault="00D638DC" w:rsidP="0064603F">
      <w:pPr>
        <w:numPr>
          <w:ilvl w:val="0"/>
          <w:numId w:val="2"/>
        </w:numPr>
        <w:autoSpaceDE w:val="0"/>
        <w:spacing w:before="240" w:after="240"/>
        <w:jc w:val="both"/>
      </w:pPr>
      <w:r>
        <w:t xml:space="preserve">The limitation rules under the 1939 and 1980 Acts </w:t>
      </w:r>
      <w:r w:rsidR="00DE5944">
        <w:t xml:space="preserve">do not extinguish claims, but simply bar a claim </w:t>
      </w:r>
      <w:r w:rsidR="007C21D1">
        <w:t>or cause of action.</w:t>
      </w:r>
      <w:r w:rsidR="007C21D1">
        <w:rPr>
          <w:rStyle w:val="FootnoteReference"/>
        </w:rPr>
        <w:footnoteReference w:id="213"/>
      </w:r>
      <w:r w:rsidR="007C21D1">
        <w:t xml:space="preserve"> It was Pakistan’s </w:t>
      </w:r>
      <w:r w:rsidR="007C21D1" w:rsidRPr="002740BC">
        <w:rPr>
          <w:u w:val="single"/>
        </w:rPr>
        <w:t>choice</w:t>
      </w:r>
      <w:r w:rsidR="007C21D1">
        <w:t xml:space="preserve"> to plead a limitation defence</w:t>
      </w:r>
      <w:r w:rsidR="00491E0C">
        <w:t xml:space="preserve"> and</w:t>
      </w:r>
      <w:r w:rsidR="007C621C">
        <w:t>,</w:t>
      </w:r>
      <w:r w:rsidR="00491E0C">
        <w:t xml:space="preserve"> had she not done so, the </w:t>
      </w:r>
      <w:r w:rsidR="008D4258">
        <w:t>C</w:t>
      </w:r>
      <w:r w:rsidR="00491E0C">
        <w:t xml:space="preserve">ourt would not have been concerned </w:t>
      </w:r>
      <w:r w:rsidR="009A1F84">
        <w:t>that a claim was being made out of time by the Princes and India.</w:t>
      </w:r>
    </w:p>
    <w:p w14:paraId="500D5F21" w14:textId="77777777" w:rsidR="0064603F" w:rsidRDefault="002A789E" w:rsidP="0064603F">
      <w:pPr>
        <w:numPr>
          <w:ilvl w:val="0"/>
          <w:numId w:val="2"/>
        </w:numPr>
        <w:autoSpaceDE w:val="0"/>
        <w:spacing w:before="240" w:after="240"/>
        <w:jc w:val="both"/>
      </w:pPr>
      <w:r>
        <w:t xml:space="preserve">In considering whether Pakistan’s choice to raise limitation as a bar to the restitutionary claim was an abuse of process, I must stress that I am proceeding on the basis </w:t>
      </w:r>
      <w:r w:rsidR="00101138">
        <w:t xml:space="preserve">(which is clearly the case) that </w:t>
      </w:r>
      <w:r w:rsidR="00EE5504">
        <w:t xml:space="preserve">Pakistan </w:t>
      </w:r>
      <w:r w:rsidR="00101138">
        <w:t xml:space="preserve">has acted </w:t>
      </w:r>
      <w:r w:rsidR="00FC4DC6">
        <w:t xml:space="preserve">without in any way seeking to “game” the system. Were a sovereign state to raise </w:t>
      </w:r>
      <w:r w:rsidR="005F4881">
        <w:t xml:space="preserve">a sovereign immunity defence, with the intention of </w:t>
      </w:r>
      <w:r w:rsidR="00C65011">
        <w:lastRenderedPageBreak/>
        <w:t>waiving</w:t>
      </w:r>
      <w:r w:rsidR="005F4881">
        <w:t xml:space="preserve"> it the moment rival claims were time-barred</w:t>
      </w:r>
      <w:r w:rsidR="00C65011">
        <w:t>, that would constitute an important ingredient in considering whether there was an abuse</w:t>
      </w:r>
      <w:r w:rsidR="005924F9">
        <w:t>. That ingredient</w:t>
      </w:r>
      <w:r w:rsidR="00C65011">
        <w:t xml:space="preserve"> is</w:t>
      </w:r>
      <w:r w:rsidR="00625C92">
        <w:t>, I stress,</w:t>
      </w:r>
      <w:r w:rsidR="00C65011">
        <w:t xml:space="preserve"> entirely absent here. </w:t>
      </w:r>
      <w:r w:rsidR="006658D9">
        <w:t xml:space="preserve">I proceed on the basis that </w:t>
      </w:r>
      <w:r w:rsidR="002334BE">
        <w:t xml:space="preserve">Pakistan has acted entirely without </w:t>
      </w:r>
      <w:r w:rsidR="006B2EA4">
        <w:t xml:space="preserve">such considerations when raising and waiving her sovereign immunity. </w:t>
      </w:r>
    </w:p>
    <w:p w14:paraId="2C0744B7" w14:textId="77777777" w:rsidR="006B2EA4" w:rsidRDefault="001E46A9" w:rsidP="0064603F">
      <w:pPr>
        <w:numPr>
          <w:ilvl w:val="0"/>
          <w:numId w:val="2"/>
        </w:numPr>
        <w:autoSpaceDE w:val="0"/>
        <w:spacing w:before="240" w:after="240"/>
        <w:jc w:val="both"/>
      </w:pPr>
      <w:r>
        <w:t xml:space="preserve">Viewing matters in this light, </w:t>
      </w:r>
      <w:r w:rsidR="001F120D">
        <w:t xml:space="preserve">the question is whether </w:t>
      </w:r>
      <w:r>
        <w:t xml:space="preserve">it </w:t>
      </w:r>
      <w:r w:rsidR="00CE42B7">
        <w:t xml:space="preserve">can </w:t>
      </w:r>
      <w:r>
        <w:t xml:space="preserve">be said that Pakistan’s choice to raise a limitation defence constitutes an abuse of process under CPR </w:t>
      </w:r>
      <w:r w:rsidR="00FE7796">
        <w:t xml:space="preserve">3.4(2)(b), which provides that “[t]he court </w:t>
      </w:r>
      <w:r w:rsidR="005860BC">
        <w:t xml:space="preserve">may strike out a statement of case if it appears to the court…that the statement of case is an abuse of the court’s process or is otherwise likely to obstruct </w:t>
      </w:r>
      <w:r w:rsidR="001F120D">
        <w:t>the just disposal of the proceedings”. As to this:</w:t>
      </w:r>
    </w:p>
    <w:p w14:paraId="2DE3DE26" w14:textId="77777777" w:rsidR="001F120D" w:rsidRPr="009A4BDF" w:rsidRDefault="007E6E1D" w:rsidP="001F120D">
      <w:pPr>
        <w:numPr>
          <w:ilvl w:val="1"/>
          <w:numId w:val="2"/>
        </w:numPr>
        <w:autoSpaceDE w:val="0"/>
        <w:spacing w:before="240" w:after="240"/>
        <w:jc w:val="both"/>
      </w:pPr>
      <w:r>
        <w:t>There is no definition of what constitutes an “abuse of the court’s process”</w:t>
      </w:r>
      <w:r w:rsidR="00A03F19">
        <w:t xml:space="preserve"> and it is clear that the categories of potential abuse of process are not closed.</w:t>
      </w:r>
      <w:r w:rsidR="00C71331">
        <w:rPr>
          <w:rStyle w:val="FootnoteReference"/>
        </w:rPr>
        <w:footnoteReference w:id="214"/>
      </w:r>
      <w:r w:rsidR="003B61B6">
        <w:t xml:space="preserve"> That said, there can plainly be nothing wrong in a party relying upon a defence conferred upon it by statute</w:t>
      </w:r>
      <w:r w:rsidR="002E3BBA">
        <w:t xml:space="preserve">, and to describe such a course as an abuse of process must require, in my judgment, </w:t>
      </w:r>
      <w:r w:rsidR="00871B32">
        <w:t>fairly extreme or unusual circumstances. None of the parties was able to point me to any authority that might assist on the point</w:t>
      </w:r>
      <w:r w:rsidR="00784488">
        <w:t xml:space="preserve">, save that in </w:t>
      </w:r>
      <w:r w:rsidR="00BD0832">
        <w:rPr>
          <w:i/>
          <w:iCs/>
        </w:rPr>
        <w:t>Chagos Islanders v. The Attorney General and Her Majesty’s British Indian Ocean Territory Commissioner</w:t>
      </w:r>
      <w:r w:rsidR="00BD0832">
        <w:t>,</w:t>
      </w:r>
      <w:r w:rsidR="00BD0832">
        <w:rPr>
          <w:rStyle w:val="FootnoteReference"/>
        </w:rPr>
        <w:footnoteReference w:id="215"/>
      </w:r>
      <w:r w:rsidR="00BD0832">
        <w:t xml:space="preserve"> Ouseley J </w:t>
      </w:r>
      <w:r w:rsidR="00380DEB">
        <w:t xml:space="preserve">expressed the view that </w:t>
      </w:r>
      <w:r w:rsidR="007A320E">
        <w:t xml:space="preserve">there was </w:t>
      </w:r>
      <w:r w:rsidR="00380DEB">
        <w:t>“</w:t>
      </w:r>
      <w:r w:rsidR="009A4BDF" w:rsidRPr="00AA28C7">
        <w:rPr>
          <w:szCs w:val="20"/>
        </w:rPr>
        <w:t>no basis upon which a court could decide that a statute could be removed from the arena to which its language made it apply, simply because a court thought that it would be unconscionable to allow a party to rely upon the rights which Parliament had given him.</w:t>
      </w:r>
      <w:r w:rsidR="009A4BDF">
        <w:rPr>
          <w:szCs w:val="20"/>
        </w:rPr>
        <w:t>”</w:t>
      </w:r>
    </w:p>
    <w:p w14:paraId="19CE1E17" w14:textId="77777777" w:rsidR="009A4BDF" w:rsidRDefault="00CB1C44" w:rsidP="001F120D">
      <w:pPr>
        <w:numPr>
          <w:ilvl w:val="1"/>
          <w:numId w:val="2"/>
        </w:numPr>
        <w:autoSpaceDE w:val="0"/>
        <w:spacing w:before="240" w:after="240"/>
        <w:jc w:val="both"/>
      </w:pPr>
      <w:r>
        <w:t xml:space="preserve">Clearly, </w:t>
      </w:r>
      <w:r w:rsidR="00E15FAE">
        <w:t xml:space="preserve">there can be nothing wrong </w:t>
      </w:r>
      <w:r w:rsidR="003044E8">
        <w:t xml:space="preserve">in a sovereign state </w:t>
      </w:r>
      <w:r>
        <w:t xml:space="preserve">successfully </w:t>
      </w:r>
      <w:r w:rsidR="003044E8">
        <w:t xml:space="preserve">asserting a right to </w:t>
      </w:r>
      <w:r w:rsidR="00372A91">
        <w:t xml:space="preserve">sovereign </w:t>
      </w:r>
      <w:r w:rsidR="003044E8">
        <w:t>immunity.</w:t>
      </w:r>
      <w:r w:rsidR="00372A91">
        <w:t xml:space="preserve"> Equally clearly, there can be nothing wrong in a sovereign state </w:t>
      </w:r>
      <w:r w:rsidR="00852808">
        <w:t>successfully asserting a defence of limitation.</w:t>
      </w:r>
      <w:r w:rsidR="003044E8">
        <w:t xml:space="preserve"> Ordinarily,</w:t>
      </w:r>
      <w:r w:rsidR="00852808">
        <w:t xml:space="preserve"> the combination of these two procedural bars does not arise: that is because </w:t>
      </w:r>
      <w:r w:rsidR="00A1757C">
        <w:t xml:space="preserve">sovereign immunity – once successfully asserted – is very rarely waived. I am not surprised </w:t>
      </w:r>
      <w:r w:rsidR="001C3291">
        <w:t>that this situation is without precedent</w:t>
      </w:r>
      <w:r w:rsidR="00767944">
        <w:t xml:space="preserve">, and that none of the parties was able to identify any </w:t>
      </w:r>
      <w:r w:rsidR="00532C3E">
        <w:t>relevant law to assist me.</w:t>
      </w:r>
      <w:r w:rsidR="00A1052A">
        <w:t xml:space="preserve"> </w:t>
      </w:r>
    </w:p>
    <w:p w14:paraId="13651A5F" w14:textId="77777777" w:rsidR="00CE42B7" w:rsidRDefault="00532C3E" w:rsidP="001F120D">
      <w:pPr>
        <w:numPr>
          <w:ilvl w:val="1"/>
          <w:numId w:val="2"/>
        </w:numPr>
        <w:autoSpaceDE w:val="0"/>
        <w:spacing w:before="240" w:after="240"/>
        <w:jc w:val="both"/>
      </w:pPr>
      <w:r>
        <w:t>T</w:t>
      </w:r>
      <w:r w:rsidR="00036753">
        <w:t>he question</w:t>
      </w:r>
      <w:r>
        <w:t>, as clearly posed by Henderson J,</w:t>
      </w:r>
      <w:r w:rsidR="00036753">
        <w:t xml:space="preserve"> is whether, having raised one procedural bar, and then waived it, Pakistan is now entitled to raise </w:t>
      </w:r>
      <w:r w:rsidR="00293421">
        <w:t xml:space="preserve">a second, different, procedural bar, that </w:t>
      </w:r>
      <w:r w:rsidR="00293421" w:rsidRPr="008C7D32">
        <w:rPr>
          <w:u w:val="single"/>
        </w:rPr>
        <w:t>only exists</w:t>
      </w:r>
      <w:r w:rsidR="00293421">
        <w:t xml:space="preserve"> because of the raising of the first bar</w:t>
      </w:r>
      <w:r w:rsidR="00330D5F">
        <w:t xml:space="preserve"> or whether Pakistan’s raising of the limitation defence in this context constitutes an abuse of process.</w:t>
      </w:r>
      <w:r w:rsidR="009C384D">
        <w:rPr>
          <w:rStyle w:val="FootnoteReference"/>
        </w:rPr>
        <w:footnoteReference w:id="216"/>
      </w:r>
      <w:r w:rsidR="00D93783">
        <w:t xml:space="preserve"> I find that </w:t>
      </w:r>
      <w:r w:rsidR="00652D34">
        <w:t xml:space="preserve">this conduct </w:t>
      </w:r>
      <w:r w:rsidR="00D93783">
        <w:t>does</w:t>
      </w:r>
      <w:r w:rsidR="00652D34">
        <w:t xml:space="preserve"> amount to an abuse of process</w:t>
      </w:r>
      <w:r w:rsidR="00D93783">
        <w:t xml:space="preserve">. </w:t>
      </w:r>
      <w:r w:rsidR="00AB1541">
        <w:t xml:space="preserve">The point about the assertion of sovereign immunity </w:t>
      </w:r>
      <w:r w:rsidR="00CB2428">
        <w:t>is that it operates as a</w:t>
      </w:r>
      <w:r w:rsidR="00EC6E25">
        <w:t xml:space="preserve"> complete</w:t>
      </w:r>
      <w:r w:rsidR="00CB2428">
        <w:t xml:space="preserve"> bar to the litigation of </w:t>
      </w:r>
      <w:r w:rsidR="00EC6E25">
        <w:t xml:space="preserve">certain proceedings. It is not open to the state asserting </w:t>
      </w:r>
      <w:r w:rsidR="00C06306">
        <w:t xml:space="preserve">sovereign immunity to pick and choose which points to proceed with and which points to </w:t>
      </w:r>
      <w:r w:rsidR="00D43A26">
        <w:t xml:space="preserve">block by asserting sovereign immunity. </w:t>
      </w:r>
    </w:p>
    <w:p w14:paraId="28B162F7" w14:textId="77777777" w:rsidR="00694AE2" w:rsidRDefault="00712D90" w:rsidP="00171B69">
      <w:pPr>
        <w:numPr>
          <w:ilvl w:val="1"/>
          <w:numId w:val="2"/>
        </w:numPr>
        <w:autoSpaceDE w:val="0"/>
        <w:spacing w:before="240" w:after="240"/>
        <w:jc w:val="both"/>
      </w:pPr>
      <w:r>
        <w:t xml:space="preserve">In a very different context, the Court of Appeal recognised that </w:t>
      </w:r>
      <w:r w:rsidR="00F203BE">
        <w:t xml:space="preserve">an ability to pick and choose in this way </w:t>
      </w:r>
      <w:r w:rsidR="00CA5ADC">
        <w:t xml:space="preserve">would be profoundly unjust. </w:t>
      </w:r>
      <w:r w:rsidR="00CE42B7">
        <w:t xml:space="preserve">In </w:t>
      </w:r>
      <w:r w:rsidR="00CE42B7" w:rsidRPr="00CE42B7">
        <w:rPr>
          <w:i/>
          <w:iCs/>
        </w:rPr>
        <w:t>The Law Debenture Trust Corporation plc v. Ukraine</w:t>
      </w:r>
      <w:r w:rsidR="00CE42B7">
        <w:t>,</w:t>
      </w:r>
      <w:r w:rsidR="00CE42B7">
        <w:rPr>
          <w:rStyle w:val="FootnoteReference"/>
        </w:rPr>
        <w:footnoteReference w:id="217"/>
      </w:r>
      <w:r w:rsidR="00CE42B7">
        <w:t xml:space="preserve"> the claimant trustee (</w:t>
      </w:r>
      <w:r w:rsidR="00CE42B7" w:rsidRPr="00CE42B7">
        <w:rPr>
          <w:b/>
          <w:bCs/>
        </w:rPr>
        <w:t>Law Debenture</w:t>
      </w:r>
      <w:r w:rsidR="00CE42B7">
        <w:t xml:space="preserve">) entered into </w:t>
      </w:r>
      <w:r w:rsidR="00CE42B7">
        <w:lastRenderedPageBreak/>
        <w:t>a trust deed with a sovereign state, Ukraine. The deed was governed by English law. Ukraine defaulted under the notes. The Russian Federation was the sole holder of the notes and – on Russia’s direction – Law Debenture brought a claim against Ukraine for payment of the final repayment amount under the notes, and in due course applied for summary judgment on its claim. Ukraine resisted that application on various grounds, one of which was that the issue of the notes had been procured by unlawful threats made, and pressure exerted, by Russia, so as to render the notes voidable on grounds of duress.</w:t>
      </w:r>
      <w:r w:rsidR="00171B69">
        <w:t xml:space="preserve"> </w:t>
      </w:r>
      <w:r w:rsidR="00CE42B7">
        <w:t>Of course, a contract made as a result of illegitimate pressure is unenforceable as a matter of English law: the issue, in this case, was that the acts by Russia which Ukraine relied upon as constituting duress or illegitimate pressure involved acts of high policy by Russia in the sphere of international relations in the exercise of sovereign authority</w:t>
      </w:r>
      <w:r w:rsidR="00171B69">
        <w:t xml:space="preserve"> which Law </w:t>
      </w:r>
      <w:r w:rsidR="00CE42B7">
        <w:t>Debenture contended was non-just</w:t>
      </w:r>
      <w:r w:rsidR="009F1C3D">
        <w:t>ic</w:t>
      </w:r>
      <w:r w:rsidR="00CE42B7">
        <w:t>iable under</w:t>
      </w:r>
      <w:r w:rsidR="00820B32">
        <w:t xml:space="preserve"> the doctrine of foreign act of state</w:t>
      </w:r>
      <w:r w:rsidR="00CE42B7">
        <w:t>.</w:t>
      </w:r>
      <w:r w:rsidR="00E8346D">
        <w:t xml:space="preserve"> It will be necessary to consider this doctrine and the decision of the Court of Appeal further below</w:t>
      </w:r>
      <w:r w:rsidR="00C63B3B">
        <w:t xml:space="preserve">. For present purposes, what is of interest is the Court of Appeal’s </w:t>
      </w:r>
      <w:r w:rsidR="008C6C7B">
        <w:t xml:space="preserve">statement of what it would have held, had Law Debenture’s contention </w:t>
      </w:r>
      <w:r w:rsidR="00694AE2">
        <w:t xml:space="preserve">as to non-justiciability </w:t>
      </w:r>
      <w:r w:rsidR="008C6C7B">
        <w:t>succeeded</w:t>
      </w:r>
      <w:r w:rsidR="00694AE2">
        <w:t>:</w:t>
      </w:r>
      <w:r w:rsidR="007C7313">
        <w:rPr>
          <w:rStyle w:val="FootnoteReference"/>
        </w:rPr>
        <w:footnoteReference w:id="218"/>
      </w:r>
    </w:p>
    <w:p w14:paraId="382E56E7" w14:textId="77777777" w:rsidR="00F81A3C" w:rsidRPr="00F81A3C" w:rsidRDefault="00F81A3C" w:rsidP="00F81A3C">
      <w:pPr>
        <w:autoSpaceDE w:val="0"/>
        <w:spacing w:before="240" w:after="240"/>
        <w:ind w:left="1134"/>
        <w:jc w:val="both"/>
        <w:rPr>
          <w:sz w:val="22"/>
          <w:szCs w:val="22"/>
        </w:rPr>
      </w:pPr>
      <w:r>
        <w:rPr>
          <w:sz w:val="22"/>
          <w:szCs w:val="22"/>
        </w:rPr>
        <w:t>“</w:t>
      </w:r>
      <w:r w:rsidR="007C7313">
        <w:rPr>
          <w:sz w:val="22"/>
          <w:szCs w:val="22"/>
        </w:rPr>
        <w:t>…</w:t>
      </w:r>
      <w:r w:rsidR="00522B30">
        <w:rPr>
          <w:sz w:val="22"/>
          <w:szCs w:val="22"/>
        </w:rPr>
        <w:t>The basic point is that Russia, through Law Debenture,</w:t>
      </w:r>
      <w:r w:rsidR="004D5D50">
        <w:rPr>
          <w:sz w:val="22"/>
          <w:szCs w:val="22"/>
        </w:rPr>
        <w:t xml:space="preserve"> is positively seeking to enforce </w:t>
      </w:r>
      <w:r w:rsidR="00EB3404">
        <w:rPr>
          <w:sz w:val="22"/>
          <w:szCs w:val="22"/>
        </w:rPr>
        <w:t>contractual rights in private law against Ukraine. In our view, it can only fairly seek to do so</w:t>
      </w:r>
      <w:r w:rsidR="008A5750">
        <w:rPr>
          <w:sz w:val="22"/>
          <w:szCs w:val="22"/>
        </w:rPr>
        <w:t xml:space="preserve"> if Ukraine is afforded a fair opportunity to defend itself…It would be unjust to permit Law Debenture</w:t>
      </w:r>
      <w:r w:rsidR="00293D9E">
        <w:rPr>
          <w:sz w:val="22"/>
          <w:szCs w:val="22"/>
        </w:rPr>
        <w:t xml:space="preserve"> and Russia to proceed to make good the contract claim without Ukraine being able to defend itself</w:t>
      </w:r>
      <w:r w:rsidR="00CF280A">
        <w:rPr>
          <w:sz w:val="22"/>
          <w:szCs w:val="22"/>
        </w:rPr>
        <w:t xml:space="preserve"> by raising its defence of duress at trial…”</w:t>
      </w:r>
    </w:p>
    <w:p w14:paraId="64C8A618" w14:textId="77777777" w:rsidR="00CF280A" w:rsidRDefault="00CF280A" w:rsidP="00CF280A">
      <w:pPr>
        <w:autoSpaceDE w:val="0"/>
        <w:spacing w:before="240" w:after="240"/>
        <w:ind w:left="1134"/>
        <w:jc w:val="both"/>
      </w:pPr>
      <w:r>
        <w:t xml:space="preserve">Accordingly, had </w:t>
      </w:r>
      <w:r w:rsidR="004E6482">
        <w:t>Law Debenture’s contention as to non-justiciability succeeded, the Court of Appeal</w:t>
      </w:r>
      <w:r w:rsidR="001110CE">
        <w:t xml:space="preserve"> would have stayed the entire proceedings.</w:t>
      </w:r>
      <w:r w:rsidR="00CC012B">
        <w:rPr>
          <w:rStyle w:val="FootnoteReference"/>
        </w:rPr>
        <w:footnoteReference w:id="219"/>
      </w:r>
    </w:p>
    <w:p w14:paraId="0098E02F" w14:textId="77777777" w:rsidR="00B86DB7" w:rsidRDefault="001110CE" w:rsidP="00171B69">
      <w:pPr>
        <w:numPr>
          <w:ilvl w:val="1"/>
          <w:numId w:val="2"/>
        </w:numPr>
        <w:autoSpaceDE w:val="0"/>
        <w:spacing w:before="240" w:after="240"/>
        <w:jc w:val="both"/>
      </w:pPr>
      <w:r>
        <w:t>The situation is very similar in the present case:</w:t>
      </w:r>
      <w:r w:rsidR="008937DF">
        <w:t xml:space="preserve"> Pakistan’s assertion of sovereign immunity in the 1954 Proceedings prevented </w:t>
      </w:r>
      <w:r w:rsidR="008937DF">
        <w:rPr>
          <w:u w:val="single"/>
        </w:rPr>
        <w:t>everyone</w:t>
      </w:r>
      <w:r w:rsidR="008937DF">
        <w:t xml:space="preserve">, including Pakistan, from asserting a claim to the Fund in this jurisdiction </w:t>
      </w:r>
      <w:r w:rsidR="003B52AA">
        <w:t xml:space="preserve">– the only jurisdiction that matters, given the location of </w:t>
      </w:r>
      <w:r w:rsidR="0091023E">
        <w:t xml:space="preserve">both </w:t>
      </w:r>
      <w:r w:rsidR="003B52AA">
        <w:t>the Fund and the Bank.</w:t>
      </w:r>
      <w:r w:rsidR="00986CBC">
        <w:t xml:space="preserve"> </w:t>
      </w:r>
      <w:r w:rsidR="00360425">
        <w:t xml:space="preserve">Whilst Pakistan is perfectly entitled to waive its sovereign immunity, and has done so, </w:t>
      </w:r>
      <w:r w:rsidR="00824C0D">
        <w:t>the effect of that waiver must not be to</w:t>
      </w:r>
      <w:r w:rsidR="001C0773">
        <w:t xml:space="preserve"> </w:t>
      </w:r>
      <w:r w:rsidR="004015E2">
        <w:t xml:space="preserve">provide one party </w:t>
      </w:r>
      <w:r w:rsidR="00D73EB7">
        <w:t xml:space="preserve">(Pakistan) </w:t>
      </w:r>
      <w:r w:rsidR="004015E2">
        <w:t xml:space="preserve">with an advantage in the litigation which only exists </w:t>
      </w:r>
      <w:r w:rsidR="00124300">
        <w:t>by reason of the assertion of the immunity.</w:t>
      </w:r>
      <w:r w:rsidR="006D5E17">
        <w:t xml:space="preserve"> The waiver in this case has enabled Pakistan to deploy a defence that she could not have deployed</w:t>
      </w:r>
      <w:r w:rsidR="00012169">
        <w:t xml:space="preserve"> had she never asserted sovereign immunity and this, I find</w:t>
      </w:r>
      <w:r w:rsidR="00AC71F3">
        <w:t>, is an abuse of process because it is obstructing the just disposal of these proceedings.</w:t>
      </w:r>
    </w:p>
    <w:p w14:paraId="03DD090D" w14:textId="77777777" w:rsidR="00036753" w:rsidRDefault="00D74F63" w:rsidP="00D74F63">
      <w:pPr>
        <w:numPr>
          <w:ilvl w:val="0"/>
          <w:numId w:val="2"/>
        </w:numPr>
        <w:autoSpaceDE w:val="0"/>
        <w:spacing w:before="240" w:after="240"/>
        <w:jc w:val="both"/>
      </w:pPr>
      <w:r>
        <w:t xml:space="preserve">Accordingly, I </w:t>
      </w:r>
      <w:r w:rsidR="00DC4A98">
        <w:t>hold that it is an abuse of process for Pakistan to assert a defence of limitation in relation to the Princes’ and India’s restitutionary claim against her</w:t>
      </w:r>
      <w:r w:rsidR="007B4DF8">
        <w:t xml:space="preserve"> and that the paragraphs in Pakistan’s statements of case asserting this defence must be struck out</w:t>
      </w:r>
      <w:r w:rsidR="00DC4A98">
        <w:t>.</w:t>
      </w:r>
      <w:r w:rsidR="00D421BC">
        <w:t xml:space="preserve"> </w:t>
      </w:r>
      <w:r w:rsidR="00D41C03">
        <w:t xml:space="preserve">It also follows that the Princes’ and India’s restitutionary claim against Pakistan succeeds. </w:t>
      </w:r>
    </w:p>
    <w:p w14:paraId="51B0DE03" w14:textId="77777777" w:rsidR="001701DB" w:rsidRPr="001701DB" w:rsidRDefault="001701DB" w:rsidP="007B4DF8">
      <w:pPr>
        <w:keepNext/>
        <w:tabs>
          <w:tab w:val="left" w:pos="567"/>
        </w:tabs>
        <w:autoSpaceDE w:val="0"/>
        <w:spacing w:before="240" w:after="240"/>
        <w:jc w:val="both"/>
        <w:rPr>
          <w:b/>
          <w:bCs/>
        </w:rPr>
      </w:pPr>
      <w:r>
        <w:rPr>
          <w:b/>
          <w:bCs/>
        </w:rPr>
        <w:lastRenderedPageBreak/>
        <w:t>(4)</w:t>
      </w:r>
      <w:r>
        <w:rPr>
          <w:b/>
          <w:bCs/>
        </w:rPr>
        <w:tab/>
        <w:t>Claim against the Bank</w:t>
      </w:r>
    </w:p>
    <w:p w14:paraId="0941F776" w14:textId="77777777" w:rsidR="00B221DA" w:rsidRDefault="0088282B" w:rsidP="006C7365">
      <w:pPr>
        <w:numPr>
          <w:ilvl w:val="0"/>
          <w:numId w:val="2"/>
        </w:numPr>
        <w:autoSpaceDE w:val="0"/>
        <w:spacing w:before="240" w:after="240"/>
        <w:jc w:val="both"/>
      </w:pPr>
      <w:r>
        <w:t>T</w:t>
      </w:r>
      <w:r w:rsidR="001A0A23">
        <w:t xml:space="preserve">he Princes and India </w:t>
      </w:r>
      <w:r w:rsidR="00BC0AF2">
        <w:t>also contended that they had a</w:t>
      </w:r>
      <w:r w:rsidR="007217FA">
        <w:t>n</w:t>
      </w:r>
      <w:r w:rsidR="00BC0AF2">
        <w:t xml:space="preserve"> </w:t>
      </w:r>
      <w:r w:rsidR="007217FA">
        <w:t>alternative</w:t>
      </w:r>
      <w:r w:rsidR="00BC0AF2">
        <w:t xml:space="preserve"> </w:t>
      </w:r>
      <w:r>
        <w:t xml:space="preserve">restitutionary </w:t>
      </w:r>
      <w:r w:rsidR="00BC0AF2">
        <w:t xml:space="preserve">claim against the Bank, based upon the doctrine of ministerial </w:t>
      </w:r>
      <w:r w:rsidR="00D67348">
        <w:t>receipt</w:t>
      </w:r>
      <w:r w:rsidR="00BC0AF2">
        <w:t>.</w:t>
      </w:r>
      <w:r w:rsidR="0033711B">
        <w:t xml:space="preserve"> The </w:t>
      </w:r>
      <w:r w:rsidR="003F3B7B">
        <w:t xml:space="preserve">long-accepted rule – established by Lord Mansfield in </w:t>
      </w:r>
      <w:r w:rsidR="003F3B7B">
        <w:rPr>
          <w:i/>
          <w:iCs/>
        </w:rPr>
        <w:t>Buller v. Harrison</w:t>
      </w:r>
      <w:r w:rsidR="003F3B7B" w:rsidRPr="009752CC">
        <w:rPr>
          <w:rStyle w:val="FootnoteReference"/>
        </w:rPr>
        <w:footnoteReference w:id="220"/>
      </w:r>
      <w:r w:rsidR="003F3B7B">
        <w:t xml:space="preserve"> – is</w:t>
      </w:r>
      <w:r w:rsidR="009752CC">
        <w:t xml:space="preserve"> that </w:t>
      </w:r>
      <w:r w:rsidR="000E08C8">
        <w:t xml:space="preserve">where an enrichment is received by an agent, the agent </w:t>
      </w:r>
      <w:r w:rsidR="005D2A9D">
        <w:t xml:space="preserve">will be liable to repay the claimant, unless the agent </w:t>
      </w:r>
      <w:r w:rsidR="00540F36">
        <w:t>has accounted to his principal for the enrichment so received without notice of the claimant’s claim. Where there is notice, the agent must interplead</w:t>
      </w:r>
      <w:r w:rsidR="002C0C32">
        <w:t xml:space="preserve"> and will be liable if the monies are paid away</w:t>
      </w:r>
      <w:r w:rsidR="00540F36">
        <w:t xml:space="preserve">. It is quite clear that where </w:t>
      </w:r>
      <w:r w:rsidR="00EA11A8">
        <w:t>the agent has simply</w:t>
      </w:r>
      <w:r w:rsidR="009D39CA">
        <w:t xml:space="preserve"> credited hi</w:t>
      </w:r>
      <w:r w:rsidR="000972B5">
        <w:t>s</w:t>
      </w:r>
      <w:r w:rsidR="009D39CA">
        <w:t xml:space="preserve"> principal with the enrichment, without actually </w:t>
      </w:r>
      <w:r w:rsidR="00181AEF">
        <w:t>transferring it to the principal, the agent remains liable to the claimant.</w:t>
      </w:r>
      <w:r w:rsidR="00FA5072">
        <w:rPr>
          <w:rStyle w:val="FootnoteReference"/>
        </w:rPr>
        <w:footnoteReference w:id="221"/>
      </w:r>
      <w:r w:rsidR="006C7365">
        <w:t xml:space="preserve"> </w:t>
      </w:r>
      <w:r w:rsidR="00B221DA">
        <w:t xml:space="preserve">Millett LJ stated the position in </w:t>
      </w:r>
      <w:bookmarkStart w:id="7" w:name="_Hlk19805250"/>
      <w:r w:rsidR="00B221DA" w:rsidRPr="006C7365">
        <w:rPr>
          <w:i/>
          <w:iCs/>
        </w:rPr>
        <w:t>Portman Building Society v. Hamlyn Taylor Neck (A Firm)</w:t>
      </w:r>
      <w:bookmarkEnd w:id="7"/>
      <w:r w:rsidR="00B221DA">
        <w:t>:</w:t>
      </w:r>
      <w:r w:rsidR="000D5F9D">
        <w:rPr>
          <w:rStyle w:val="FootnoteReference"/>
        </w:rPr>
        <w:footnoteReference w:id="222"/>
      </w:r>
    </w:p>
    <w:p w14:paraId="42BF2057" w14:textId="77777777" w:rsidR="00B221DA" w:rsidRPr="00B221DA" w:rsidRDefault="00B221DA" w:rsidP="00B221DA">
      <w:pPr>
        <w:autoSpaceDE w:val="0"/>
        <w:spacing w:before="240" w:after="240"/>
        <w:ind w:left="567"/>
        <w:jc w:val="both"/>
        <w:rPr>
          <w:sz w:val="22"/>
          <w:szCs w:val="22"/>
        </w:rPr>
      </w:pPr>
      <w:r>
        <w:rPr>
          <w:sz w:val="22"/>
          <w:szCs w:val="22"/>
        </w:rPr>
        <w:t>“</w:t>
      </w:r>
      <w:r w:rsidR="001F41B4">
        <w:rPr>
          <w:sz w:val="22"/>
          <w:szCs w:val="22"/>
        </w:rPr>
        <w:t>[W]here the plaintiff has paid money under (for example) a mistake to the agent of a third party</w:t>
      </w:r>
      <w:r w:rsidR="00CA742B">
        <w:rPr>
          <w:sz w:val="22"/>
          <w:szCs w:val="22"/>
        </w:rPr>
        <w:t>…[and] the agent still retains the money…the plaintiff may elect to sue either the principal or the agent</w:t>
      </w:r>
      <w:r w:rsidR="00AC2483">
        <w:rPr>
          <w:sz w:val="22"/>
          <w:szCs w:val="22"/>
        </w:rPr>
        <w:t>, and the agent remains liable if he pays the money over to his principal after notice of the claim</w:t>
      </w:r>
      <w:r w:rsidR="005B0C9A">
        <w:rPr>
          <w:sz w:val="22"/>
          <w:szCs w:val="22"/>
        </w:rPr>
        <w:t>. If he wishes to protect himself, he should interplead. But once the agent has paid the money to his principal</w:t>
      </w:r>
      <w:r w:rsidR="000D5F9D">
        <w:rPr>
          <w:sz w:val="22"/>
          <w:szCs w:val="22"/>
        </w:rPr>
        <w:t xml:space="preserve"> or to his order without notice of the claim, the plaintiff must sue the principal.”</w:t>
      </w:r>
    </w:p>
    <w:p w14:paraId="39488578" w14:textId="77777777" w:rsidR="00CC46B4" w:rsidRDefault="0078676F" w:rsidP="009D710E">
      <w:pPr>
        <w:numPr>
          <w:ilvl w:val="0"/>
          <w:numId w:val="2"/>
        </w:numPr>
        <w:autoSpaceDE w:val="0"/>
        <w:spacing w:before="240" w:after="240"/>
        <w:jc w:val="both"/>
      </w:pPr>
      <w:r>
        <w:t xml:space="preserve">Since the </w:t>
      </w:r>
      <w:r w:rsidR="00DC0E7B">
        <w:t xml:space="preserve">Fund </w:t>
      </w:r>
      <w:r w:rsidR="0071391D">
        <w:t>h</w:t>
      </w:r>
      <w:r w:rsidR="00DC0E7B">
        <w:t>as</w:t>
      </w:r>
      <w:r w:rsidR="00DD6662">
        <w:t>,</w:t>
      </w:r>
      <w:r w:rsidR="00DC0E7B">
        <w:t xml:space="preserve"> since </w:t>
      </w:r>
      <w:r w:rsidR="00DD6662">
        <w:t xml:space="preserve">shortly after the Transfer, from </w:t>
      </w:r>
      <w:r w:rsidR="00DC0E7B">
        <w:t>about 22 September 1948</w:t>
      </w:r>
      <w:r w:rsidR="00DD6662">
        <w:t>,</w:t>
      </w:r>
      <w:r w:rsidR="00DC0E7B">
        <w:t xml:space="preserve"> been held by the Bank </w:t>
      </w:r>
      <w:r w:rsidR="002D7218">
        <w:t xml:space="preserve">without permitting Pakistan or anyone else to deal with the Fund, </w:t>
      </w:r>
      <w:r w:rsidR="0094467D">
        <w:t xml:space="preserve">it is difficult to see how this claim against the Bank </w:t>
      </w:r>
      <w:r w:rsidR="002D7218">
        <w:t>can</w:t>
      </w:r>
      <w:r w:rsidR="0094467D">
        <w:t xml:space="preserve"> be resisted. </w:t>
      </w:r>
      <w:r w:rsidR="0047067C">
        <w:t>Consistently with its position as an interpleader</w:t>
      </w:r>
      <w:r w:rsidR="005F29AF">
        <w:t xml:space="preserve"> or stakeholder</w:t>
      </w:r>
      <w:r w:rsidR="0047067C">
        <w:t xml:space="preserve">, the Bank sought neither to advance a limitation defence nor </w:t>
      </w:r>
      <w:r w:rsidR="005F29AF">
        <w:t xml:space="preserve">to </w:t>
      </w:r>
      <w:r w:rsidR="00C30B89">
        <w:t xml:space="preserve">take any other point. The Bank’s position has, throughout, been </w:t>
      </w:r>
      <w:r w:rsidR="00CC46B4">
        <w:t xml:space="preserve">that it will pay the Fund in accordance with the </w:t>
      </w:r>
      <w:r w:rsidR="005F29AF">
        <w:t>C</w:t>
      </w:r>
      <w:r w:rsidR="00CC46B4">
        <w:t>ourt’s direction.</w:t>
      </w:r>
    </w:p>
    <w:p w14:paraId="2E351A98" w14:textId="77777777" w:rsidR="00070E4C" w:rsidRDefault="00CC46B4" w:rsidP="009D710E">
      <w:pPr>
        <w:numPr>
          <w:ilvl w:val="0"/>
          <w:numId w:val="2"/>
        </w:numPr>
        <w:autoSpaceDE w:val="0"/>
        <w:spacing w:before="240" w:after="240"/>
        <w:jc w:val="both"/>
      </w:pPr>
      <w:r>
        <w:t xml:space="preserve">Pakistan, for her part, </w:t>
      </w:r>
      <w:r w:rsidR="00643EA9">
        <w:t xml:space="preserve">relies upon two first instance decisions which </w:t>
      </w:r>
      <w:r w:rsidR="00B425D3">
        <w:t>hold</w:t>
      </w:r>
      <w:r w:rsidR="00643EA9">
        <w:t xml:space="preserve"> that, where an agent receives money for and on behalf of a </w:t>
      </w:r>
      <w:r w:rsidR="00794CE5">
        <w:t xml:space="preserve">principal then – even before the agent has transferred the money to the </w:t>
      </w:r>
      <w:r w:rsidR="002F44B8">
        <w:t xml:space="preserve">principal – the only proper defendant is the principal. That is because, according to these decisions, </w:t>
      </w:r>
      <w:r w:rsidR="008224DF">
        <w:t xml:space="preserve">only the principal has been enriched, and not the agent (who was always obliged to account to the principal). </w:t>
      </w:r>
      <w:r w:rsidR="00070E4C">
        <w:t>Thus:</w:t>
      </w:r>
    </w:p>
    <w:p w14:paraId="464A166E" w14:textId="77777777" w:rsidR="00EF115A" w:rsidRDefault="007E538E" w:rsidP="00070E4C">
      <w:pPr>
        <w:numPr>
          <w:ilvl w:val="1"/>
          <w:numId w:val="2"/>
        </w:numPr>
        <w:autoSpaceDE w:val="0"/>
        <w:spacing w:before="240" w:after="240"/>
        <w:jc w:val="both"/>
      </w:pPr>
      <w:r>
        <w:t xml:space="preserve">In </w:t>
      </w:r>
      <w:r w:rsidR="00F721F5">
        <w:rPr>
          <w:i/>
          <w:iCs/>
        </w:rPr>
        <w:t>Jeremy D Stone Consultants Ltd v. National Westminster Bank plc</w:t>
      </w:r>
      <w:r w:rsidR="00F721F5">
        <w:t>,</w:t>
      </w:r>
      <w:r w:rsidR="00F721F5">
        <w:rPr>
          <w:rStyle w:val="FootnoteReference"/>
        </w:rPr>
        <w:footnoteReference w:id="223"/>
      </w:r>
      <w:r w:rsidR="00ED6AE1">
        <w:t xml:space="preserve"> </w:t>
      </w:r>
      <w:r w:rsidR="005649DB">
        <w:t>Sales J held:</w:t>
      </w:r>
    </w:p>
    <w:p w14:paraId="234B524E" w14:textId="77777777" w:rsidR="0096394E" w:rsidRDefault="0006585C" w:rsidP="0006585C">
      <w:pPr>
        <w:autoSpaceDE w:val="0"/>
        <w:spacing w:before="240" w:after="240"/>
        <w:ind w:left="1854" w:hanging="720"/>
        <w:jc w:val="both"/>
        <w:rPr>
          <w:sz w:val="22"/>
          <w:szCs w:val="22"/>
        </w:rPr>
      </w:pPr>
      <w:r>
        <w:rPr>
          <w:sz w:val="22"/>
          <w:szCs w:val="22"/>
        </w:rPr>
        <w:t>“240.</w:t>
      </w:r>
      <w:r>
        <w:rPr>
          <w:sz w:val="22"/>
          <w:szCs w:val="22"/>
        </w:rPr>
        <w:tab/>
      </w:r>
      <w:r w:rsidR="004552E0">
        <w:rPr>
          <w:sz w:val="22"/>
          <w:szCs w:val="22"/>
        </w:rPr>
        <w:t>The Claimants undoubtedly did pay money into SE</w:t>
      </w:r>
      <w:r w:rsidR="00652A7C">
        <w:rPr>
          <w:sz w:val="22"/>
          <w:szCs w:val="22"/>
        </w:rPr>
        <w:t>W</w:t>
      </w:r>
      <w:r w:rsidR="004552E0">
        <w:rPr>
          <w:sz w:val="22"/>
          <w:szCs w:val="22"/>
        </w:rPr>
        <w:t xml:space="preserve">L’s NatWest accounts </w:t>
      </w:r>
      <w:r w:rsidR="00901A53">
        <w:rPr>
          <w:sz w:val="22"/>
          <w:szCs w:val="22"/>
        </w:rPr>
        <w:t>(principally the No 2 account) on the basis of their mistaken belief that the hotel business was genuine.</w:t>
      </w:r>
      <w:r w:rsidR="003D2125">
        <w:rPr>
          <w:sz w:val="22"/>
          <w:szCs w:val="22"/>
        </w:rPr>
        <w:t xml:space="preserve"> The Claimants therefore</w:t>
      </w:r>
      <w:r w:rsidR="00BE59E7">
        <w:rPr>
          <w:sz w:val="22"/>
          <w:szCs w:val="22"/>
        </w:rPr>
        <w:t xml:space="preserve"> have a cause of action </w:t>
      </w:r>
      <w:r w:rsidR="00652A7C">
        <w:rPr>
          <w:sz w:val="22"/>
          <w:szCs w:val="22"/>
        </w:rPr>
        <w:t xml:space="preserve">against </w:t>
      </w:r>
      <w:r w:rsidR="00652A7C">
        <w:rPr>
          <w:sz w:val="22"/>
          <w:szCs w:val="22"/>
        </w:rPr>
        <w:lastRenderedPageBreak/>
        <w:t xml:space="preserve">SEWL in unjust enrichment </w:t>
      </w:r>
      <w:r w:rsidR="0096485D">
        <w:rPr>
          <w:sz w:val="22"/>
          <w:szCs w:val="22"/>
        </w:rPr>
        <w:t>to reclaim the payments made, but SEWL has no money to meet such claims.</w:t>
      </w:r>
      <w:r w:rsidR="002410D7">
        <w:rPr>
          <w:sz w:val="22"/>
          <w:szCs w:val="22"/>
        </w:rPr>
        <w:t xml:space="preserve"> The issue, therefore, is whether the Claimants also have claims in unjust enrichment </w:t>
      </w:r>
      <w:r w:rsidR="00CB6E60">
        <w:rPr>
          <w:sz w:val="22"/>
          <w:szCs w:val="22"/>
        </w:rPr>
        <w:t>against NatWest, which received the Claimants</w:t>
      </w:r>
      <w:r w:rsidR="001D525C">
        <w:rPr>
          <w:sz w:val="22"/>
          <w:szCs w:val="22"/>
        </w:rPr>
        <w:t>’</w:t>
      </w:r>
      <w:r w:rsidR="00CB6E60">
        <w:rPr>
          <w:sz w:val="22"/>
          <w:szCs w:val="22"/>
        </w:rPr>
        <w:t xml:space="preserve"> payments </w:t>
      </w:r>
      <w:r w:rsidR="001D525C">
        <w:rPr>
          <w:sz w:val="22"/>
          <w:szCs w:val="22"/>
        </w:rPr>
        <w:t>into SEWL’s accounts.</w:t>
      </w:r>
    </w:p>
    <w:p w14:paraId="1BA133BC" w14:textId="77777777" w:rsidR="001D525C" w:rsidRDefault="001D525C" w:rsidP="0006585C">
      <w:pPr>
        <w:autoSpaceDE w:val="0"/>
        <w:spacing w:before="240" w:after="240"/>
        <w:ind w:left="1854" w:hanging="720"/>
        <w:jc w:val="both"/>
        <w:rPr>
          <w:sz w:val="22"/>
          <w:szCs w:val="22"/>
        </w:rPr>
      </w:pPr>
      <w:r>
        <w:rPr>
          <w:sz w:val="22"/>
          <w:szCs w:val="22"/>
        </w:rPr>
        <w:t>241.</w:t>
      </w:r>
      <w:r>
        <w:rPr>
          <w:sz w:val="22"/>
          <w:szCs w:val="22"/>
        </w:rPr>
        <w:tab/>
        <w:t xml:space="preserve">In my judgment, the Claimants have no good </w:t>
      </w:r>
      <w:r w:rsidR="007534C1">
        <w:rPr>
          <w:sz w:val="22"/>
          <w:szCs w:val="22"/>
        </w:rPr>
        <w:t>claim in unjust enrichment against NatWest, either because NatWest was not enriched by the payments</w:t>
      </w:r>
      <w:r w:rsidR="00150390">
        <w:rPr>
          <w:sz w:val="22"/>
          <w:szCs w:val="22"/>
        </w:rPr>
        <w:t xml:space="preserve"> or because (even if on proper analysis it was enriched) it has a good defence.</w:t>
      </w:r>
      <w:r w:rsidR="00150390">
        <w:rPr>
          <w:rStyle w:val="FootnoteReference"/>
          <w:sz w:val="22"/>
          <w:szCs w:val="22"/>
        </w:rPr>
        <w:footnoteReference w:id="224"/>
      </w:r>
    </w:p>
    <w:p w14:paraId="124A6C05" w14:textId="77777777" w:rsidR="00991A6A" w:rsidRDefault="00064A9D" w:rsidP="0006585C">
      <w:pPr>
        <w:autoSpaceDE w:val="0"/>
        <w:spacing w:before="240" w:after="240"/>
        <w:ind w:left="1854" w:hanging="720"/>
        <w:jc w:val="both"/>
        <w:rPr>
          <w:sz w:val="22"/>
          <w:szCs w:val="22"/>
        </w:rPr>
      </w:pPr>
      <w:r>
        <w:rPr>
          <w:sz w:val="22"/>
          <w:szCs w:val="22"/>
        </w:rPr>
        <w:t>242.</w:t>
      </w:r>
      <w:r>
        <w:rPr>
          <w:sz w:val="22"/>
          <w:szCs w:val="22"/>
        </w:rPr>
        <w:tab/>
        <w:t>As to the issue of enrichment</w:t>
      </w:r>
      <w:r w:rsidR="00BD7EF0">
        <w:rPr>
          <w:sz w:val="22"/>
          <w:szCs w:val="22"/>
        </w:rPr>
        <w:t>, it is true that when the Claimants paid sums to NatWest for the account of SEWL</w:t>
      </w:r>
      <w:r w:rsidR="007D6D82">
        <w:rPr>
          <w:sz w:val="22"/>
          <w:szCs w:val="22"/>
        </w:rPr>
        <w:t>, NatWest received those sums and added them to its stock of assets as monies to which it was beneficially entitled</w:t>
      </w:r>
      <w:r w:rsidR="009008CB">
        <w:rPr>
          <w:sz w:val="22"/>
          <w:szCs w:val="22"/>
        </w:rPr>
        <w:t>. However</w:t>
      </w:r>
      <w:r w:rsidR="001E03D2">
        <w:rPr>
          <w:sz w:val="22"/>
          <w:szCs w:val="22"/>
        </w:rPr>
        <w:t xml:space="preserve">, the increase in its assets was matched by an immediate balancing liability, in the form of the debt </w:t>
      </w:r>
      <w:r w:rsidR="006543E5">
        <w:rPr>
          <w:sz w:val="22"/>
          <w:szCs w:val="22"/>
        </w:rPr>
        <w:t xml:space="preserve">which NatWest owed SEWL reflected in the increase in SEWL’s bank balance </w:t>
      </w:r>
      <w:r w:rsidR="00223ACA">
        <w:rPr>
          <w:sz w:val="22"/>
          <w:szCs w:val="22"/>
        </w:rPr>
        <w:t>as a result of the payments. This is how the relationship between bank and customer works. There was no basis</w:t>
      </w:r>
      <w:r w:rsidR="000B4A69">
        <w:rPr>
          <w:sz w:val="22"/>
          <w:szCs w:val="22"/>
        </w:rPr>
        <w:t xml:space="preserve"> – at any rate none known to NatWest at the relevant time</w:t>
      </w:r>
      <w:r w:rsidR="00C82EB3">
        <w:rPr>
          <w:sz w:val="22"/>
          <w:szCs w:val="22"/>
        </w:rPr>
        <w:t xml:space="preserve"> as the receipts came in, credit entries were made on the accounts </w:t>
      </w:r>
      <w:r w:rsidR="00AE630F">
        <w:rPr>
          <w:sz w:val="22"/>
          <w:szCs w:val="22"/>
        </w:rPr>
        <w:t xml:space="preserve">and payments were made out against those credit entries – on which NatWest had any entitlement </w:t>
      </w:r>
      <w:r w:rsidR="00051453">
        <w:rPr>
          <w:sz w:val="22"/>
          <w:szCs w:val="22"/>
        </w:rPr>
        <w:t xml:space="preserve">to withhold payment of sums representing credit balances </w:t>
      </w:r>
      <w:r w:rsidR="00991A6A">
        <w:rPr>
          <w:sz w:val="22"/>
          <w:szCs w:val="22"/>
        </w:rPr>
        <w:t>on the accounts when instructed by SEWL to pay.</w:t>
      </w:r>
    </w:p>
    <w:p w14:paraId="4C1EC28C" w14:textId="77777777" w:rsidR="00064A9D" w:rsidRPr="0006585C" w:rsidRDefault="008B6556" w:rsidP="0006585C">
      <w:pPr>
        <w:autoSpaceDE w:val="0"/>
        <w:spacing w:before="240" w:after="240"/>
        <w:ind w:left="1854" w:hanging="720"/>
        <w:jc w:val="both"/>
        <w:rPr>
          <w:sz w:val="22"/>
          <w:szCs w:val="22"/>
        </w:rPr>
      </w:pPr>
      <w:r>
        <w:rPr>
          <w:sz w:val="22"/>
          <w:szCs w:val="22"/>
        </w:rPr>
        <w:t>243</w:t>
      </w:r>
      <w:r w:rsidR="0076374D">
        <w:rPr>
          <w:sz w:val="22"/>
          <w:szCs w:val="22"/>
        </w:rPr>
        <w:t>.</w:t>
      </w:r>
      <w:r w:rsidR="0076374D">
        <w:rPr>
          <w:sz w:val="22"/>
          <w:szCs w:val="22"/>
        </w:rPr>
        <w:tab/>
        <w:t xml:space="preserve">Therefore, in my judgment, NatWest was </w:t>
      </w:r>
      <w:r w:rsidR="00C837F3">
        <w:rPr>
          <w:sz w:val="22"/>
          <w:szCs w:val="22"/>
        </w:rPr>
        <w:t xml:space="preserve">not enriched by the payments made by the Claimants into SEWL’s bank accounts (in that regard, see </w:t>
      </w:r>
      <w:r w:rsidR="00C837F3">
        <w:rPr>
          <w:i/>
          <w:iCs/>
          <w:sz w:val="22"/>
          <w:szCs w:val="22"/>
        </w:rPr>
        <w:t>Box v. Barclays Bank plc</w:t>
      </w:r>
      <w:r w:rsidR="00C837F3">
        <w:rPr>
          <w:sz w:val="22"/>
          <w:szCs w:val="22"/>
        </w:rPr>
        <w:t>, [1998] Lloyd’s Rep</w:t>
      </w:r>
      <w:r w:rsidR="00B778D4">
        <w:rPr>
          <w:sz w:val="22"/>
          <w:szCs w:val="22"/>
        </w:rPr>
        <w:t xml:space="preserve"> Bank 185 and </w:t>
      </w:r>
      <w:r w:rsidR="00B778D4">
        <w:rPr>
          <w:i/>
          <w:iCs/>
          <w:sz w:val="22"/>
          <w:szCs w:val="22"/>
        </w:rPr>
        <w:t>Compagnie Commercial Andre SA v. Artibell Shipping Co Ltd</w:t>
      </w:r>
      <w:r w:rsidR="00B778D4">
        <w:rPr>
          <w:sz w:val="22"/>
          <w:szCs w:val="22"/>
        </w:rPr>
        <w:t xml:space="preserve">, [2001] </w:t>
      </w:r>
      <w:r w:rsidR="005C2C61">
        <w:rPr>
          <w:sz w:val="22"/>
          <w:szCs w:val="22"/>
        </w:rPr>
        <w:t>SC 653, Court of Session, Outer House at [16]</w:t>
      </w:r>
      <w:r w:rsidR="00DD176A">
        <w:rPr>
          <w:sz w:val="22"/>
          <w:szCs w:val="22"/>
        </w:rPr>
        <w:t xml:space="preserve"> </w:t>
      </w:r>
      <w:r w:rsidR="00DD176A">
        <w:rPr>
          <w:i/>
          <w:iCs/>
          <w:sz w:val="22"/>
          <w:szCs w:val="22"/>
        </w:rPr>
        <w:t xml:space="preserve">per </w:t>
      </w:r>
      <w:r w:rsidR="00DD176A">
        <w:rPr>
          <w:sz w:val="22"/>
          <w:szCs w:val="22"/>
        </w:rPr>
        <w:t>Lord Macfadyn). The Claimants’ proper unjust enrichment claim is against SEWL</w:t>
      </w:r>
      <w:r w:rsidR="00A621DB">
        <w:rPr>
          <w:sz w:val="22"/>
          <w:szCs w:val="22"/>
        </w:rPr>
        <w:t>, whose assets were increased upon the making of the payments to its bank accounts by the increases in its balances</w:t>
      </w:r>
      <w:r w:rsidR="004C6BF1">
        <w:rPr>
          <w:sz w:val="22"/>
          <w:szCs w:val="22"/>
        </w:rPr>
        <w:t xml:space="preserve"> on those accounts (representing the debt owed to it by NatWest).”</w:t>
      </w:r>
      <w:r w:rsidR="00AE630F">
        <w:rPr>
          <w:sz w:val="22"/>
          <w:szCs w:val="22"/>
        </w:rPr>
        <w:t xml:space="preserve"> </w:t>
      </w:r>
    </w:p>
    <w:p w14:paraId="531A60AE" w14:textId="77777777" w:rsidR="0096394E" w:rsidRDefault="004C6BF1" w:rsidP="00070E4C">
      <w:pPr>
        <w:numPr>
          <w:ilvl w:val="1"/>
          <w:numId w:val="2"/>
        </w:numPr>
        <w:autoSpaceDE w:val="0"/>
        <w:spacing w:before="240" w:after="240"/>
        <w:jc w:val="both"/>
      </w:pPr>
      <w:r>
        <w:t xml:space="preserve">In </w:t>
      </w:r>
      <w:r w:rsidR="006747A2">
        <w:rPr>
          <w:i/>
          <w:iCs/>
        </w:rPr>
        <w:t xml:space="preserve">Sixteenth </w:t>
      </w:r>
      <w:r w:rsidR="00F411D3">
        <w:rPr>
          <w:i/>
          <w:iCs/>
        </w:rPr>
        <w:t>Ocean GmbH &amp; Co KG v. Société</w:t>
      </w:r>
      <w:r w:rsidR="00C44065">
        <w:rPr>
          <w:i/>
          <w:iCs/>
        </w:rPr>
        <w:t xml:space="preserve"> Générale</w:t>
      </w:r>
      <w:r w:rsidR="00C44065">
        <w:t>,</w:t>
      </w:r>
      <w:r w:rsidR="00C44065">
        <w:rPr>
          <w:rStyle w:val="FootnoteReference"/>
        </w:rPr>
        <w:footnoteReference w:id="225"/>
      </w:r>
      <w:r w:rsidR="008328DD">
        <w:t xml:space="preserve"> Peter </w:t>
      </w:r>
      <w:r w:rsidR="0085723F">
        <w:t>MacDonald Eggars, QC, sitting as a Deputy Judge of the High Court</w:t>
      </w:r>
      <w:r w:rsidR="00001ED5">
        <w:t xml:space="preserve"> followed </w:t>
      </w:r>
      <w:r w:rsidR="00001ED5">
        <w:rPr>
          <w:i/>
          <w:iCs/>
        </w:rPr>
        <w:t>Jeremy D Stone</w:t>
      </w:r>
      <w:r w:rsidR="00001ED5">
        <w:t>:</w:t>
      </w:r>
    </w:p>
    <w:p w14:paraId="35FBDBA9" w14:textId="77777777" w:rsidR="00001ED5" w:rsidRPr="00001ED5" w:rsidRDefault="00001ED5" w:rsidP="00001ED5">
      <w:pPr>
        <w:autoSpaceDE w:val="0"/>
        <w:spacing w:before="240" w:after="240"/>
        <w:ind w:left="1134"/>
        <w:jc w:val="both"/>
        <w:rPr>
          <w:sz w:val="22"/>
          <w:szCs w:val="22"/>
        </w:rPr>
      </w:pPr>
      <w:r>
        <w:rPr>
          <w:sz w:val="22"/>
          <w:szCs w:val="22"/>
        </w:rPr>
        <w:t>“</w:t>
      </w:r>
      <w:r w:rsidR="00252344">
        <w:rPr>
          <w:sz w:val="22"/>
          <w:szCs w:val="22"/>
        </w:rPr>
        <w:t>Whether there was an enrichment is a question of fact. An enrichment is constituted by the receipt of a benefit</w:t>
      </w:r>
      <w:r w:rsidR="00A61DA8">
        <w:rPr>
          <w:sz w:val="22"/>
          <w:szCs w:val="22"/>
        </w:rPr>
        <w:t xml:space="preserve">, which can be money or a non-monetary benefit. The benefit must be a real one. Thus, if the </w:t>
      </w:r>
      <w:r w:rsidR="00E106DB">
        <w:rPr>
          <w:sz w:val="22"/>
          <w:szCs w:val="22"/>
        </w:rPr>
        <w:t>receipt of a benefit is matched by a corresponding liability, the net gain to the defendant is zero, and the defendant will not h</w:t>
      </w:r>
      <w:r w:rsidR="00E106DB" w:rsidRPr="00407E97">
        <w:rPr>
          <w:sz w:val="22"/>
          <w:szCs w:val="22"/>
        </w:rPr>
        <w:t xml:space="preserve">ave been enriched </w:t>
      </w:r>
      <w:r w:rsidR="00407E97">
        <w:rPr>
          <w:sz w:val="22"/>
          <w:szCs w:val="22"/>
        </w:rPr>
        <w:t>(</w:t>
      </w:r>
      <w:r w:rsidR="00407E97" w:rsidRPr="00407E97">
        <w:rPr>
          <w:i/>
          <w:iCs/>
          <w:sz w:val="22"/>
          <w:szCs w:val="22"/>
        </w:rPr>
        <w:t>Jeremy D Stone Consultants Ltd v. National Westminster Bank plc</w:t>
      </w:r>
      <w:r w:rsidR="008E7C9F">
        <w:rPr>
          <w:sz w:val="22"/>
          <w:szCs w:val="22"/>
        </w:rPr>
        <w:t>, [2013] EWHC 208 (Ch) at [242]</w:t>
      </w:r>
      <w:r w:rsidR="00407E97">
        <w:rPr>
          <w:sz w:val="22"/>
          <w:szCs w:val="22"/>
        </w:rPr>
        <w:t>)</w:t>
      </w:r>
      <w:r w:rsidR="008E7C9F">
        <w:rPr>
          <w:sz w:val="22"/>
          <w:szCs w:val="22"/>
        </w:rPr>
        <w:t>.”</w:t>
      </w:r>
    </w:p>
    <w:p w14:paraId="1A26C42E" w14:textId="77777777" w:rsidR="00001ED5" w:rsidRDefault="00491C92" w:rsidP="008E7C9F">
      <w:pPr>
        <w:numPr>
          <w:ilvl w:val="0"/>
          <w:numId w:val="2"/>
        </w:numPr>
        <w:autoSpaceDE w:val="0"/>
        <w:spacing w:before="240" w:after="240"/>
        <w:jc w:val="both"/>
      </w:pPr>
      <w:r>
        <w:t xml:space="preserve">Neither of these decisions grapples with – or even mentions – the </w:t>
      </w:r>
      <w:r w:rsidR="006B1D7B">
        <w:t xml:space="preserve">weight of authority lying behind the doctrine of ministerial receipt, and the view has been expressed that they are </w:t>
      </w:r>
      <w:r w:rsidR="006B1D7B">
        <w:rPr>
          <w:i/>
          <w:iCs/>
        </w:rPr>
        <w:t>per incuriam</w:t>
      </w:r>
      <w:r w:rsidR="006B1D7B">
        <w:t>.</w:t>
      </w:r>
      <w:r w:rsidR="00474765">
        <w:rPr>
          <w:rStyle w:val="FootnoteReference"/>
        </w:rPr>
        <w:footnoteReference w:id="226"/>
      </w:r>
      <w:r w:rsidR="003849EE">
        <w:t xml:space="preserve"> Even where the </w:t>
      </w:r>
      <w:r w:rsidR="00092D58">
        <w:t xml:space="preserve">law as stated in these </w:t>
      </w:r>
      <w:r w:rsidR="003849EE">
        <w:t xml:space="preserve">decisions </w:t>
      </w:r>
      <w:r w:rsidR="00092D58">
        <w:t>is</w:t>
      </w:r>
      <w:r w:rsidR="003849EE">
        <w:t xml:space="preserve"> supported</w:t>
      </w:r>
      <w:r w:rsidR="00A705D8">
        <w:t xml:space="preserve"> in terms of outcome</w:t>
      </w:r>
      <w:r w:rsidR="003849EE">
        <w:t xml:space="preserve"> – as in </w:t>
      </w:r>
      <w:r w:rsidR="003849EE">
        <w:rPr>
          <w:i/>
          <w:iCs/>
        </w:rPr>
        <w:t>Goff &amp; Jones</w:t>
      </w:r>
      <w:r w:rsidR="003849EE">
        <w:t xml:space="preserve"> – it is recognised by the authors </w:t>
      </w:r>
      <w:r w:rsidR="00857AEE">
        <w:t xml:space="preserve">of that work </w:t>
      </w:r>
      <w:r w:rsidR="00CE017C">
        <w:t>that the</w:t>
      </w:r>
      <w:r w:rsidR="00857AEE">
        <w:t>se</w:t>
      </w:r>
      <w:r w:rsidR="00CE017C">
        <w:t xml:space="preserve"> </w:t>
      </w:r>
      <w:r w:rsidR="00092D58">
        <w:lastRenderedPageBreak/>
        <w:t xml:space="preserve">decisions </w:t>
      </w:r>
      <w:r w:rsidR="00CE017C">
        <w:t>are heterodox.</w:t>
      </w:r>
      <w:r w:rsidR="00CE017C">
        <w:rPr>
          <w:rStyle w:val="FootnoteReference"/>
        </w:rPr>
        <w:footnoteReference w:id="227"/>
      </w:r>
      <w:r w:rsidR="00A705D8">
        <w:t xml:space="preserve"> Neither of the authorities cited </w:t>
      </w:r>
      <w:r w:rsidR="006C3642">
        <w:t xml:space="preserve">in </w:t>
      </w:r>
      <w:r w:rsidR="006C3642" w:rsidRPr="006C3642">
        <w:rPr>
          <w:i/>
          <w:iCs/>
        </w:rPr>
        <w:t>Jeremy D Stone Consultants Ltd</w:t>
      </w:r>
      <w:r w:rsidR="006C3642">
        <w:t xml:space="preserve"> stands in </w:t>
      </w:r>
      <w:r w:rsidR="006D7B90">
        <w:t xml:space="preserve">clear </w:t>
      </w:r>
      <w:r w:rsidR="006C3642">
        <w:t>support of the proposition there advanced regarding enrichment.</w:t>
      </w:r>
      <w:r w:rsidR="00E1168E">
        <w:rPr>
          <w:rStyle w:val="FootnoteReference"/>
        </w:rPr>
        <w:footnoteReference w:id="228"/>
      </w:r>
    </w:p>
    <w:p w14:paraId="5C40CDC2" w14:textId="77777777" w:rsidR="00385CEC" w:rsidRDefault="00385CEC" w:rsidP="008E7C9F">
      <w:pPr>
        <w:numPr>
          <w:ilvl w:val="0"/>
          <w:numId w:val="2"/>
        </w:numPr>
        <w:autoSpaceDE w:val="0"/>
        <w:spacing w:before="240" w:after="240"/>
        <w:jc w:val="both"/>
      </w:pPr>
      <w:r>
        <w:t xml:space="preserve">I consider that I am bound, by established authority, to hold that </w:t>
      </w:r>
      <w:r w:rsidR="00D35C51">
        <w:t xml:space="preserve">in a case such as the present, where the bank holds the monies of its principal on notice of the </w:t>
      </w:r>
      <w:r w:rsidR="00EB0B66">
        <w:t xml:space="preserve">claimant’s restitutionary claim, it is liable to repay those monies and therefore should (as the bank has done here) </w:t>
      </w:r>
      <w:r w:rsidR="00BE4D98">
        <w:t xml:space="preserve">interplead. In any event, even absent established authority, this is clearly the correct </w:t>
      </w:r>
      <w:r w:rsidR="00CC1430">
        <w:t>outcome</w:t>
      </w:r>
      <w:r w:rsidR="00BE4D98">
        <w:t>:</w:t>
      </w:r>
    </w:p>
    <w:p w14:paraId="3D227C65" w14:textId="77777777" w:rsidR="00BD441F" w:rsidRDefault="00C82089" w:rsidP="00BE4D98">
      <w:pPr>
        <w:numPr>
          <w:ilvl w:val="1"/>
          <w:numId w:val="2"/>
        </w:numPr>
        <w:autoSpaceDE w:val="0"/>
        <w:spacing w:before="240" w:after="240"/>
        <w:jc w:val="both"/>
      </w:pPr>
      <w:r>
        <w:t xml:space="preserve">Holding that an agent – like a bank </w:t>
      </w:r>
      <w:r w:rsidR="00C576FF">
        <w:t>–</w:t>
      </w:r>
      <w:r>
        <w:t xml:space="preserve"> </w:t>
      </w:r>
      <w:r w:rsidR="00C576FF">
        <w:t xml:space="preserve">when it receives a mistaken or unauthorised payment that could be the subject of a claim in restitution has not been enriched </w:t>
      </w:r>
      <w:r w:rsidR="009C7727">
        <w:t xml:space="preserve">because of the obligation of the agent to account to his principal </w:t>
      </w:r>
      <w:r w:rsidR="0073028B">
        <w:t>means that – in such cases – the defence of change of position and the related defence of ministerial receipt</w:t>
      </w:r>
      <w:r w:rsidR="009C7727">
        <w:t xml:space="preserve"> are redundant.</w:t>
      </w:r>
      <w:r w:rsidR="0073028B">
        <w:rPr>
          <w:rStyle w:val="FootnoteReference"/>
        </w:rPr>
        <w:footnoteReference w:id="229"/>
      </w:r>
      <w:r w:rsidR="005F6924">
        <w:t xml:space="preserve"> </w:t>
      </w:r>
      <w:r w:rsidR="00E3174A">
        <w:t xml:space="preserve">The fact is that </w:t>
      </w:r>
      <w:r w:rsidR="00B258D7">
        <w:t xml:space="preserve">personal restitutionary claims arise </w:t>
      </w:r>
      <w:r w:rsidR="00B258D7" w:rsidRPr="00B258D7">
        <w:rPr>
          <w:u w:val="single"/>
        </w:rPr>
        <w:t>directly</w:t>
      </w:r>
      <w:r w:rsidR="00B258D7">
        <w:t xml:space="preserve"> as between the </w:t>
      </w:r>
      <w:r w:rsidR="00EF35C0">
        <w:t xml:space="preserve">party deprived and the party enriched, and </w:t>
      </w:r>
      <w:r w:rsidR="00BE54CD" w:rsidRPr="00BE54CD">
        <w:rPr>
          <w:u w:val="single"/>
        </w:rPr>
        <w:t>indirect</w:t>
      </w:r>
      <w:r w:rsidR="00BE54CD">
        <w:t xml:space="preserve"> enrichment does not </w:t>
      </w:r>
      <w:r w:rsidR="00400264">
        <w:t xml:space="preserve">generally </w:t>
      </w:r>
      <w:r w:rsidR="00BE54CD">
        <w:t>found a personal restitutionary claim.</w:t>
      </w:r>
      <w:r w:rsidR="00BE54CD">
        <w:rPr>
          <w:rStyle w:val="FootnoteReference"/>
        </w:rPr>
        <w:footnoteReference w:id="230"/>
      </w:r>
      <w:r w:rsidR="00BE54CD">
        <w:t xml:space="preserve"> </w:t>
      </w:r>
      <w:r w:rsidR="00400264">
        <w:t>The doctrine of ministerial receipt, to an extent, constitutes an exception</w:t>
      </w:r>
      <w:r w:rsidR="0015384D">
        <w:t xml:space="preserve"> to this rule, recognising the agent’s duty to account to his principal.</w:t>
      </w:r>
    </w:p>
    <w:p w14:paraId="6F0AFE43" w14:textId="77777777" w:rsidR="00BE4D98" w:rsidRDefault="00BD441F" w:rsidP="00BE4D98">
      <w:pPr>
        <w:numPr>
          <w:ilvl w:val="1"/>
          <w:numId w:val="2"/>
        </w:numPr>
        <w:autoSpaceDE w:val="0"/>
        <w:spacing w:before="240" w:after="240"/>
        <w:jc w:val="both"/>
      </w:pPr>
      <w:r>
        <w:t xml:space="preserve">The approach adopted in </w:t>
      </w:r>
      <w:r>
        <w:rPr>
          <w:i/>
          <w:iCs/>
        </w:rPr>
        <w:t xml:space="preserve">Jeremy D Stone </w:t>
      </w:r>
      <w:r>
        <w:t xml:space="preserve">and </w:t>
      </w:r>
      <w:r>
        <w:rPr>
          <w:i/>
          <w:iCs/>
        </w:rPr>
        <w:t>Sixteenth Ocean</w:t>
      </w:r>
      <w:r w:rsidR="00F54CA0">
        <w:t xml:space="preserve"> draws an impossible to justify distinction between an account in credit and </w:t>
      </w:r>
      <w:r w:rsidR="00B11E07">
        <w:t xml:space="preserve">an </w:t>
      </w:r>
      <w:r w:rsidR="00F54CA0">
        <w:t xml:space="preserve">overdrawn account. </w:t>
      </w:r>
      <w:r w:rsidR="009E499B">
        <w:t>In the former case, the bank will – according to these decisions – not have been enriched</w:t>
      </w:r>
      <w:r w:rsidR="000C678B">
        <w:t xml:space="preserve"> and the restitutionary claim will fail against the bank</w:t>
      </w:r>
      <w:r w:rsidR="009E499B">
        <w:t>. In the latter case</w:t>
      </w:r>
      <w:r w:rsidR="00404215">
        <w:t>,</w:t>
      </w:r>
      <w:r w:rsidR="009E499B">
        <w:t xml:space="preserve"> </w:t>
      </w:r>
      <w:r w:rsidR="00693748">
        <w:t>because the customer’s debt to the bank will have been repaid to the extent of the mistaken or unauthorised payment</w:t>
      </w:r>
      <w:r w:rsidR="000C678B">
        <w:t xml:space="preserve">, the bank will have been enriched </w:t>
      </w:r>
      <w:r w:rsidR="00873D4F">
        <w:t>and the claim in restitution will succeed (or at least not fail on the grounds that there has been no enrichment).</w:t>
      </w:r>
    </w:p>
    <w:p w14:paraId="13C94CCC" w14:textId="77777777" w:rsidR="00873D4F" w:rsidRDefault="00873D4F" w:rsidP="00BE4D98">
      <w:pPr>
        <w:numPr>
          <w:ilvl w:val="1"/>
          <w:numId w:val="2"/>
        </w:numPr>
        <w:autoSpaceDE w:val="0"/>
        <w:spacing w:before="240" w:after="240"/>
        <w:jc w:val="both"/>
      </w:pPr>
      <w:r>
        <w:t xml:space="preserve">The approach adopted in </w:t>
      </w:r>
      <w:r>
        <w:rPr>
          <w:i/>
          <w:iCs/>
        </w:rPr>
        <w:t xml:space="preserve">Jeremy D Stone </w:t>
      </w:r>
      <w:r>
        <w:t xml:space="preserve">and </w:t>
      </w:r>
      <w:r>
        <w:rPr>
          <w:i/>
          <w:iCs/>
        </w:rPr>
        <w:t>Sixteenth Ocean</w:t>
      </w:r>
      <w:r>
        <w:t xml:space="preserve"> simply cannot explain the long line of cases that hold that </w:t>
      </w:r>
      <w:r w:rsidR="00224A8F">
        <w:t>a receiving bank may</w:t>
      </w:r>
      <w:r w:rsidR="00D42E79">
        <w:t xml:space="preserve"> – where the account still contains the monies received and these have not been paid away – reverse the payment in the bank’s books</w:t>
      </w:r>
      <w:r w:rsidR="0070057D">
        <w:t>, as the credit is provisional only.</w:t>
      </w:r>
      <w:r w:rsidR="0070057D">
        <w:rPr>
          <w:rStyle w:val="FootnoteReference"/>
        </w:rPr>
        <w:footnoteReference w:id="231"/>
      </w:r>
    </w:p>
    <w:p w14:paraId="2C93FCB6" w14:textId="77777777" w:rsidR="004D0A51" w:rsidRDefault="004D0A51" w:rsidP="004D0A51">
      <w:pPr>
        <w:numPr>
          <w:ilvl w:val="0"/>
          <w:numId w:val="2"/>
        </w:numPr>
        <w:autoSpaceDE w:val="0"/>
        <w:spacing w:before="240" w:after="240"/>
        <w:jc w:val="both"/>
      </w:pPr>
      <w:r>
        <w:lastRenderedPageBreak/>
        <w:t xml:space="preserve">In the circumstances, </w:t>
      </w:r>
      <w:r w:rsidR="00E200A5">
        <w:t xml:space="preserve">in the alternative to the Princes’ and India’s restitutionary claim against </w:t>
      </w:r>
      <w:r w:rsidR="00087B2D">
        <w:t xml:space="preserve">Pakistan, their restitutionary claim against </w:t>
      </w:r>
      <w:r w:rsidR="00D26177">
        <w:t xml:space="preserve">the Bank </w:t>
      </w:r>
      <w:r w:rsidR="00087B2D">
        <w:t>succeeds</w:t>
      </w:r>
      <w:r w:rsidR="00D26177">
        <w:t>.</w:t>
      </w:r>
    </w:p>
    <w:p w14:paraId="44529A59" w14:textId="77777777" w:rsidR="00E83E96" w:rsidRPr="00811CF7" w:rsidRDefault="006D69A0" w:rsidP="00087B2D">
      <w:pPr>
        <w:keepNext/>
        <w:tabs>
          <w:tab w:val="left" w:pos="521"/>
          <w:tab w:val="left" w:pos="567"/>
        </w:tabs>
        <w:autoSpaceDE w:val="0"/>
        <w:spacing w:before="240" w:after="240"/>
        <w:jc w:val="both"/>
        <w:rPr>
          <w:b/>
          <w:bCs/>
        </w:rPr>
      </w:pPr>
      <w:r>
        <w:rPr>
          <w:b/>
          <w:bCs/>
        </w:rPr>
        <w:t>K</w:t>
      </w:r>
      <w:r w:rsidR="00811CF7" w:rsidRPr="00811CF7">
        <w:rPr>
          <w:b/>
          <w:bCs/>
        </w:rPr>
        <w:t>.</w:t>
      </w:r>
      <w:r w:rsidR="00811CF7" w:rsidRPr="00811CF7">
        <w:rPr>
          <w:b/>
          <w:bCs/>
        </w:rPr>
        <w:tab/>
      </w:r>
      <w:r w:rsidR="003E5E33">
        <w:rPr>
          <w:b/>
          <w:bCs/>
        </w:rPr>
        <w:t xml:space="preserve">FOREIGN ACT OF STATE </w:t>
      </w:r>
      <w:r w:rsidR="005358A4">
        <w:rPr>
          <w:b/>
          <w:bCs/>
        </w:rPr>
        <w:t xml:space="preserve">DOCTRINE </w:t>
      </w:r>
      <w:r w:rsidR="003E5E33">
        <w:rPr>
          <w:b/>
          <w:bCs/>
        </w:rPr>
        <w:t xml:space="preserve">AND </w:t>
      </w:r>
      <w:r w:rsidR="00811CF7" w:rsidRPr="00811CF7">
        <w:rPr>
          <w:b/>
          <w:bCs/>
        </w:rPr>
        <w:t>NON-JUSTICIABILITY</w:t>
      </w:r>
    </w:p>
    <w:p w14:paraId="2FF82612" w14:textId="77777777" w:rsidR="004B1C58" w:rsidRPr="004B1C58" w:rsidRDefault="004B1C58" w:rsidP="00087B2D">
      <w:pPr>
        <w:keepNext/>
        <w:tabs>
          <w:tab w:val="left" w:pos="567"/>
        </w:tabs>
        <w:autoSpaceDE w:val="0"/>
        <w:spacing w:before="240" w:after="240"/>
        <w:jc w:val="both"/>
        <w:rPr>
          <w:b/>
          <w:bCs/>
        </w:rPr>
      </w:pPr>
      <w:r>
        <w:rPr>
          <w:b/>
          <w:bCs/>
        </w:rPr>
        <w:t>(1)</w:t>
      </w:r>
      <w:r>
        <w:rPr>
          <w:b/>
          <w:bCs/>
        </w:rPr>
        <w:tab/>
      </w:r>
      <w:r w:rsidR="00B428AB">
        <w:rPr>
          <w:b/>
          <w:bCs/>
        </w:rPr>
        <w:t>The nature of the Doctrine</w:t>
      </w:r>
    </w:p>
    <w:p w14:paraId="5DD93CEE" w14:textId="77777777" w:rsidR="003D0C59" w:rsidRDefault="00781CB0" w:rsidP="00853B4D">
      <w:pPr>
        <w:numPr>
          <w:ilvl w:val="0"/>
          <w:numId w:val="2"/>
        </w:numPr>
        <w:autoSpaceDE w:val="0"/>
        <w:spacing w:before="240" w:after="240"/>
        <w:jc w:val="both"/>
      </w:pPr>
      <w:r>
        <w:t xml:space="preserve">In </w:t>
      </w:r>
      <w:r w:rsidR="009E19D8">
        <w:rPr>
          <w:i/>
          <w:iCs/>
        </w:rPr>
        <w:t>Belhaj v. Straw</w:t>
      </w:r>
      <w:r w:rsidR="009E19D8">
        <w:t>,</w:t>
      </w:r>
      <w:r w:rsidR="009E19D8">
        <w:rPr>
          <w:rStyle w:val="FootnoteReference"/>
        </w:rPr>
        <w:footnoteReference w:id="232"/>
      </w:r>
      <w:r w:rsidR="009E19D8">
        <w:t xml:space="preserve"> the Supreme </w:t>
      </w:r>
      <w:r w:rsidR="00507043">
        <w:t>Court</w:t>
      </w:r>
      <w:r w:rsidR="00716B25">
        <w:t xml:space="preserve"> considered the foreign act of state doctrine. </w:t>
      </w:r>
      <w:r w:rsidR="00F22DCC">
        <w:t>Lords Mance, Neuberger</w:t>
      </w:r>
      <w:r w:rsidR="0098264A">
        <w:t xml:space="preserve"> and Sumption</w:t>
      </w:r>
      <w:r w:rsidR="007C331D">
        <w:t xml:space="preserve"> gave substantive judgments. Lord </w:t>
      </w:r>
      <w:r w:rsidR="00927411">
        <w:t xml:space="preserve">Wilson agreed with Lord Neuberger without giving a separate judgment and </w:t>
      </w:r>
      <w:r w:rsidR="00760016">
        <w:t>Lady Hale and Lord Clarke gave a brief judgment agreeing with the reasoning and conclusions of Lord Neuberger</w:t>
      </w:r>
      <w:r w:rsidR="000C49F4">
        <w:t>.</w:t>
      </w:r>
      <w:r w:rsidR="000C49F4">
        <w:rPr>
          <w:rStyle w:val="FootnoteReference"/>
        </w:rPr>
        <w:footnoteReference w:id="233"/>
      </w:r>
      <w:r w:rsidR="00953F89">
        <w:t xml:space="preserve"> Lord Hughes agreed with Lord Sumption</w:t>
      </w:r>
      <w:r w:rsidR="00E2741F">
        <w:t xml:space="preserve"> without giving a separate judgment. </w:t>
      </w:r>
      <w:r w:rsidR="00652722">
        <w:t xml:space="preserve">Accordingly, the best starting point is that of Lord Neuberger, </w:t>
      </w:r>
      <w:r w:rsidR="00DA6541">
        <w:t>as representing the majority view.</w:t>
      </w:r>
      <w:r w:rsidR="00E3768B">
        <w:rPr>
          <w:rStyle w:val="FootnoteReference"/>
        </w:rPr>
        <w:footnoteReference w:id="234"/>
      </w:r>
    </w:p>
    <w:p w14:paraId="72035FBC" w14:textId="77777777" w:rsidR="003D0C59" w:rsidRDefault="00690DB9" w:rsidP="00853B4D">
      <w:pPr>
        <w:numPr>
          <w:ilvl w:val="0"/>
          <w:numId w:val="2"/>
        </w:numPr>
        <w:autoSpaceDE w:val="0"/>
        <w:spacing w:before="240" w:after="240"/>
        <w:jc w:val="both"/>
      </w:pPr>
      <w:r>
        <w:t>Lord Neuberger consider</w:t>
      </w:r>
      <w:r w:rsidR="00B428AB">
        <w:t>ed</w:t>
      </w:r>
      <w:r>
        <w:t xml:space="preserve"> the foreign act of state doctrine</w:t>
      </w:r>
      <w:r w:rsidR="00171253">
        <w:t xml:space="preserve"> in [118]</w:t>
      </w:r>
      <w:r w:rsidR="00171253">
        <w:rPr>
          <w:i/>
          <w:iCs/>
        </w:rPr>
        <w:t>ff</w:t>
      </w:r>
      <w:r w:rsidR="00171253">
        <w:t xml:space="preserve">. He referred to it as the </w:t>
      </w:r>
      <w:r w:rsidR="00171253" w:rsidRPr="00045E6E">
        <w:rPr>
          <w:b/>
          <w:bCs/>
        </w:rPr>
        <w:t>Doctrine</w:t>
      </w:r>
      <w:r w:rsidR="00172B44" w:rsidRPr="00172B44">
        <w:t>, which term I shall adopt.</w:t>
      </w:r>
      <w:r w:rsidR="00B25829">
        <w:t xml:space="preserve"> He summarised the nature of the Doctrine thus:</w:t>
      </w:r>
      <w:r w:rsidR="00B25829">
        <w:rPr>
          <w:rStyle w:val="FootnoteReference"/>
        </w:rPr>
        <w:footnoteReference w:id="235"/>
      </w:r>
    </w:p>
    <w:p w14:paraId="067C9102" w14:textId="77777777" w:rsidR="001672D3" w:rsidRPr="001672D3" w:rsidRDefault="001672D3" w:rsidP="001672D3">
      <w:pPr>
        <w:autoSpaceDE w:val="0"/>
        <w:spacing w:before="240" w:after="240"/>
        <w:ind w:left="567"/>
        <w:jc w:val="both"/>
        <w:rPr>
          <w:sz w:val="22"/>
          <w:szCs w:val="22"/>
        </w:rPr>
      </w:pPr>
      <w:r>
        <w:rPr>
          <w:sz w:val="22"/>
          <w:szCs w:val="22"/>
        </w:rPr>
        <w:t>“</w:t>
      </w:r>
      <w:r w:rsidR="00063241">
        <w:rPr>
          <w:sz w:val="22"/>
          <w:szCs w:val="22"/>
        </w:rPr>
        <w:t>In summary terms, the Doctrine amounts to this, that the courts of the United Kingdom</w:t>
      </w:r>
      <w:r w:rsidR="009E273C">
        <w:rPr>
          <w:sz w:val="22"/>
          <w:szCs w:val="22"/>
        </w:rPr>
        <w:t xml:space="preserve"> will not readily adjudicate upon the lawfulness or validity of sovereign acts of foreign states</w:t>
      </w:r>
      <w:r w:rsidR="000276C4">
        <w:rPr>
          <w:sz w:val="22"/>
          <w:szCs w:val="22"/>
        </w:rPr>
        <w:t>, and it applies to claims which, while not made against the foreign state concerned, involve an allegation</w:t>
      </w:r>
      <w:r w:rsidR="00C00B85">
        <w:rPr>
          <w:sz w:val="22"/>
          <w:szCs w:val="22"/>
        </w:rPr>
        <w:t xml:space="preserve"> that a foreign state has acted unlawfully</w:t>
      </w:r>
      <w:r w:rsidR="00EA2A59">
        <w:rPr>
          <w:sz w:val="22"/>
          <w:szCs w:val="22"/>
        </w:rPr>
        <w:t>…</w:t>
      </w:r>
      <w:r w:rsidR="00B8568F">
        <w:rPr>
          <w:sz w:val="22"/>
          <w:szCs w:val="22"/>
        </w:rPr>
        <w:t>”</w:t>
      </w:r>
    </w:p>
    <w:p w14:paraId="73D3A7CE" w14:textId="77777777" w:rsidR="00BE1554" w:rsidRDefault="00BC5872" w:rsidP="00BE1554">
      <w:pPr>
        <w:numPr>
          <w:ilvl w:val="0"/>
          <w:numId w:val="2"/>
        </w:numPr>
        <w:autoSpaceDE w:val="0"/>
        <w:spacing w:before="240" w:after="240"/>
        <w:jc w:val="both"/>
      </w:pPr>
      <w:r>
        <w:t xml:space="preserve">Lord Neuberger considered that the Doctrine could be </w:t>
      </w:r>
      <w:r w:rsidR="00C820B1">
        <w:t>broken down into four rules</w:t>
      </w:r>
      <w:r w:rsidR="00BE1554">
        <w:t>:</w:t>
      </w:r>
    </w:p>
    <w:p w14:paraId="19D97EE0" w14:textId="77777777" w:rsidR="00BE1554" w:rsidRDefault="00BE1554" w:rsidP="00BE1554">
      <w:pPr>
        <w:numPr>
          <w:ilvl w:val="1"/>
          <w:numId w:val="2"/>
        </w:numPr>
        <w:autoSpaceDE w:val="0"/>
        <w:spacing w:before="240" w:after="240"/>
        <w:jc w:val="both"/>
      </w:pPr>
      <w:r>
        <w:rPr>
          <w:i/>
          <w:iCs/>
        </w:rPr>
        <w:t>Rule 1.</w:t>
      </w:r>
      <w:r>
        <w:t xml:space="preserve"> The courts of this country </w:t>
      </w:r>
      <w:r w:rsidR="00D9576C">
        <w:t xml:space="preserve">will recognise, and will not question, the effect of a foreign state’s legislation or other laws </w:t>
      </w:r>
      <w:r w:rsidR="00860DB6">
        <w:t>in relation to any acts which take place or take effect within the territory of that state.</w:t>
      </w:r>
      <w:r w:rsidR="00860DB6">
        <w:rPr>
          <w:rStyle w:val="FootnoteReference"/>
        </w:rPr>
        <w:footnoteReference w:id="236"/>
      </w:r>
    </w:p>
    <w:p w14:paraId="47E526B9" w14:textId="77777777" w:rsidR="005363C9" w:rsidRDefault="005363C9" w:rsidP="00BE1554">
      <w:pPr>
        <w:numPr>
          <w:ilvl w:val="1"/>
          <w:numId w:val="2"/>
        </w:numPr>
        <w:autoSpaceDE w:val="0"/>
        <w:spacing w:before="240" w:after="240"/>
        <w:jc w:val="both"/>
      </w:pPr>
      <w:r>
        <w:rPr>
          <w:i/>
          <w:iCs/>
        </w:rPr>
        <w:t>Rule 2.</w:t>
      </w:r>
      <w:r>
        <w:t xml:space="preserve"> T</w:t>
      </w:r>
      <w:r w:rsidR="00CF1BC4">
        <w:t xml:space="preserve">he courts of this country </w:t>
      </w:r>
      <w:r w:rsidR="00CE689A">
        <w:t xml:space="preserve">will recognise, and will not question, the effect of an act of a foreign state’s executive </w:t>
      </w:r>
      <w:r w:rsidR="00D3028A">
        <w:t>in relation to any acts which take place or take effect within the territory of that state.</w:t>
      </w:r>
      <w:r w:rsidR="00D3028A">
        <w:rPr>
          <w:rStyle w:val="FootnoteReference"/>
        </w:rPr>
        <w:footnoteReference w:id="237"/>
      </w:r>
      <w:r w:rsidR="00CE689A">
        <w:t xml:space="preserve"> </w:t>
      </w:r>
    </w:p>
    <w:p w14:paraId="3D0B6EC2" w14:textId="77777777" w:rsidR="009229C7" w:rsidRDefault="009229C7" w:rsidP="00BE1554">
      <w:pPr>
        <w:numPr>
          <w:ilvl w:val="1"/>
          <w:numId w:val="2"/>
        </w:numPr>
        <w:autoSpaceDE w:val="0"/>
        <w:spacing w:before="240" w:after="240"/>
        <w:jc w:val="both"/>
      </w:pPr>
      <w:r>
        <w:rPr>
          <w:i/>
          <w:iCs/>
        </w:rPr>
        <w:t>Rule 3.</w:t>
      </w:r>
      <w:r>
        <w:t xml:space="preserve"> </w:t>
      </w:r>
      <w:r w:rsidR="00D659CD">
        <w:t>Lord Neuberger described this rule as follows:</w:t>
      </w:r>
      <w:r w:rsidR="00D659CD">
        <w:rPr>
          <w:rStyle w:val="FootnoteReference"/>
        </w:rPr>
        <w:footnoteReference w:id="238"/>
      </w:r>
    </w:p>
    <w:p w14:paraId="7AA4E35C" w14:textId="77777777" w:rsidR="00D659CD" w:rsidRPr="000850DD" w:rsidRDefault="00D659CD" w:rsidP="00D659CD">
      <w:pPr>
        <w:autoSpaceDE w:val="0"/>
        <w:spacing w:before="240" w:after="240"/>
        <w:ind w:left="1134"/>
        <w:jc w:val="both"/>
        <w:rPr>
          <w:sz w:val="22"/>
          <w:szCs w:val="22"/>
        </w:rPr>
      </w:pPr>
      <w:r>
        <w:rPr>
          <w:sz w:val="22"/>
          <w:szCs w:val="22"/>
        </w:rPr>
        <w:t>“</w:t>
      </w:r>
      <w:r w:rsidR="00806E9B">
        <w:rPr>
          <w:sz w:val="22"/>
          <w:szCs w:val="22"/>
        </w:rPr>
        <w:t>The third rule has more than one component</w:t>
      </w:r>
      <w:r w:rsidR="000904BF">
        <w:rPr>
          <w:sz w:val="22"/>
          <w:szCs w:val="22"/>
        </w:rPr>
        <w:t xml:space="preserve">, but each component involves issues </w:t>
      </w:r>
      <w:r w:rsidR="001C2EB3">
        <w:rPr>
          <w:sz w:val="22"/>
          <w:szCs w:val="22"/>
        </w:rPr>
        <w:t xml:space="preserve">which are inappropriate </w:t>
      </w:r>
      <w:r w:rsidR="00FA32CC">
        <w:rPr>
          <w:sz w:val="22"/>
          <w:szCs w:val="22"/>
        </w:rPr>
        <w:t xml:space="preserve">for the courts of the United Kingdom to resolve because they involve a challenge to the lawfulness of the act </w:t>
      </w:r>
      <w:r w:rsidR="004722F9">
        <w:rPr>
          <w:sz w:val="22"/>
          <w:szCs w:val="22"/>
        </w:rPr>
        <w:t>of a foreign state which is of such a nature that a municipal judge cannot or ought not rule on it.</w:t>
      </w:r>
      <w:r w:rsidR="00A266D7">
        <w:rPr>
          <w:sz w:val="22"/>
          <w:szCs w:val="22"/>
        </w:rPr>
        <w:t xml:space="preserve"> Thus, the courts of this country will not </w:t>
      </w:r>
      <w:r w:rsidR="00A266D7">
        <w:rPr>
          <w:sz w:val="22"/>
          <w:szCs w:val="22"/>
        </w:rPr>
        <w:lastRenderedPageBreak/>
        <w:t>interpret or question</w:t>
      </w:r>
      <w:r w:rsidR="00A222ED">
        <w:rPr>
          <w:sz w:val="22"/>
          <w:szCs w:val="22"/>
        </w:rPr>
        <w:t xml:space="preserve"> dealings between foreign states; “Obvious examples are making </w:t>
      </w:r>
      <w:r w:rsidR="009100DC">
        <w:rPr>
          <w:sz w:val="22"/>
          <w:szCs w:val="22"/>
        </w:rPr>
        <w:t xml:space="preserve">war and peace, making treaties with foreign sovereigns, and annexations and cessions of territory”: </w:t>
      </w:r>
      <w:r w:rsidR="009100DC">
        <w:rPr>
          <w:i/>
          <w:iCs/>
          <w:sz w:val="22"/>
          <w:szCs w:val="22"/>
        </w:rPr>
        <w:t xml:space="preserve">per </w:t>
      </w:r>
      <w:r w:rsidR="009100DC">
        <w:rPr>
          <w:sz w:val="22"/>
          <w:szCs w:val="22"/>
        </w:rPr>
        <w:t xml:space="preserve">Lord Pearson in </w:t>
      </w:r>
      <w:r w:rsidR="009100DC">
        <w:rPr>
          <w:i/>
          <w:iCs/>
          <w:sz w:val="22"/>
          <w:szCs w:val="22"/>
        </w:rPr>
        <w:t>Nissan v. Attorney General</w:t>
      </w:r>
      <w:r w:rsidR="00AE39EB">
        <w:rPr>
          <w:sz w:val="22"/>
          <w:szCs w:val="22"/>
        </w:rPr>
        <w:t xml:space="preserve">, [1970] AC 179, 237. </w:t>
      </w:r>
      <w:r w:rsidR="00AE39EB">
        <w:rPr>
          <w:i/>
          <w:iCs/>
          <w:sz w:val="22"/>
          <w:szCs w:val="22"/>
        </w:rPr>
        <w:t>Nissan</w:t>
      </w:r>
      <w:r w:rsidR="00AE39EB">
        <w:rPr>
          <w:sz w:val="22"/>
          <w:szCs w:val="22"/>
        </w:rPr>
        <w:t xml:space="preserve"> was a case </w:t>
      </w:r>
      <w:r w:rsidR="00BB4DDC">
        <w:rPr>
          <w:sz w:val="22"/>
          <w:szCs w:val="22"/>
        </w:rPr>
        <w:t xml:space="preserve">concerned with Crown act of state, which is, of course, a different doctrine and is considered in </w:t>
      </w:r>
      <w:r w:rsidR="00873A13">
        <w:rPr>
          <w:i/>
          <w:iCs/>
          <w:sz w:val="22"/>
          <w:szCs w:val="22"/>
        </w:rPr>
        <w:t>Mohammed (Serdar) v. Ministry of Defence</w:t>
      </w:r>
      <w:r w:rsidR="00873A13">
        <w:rPr>
          <w:sz w:val="22"/>
          <w:szCs w:val="22"/>
        </w:rPr>
        <w:t xml:space="preserve">; </w:t>
      </w:r>
      <w:r w:rsidR="00873A13">
        <w:rPr>
          <w:i/>
          <w:iCs/>
          <w:sz w:val="22"/>
          <w:szCs w:val="22"/>
        </w:rPr>
        <w:t>Rahmatullah v. Ministry of Defence</w:t>
      </w:r>
      <w:r w:rsidR="00873A13">
        <w:rPr>
          <w:sz w:val="22"/>
          <w:szCs w:val="22"/>
        </w:rPr>
        <w:t xml:space="preserve">, [2017] </w:t>
      </w:r>
      <w:r w:rsidR="00B47CA2">
        <w:rPr>
          <w:sz w:val="22"/>
          <w:szCs w:val="22"/>
        </w:rPr>
        <w:t xml:space="preserve">AC 649, 787, but the remark is none the less equally apposite </w:t>
      </w:r>
      <w:r w:rsidR="00903230">
        <w:rPr>
          <w:sz w:val="22"/>
          <w:szCs w:val="22"/>
        </w:rPr>
        <w:t>to the foreign act of state doctrine. Similarly, the courts of this country will not, as a matter of judicial policy</w:t>
      </w:r>
      <w:r w:rsidR="004638D7">
        <w:rPr>
          <w:sz w:val="22"/>
          <w:szCs w:val="22"/>
        </w:rPr>
        <w:t>, determine the legality of acts of a foreign government in the conduct of foreign affairs.</w:t>
      </w:r>
      <w:r w:rsidR="0094017F">
        <w:rPr>
          <w:sz w:val="22"/>
          <w:szCs w:val="22"/>
        </w:rPr>
        <w:t xml:space="preserve"> It is also part of this third rule that international treaties and conventions, which have not become incorporated </w:t>
      </w:r>
      <w:r w:rsidR="00E03155">
        <w:rPr>
          <w:sz w:val="22"/>
          <w:szCs w:val="22"/>
        </w:rPr>
        <w:t xml:space="preserve">into domestic law by the legislature, cannot be the source of domestic </w:t>
      </w:r>
      <w:r w:rsidR="00707A94">
        <w:rPr>
          <w:sz w:val="22"/>
          <w:szCs w:val="22"/>
        </w:rPr>
        <w:t>rights or duties and will not be interpreted by our courts. This third rule is justified on the ground that</w:t>
      </w:r>
      <w:r w:rsidR="005E10BC">
        <w:rPr>
          <w:sz w:val="22"/>
          <w:szCs w:val="22"/>
        </w:rPr>
        <w:t xml:space="preserve"> domestic courts should not normally determine issues which are only really appropriate for diplomatic or similar channels: </w:t>
      </w:r>
      <w:r w:rsidR="000850DD">
        <w:rPr>
          <w:sz w:val="22"/>
          <w:szCs w:val="22"/>
        </w:rPr>
        <w:t xml:space="preserve">see </w:t>
      </w:r>
      <w:r w:rsidR="000850DD">
        <w:rPr>
          <w:i/>
          <w:iCs/>
          <w:sz w:val="22"/>
          <w:szCs w:val="22"/>
        </w:rPr>
        <w:t>Shergill v. Khaira</w:t>
      </w:r>
      <w:r w:rsidR="000850DD">
        <w:rPr>
          <w:sz w:val="22"/>
          <w:szCs w:val="22"/>
        </w:rPr>
        <w:t>, [2015] AC 359, [40], [42].”</w:t>
      </w:r>
    </w:p>
    <w:p w14:paraId="22B34D4A" w14:textId="77777777" w:rsidR="000850DD" w:rsidRDefault="00CF7FE1" w:rsidP="000850DD">
      <w:pPr>
        <w:numPr>
          <w:ilvl w:val="1"/>
          <w:numId w:val="2"/>
        </w:numPr>
        <w:autoSpaceDE w:val="0"/>
        <w:spacing w:before="240" w:after="240"/>
        <w:jc w:val="both"/>
      </w:pPr>
      <w:r>
        <w:rPr>
          <w:i/>
          <w:iCs/>
        </w:rPr>
        <w:t>Rule 4.</w:t>
      </w:r>
      <w:r w:rsidR="006120E5">
        <w:t xml:space="preserve"> Lord Neuberger </w:t>
      </w:r>
      <w:r w:rsidR="00CA47AF">
        <w:t>described rule 4 as follows:</w:t>
      </w:r>
      <w:r w:rsidR="00CA47AF">
        <w:rPr>
          <w:rStyle w:val="FootnoteReference"/>
        </w:rPr>
        <w:footnoteReference w:id="239"/>
      </w:r>
    </w:p>
    <w:p w14:paraId="53A8D5F1" w14:textId="77777777" w:rsidR="00CA47AF" w:rsidRDefault="00CA47AF" w:rsidP="00CA47AF">
      <w:pPr>
        <w:autoSpaceDE w:val="0"/>
        <w:spacing w:before="240" w:after="240"/>
        <w:ind w:left="1134"/>
        <w:jc w:val="both"/>
        <w:rPr>
          <w:sz w:val="22"/>
          <w:szCs w:val="22"/>
        </w:rPr>
      </w:pPr>
      <w:r>
        <w:rPr>
          <w:sz w:val="22"/>
          <w:szCs w:val="22"/>
        </w:rPr>
        <w:t>“</w:t>
      </w:r>
      <w:r w:rsidR="00C74712">
        <w:rPr>
          <w:sz w:val="22"/>
          <w:szCs w:val="22"/>
        </w:rPr>
        <w:t xml:space="preserve">A possible fourth rule was described by Rix LJ in a judgment on behalf of the Court of Appeal in </w:t>
      </w:r>
      <w:r w:rsidR="00C74712">
        <w:rPr>
          <w:i/>
          <w:iCs/>
          <w:sz w:val="22"/>
          <w:szCs w:val="22"/>
        </w:rPr>
        <w:t>Yukos Capital SARL</w:t>
      </w:r>
      <w:r w:rsidR="00474BCD">
        <w:rPr>
          <w:i/>
          <w:iCs/>
          <w:sz w:val="22"/>
          <w:szCs w:val="22"/>
        </w:rPr>
        <w:t xml:space="preserve"> v. OJSC Rosneft Oil Co (No 2)</w:t>
      </w:r>
      <w:r w:rsidR="00474BCD">
        <w:rPr>
          <w:sz w:val="22"/>
          <w:szCs w:val="22"/>
        </w:rPr>
        <w:t>, [2014] QB 458, [65], as being that</w:t>
      </w:r>
    </w:p>
    <w:p w14:paraId="0F245206" w14:textId="77777777" w:rsidR="00291550" w:rsidRPr="00474BCD" w:rsidRDefault="00291550" w:rsidP="00291550">
      <w:pPr>
        <w:autoSpaceDE w:val="0"/>
        <w:spacing w:before="240" w:after="240"/>
        <w:ind w:left="1440"/>
        <w:jc w:val="both"/>
        <w:rPr>
          <w:sz w:val="22"/>
          <w:szCs w:val="22"/>
        </w:rPr>
      </w:pPr>
      <w:r>
        <w:rPr>
          <w:sz w:val="22"/>
          <w:szCs w:val="22"/>
        </w:rPr>
        <w:t xml:space="preserve">“the courts will not investigate the acts of a foreign state where such an investigation would embarrass the government </w:t>
      </w:r>
      <w:r w:rsidR="003F0EC5">
        <w:rPr>
          <w:sz w:val="22"/>
          <w:szCs w:val="22"/>
        </w:rPr>
        <w:t>of our own country: but that this doctrine only arises as a result of a communication from our own Foreign Office.”</w:t>
      </w:r>
      <w:r w:rsidR="00884982">
        <w:rPr>
          <w:sz w:val="22"/>
          <w:szCs w:val="22"/>
        </w:rPr>
        <w:t>”</w:t>
      </w:r>
    </w:p>
    <w:p w14:paraId="7F6B70FD" w14:textId="77777777" w:rsidR="00B428AB" w:rsidRPr="009B2D10" w:rsidRDefault="009B2D10" w:rsidP="00D2642F">
      <w:pPr>
        <w:keepNext/>
        <w:tabs>
          <w:tab w:val="left" w:pos="567"/>
        </w:tabs>
        <w:autoSpaceDE w:val="0"/>
        <w:spacing w:before="240" w:after="240"/>
        <w:jc w:val="both"/>
        <w:rPr>
          <w:b/>
          <w:bCs/>
        </w:rPr>
      </w:pPr>
      <w:r>
        <w:rPr>
          <w:b/>
          <w:bCs/>
        </w:rPr>
        <w:t>(2)</w:t>
      </w:r>
      <w:r>
        <w:rPr>
          <w:b/>
          <w:bCs/>
        </w:rPr>
        <w:tab/>
        <w:t xml:space="preserve">Aspects of the </w:t>
      </w:r>
      <w:r w:rsidR="00393F52">
        <w:rPr>
          <w:b/>
          <w:bCs/>
        </w:rPr>
        <w:t>D</w:t>
      </w:r>
      <w:r>
        <w:rPr>
          <w:b/>
          <w:bCs/>
        </w:rPr>
        <w:t xml:space="preserve">octrine relied upon by </w:t>
      </w:r>
      <w:r w:rsidR="006F30BF">
        <w:rPr>
          <w:b/>
          <w:bCs/>
        </w:rPr>
        <w:t>Pakistan</w:t>
      </w:r>
    </w:p>
    <w:p w14:paraId="57DA9EAF" w14:textId="77777777" w:rsidR="007F208A" w:rsidRDefault="007F208A" w:rsidP="00853B4D">
      <w:pPr>
        <w:numPr>
          <w:ilvl w:val="0"/>
          <w:numId w:val="2"/>
        </w:numPr>
        <w:autoSpaceDE w:val="0"/>
        <w:spacing w:before="240" w:after="240"/>
        <w:jc w:val="both"/>
      </w:pPr>
      <w:r>
        <w:t>It seems clear that Pakistan’s assertion of non-justiciability</w:t>
      </w:r>
      <w:r w:rsidR="00335F08">
        <w:t xml:space="preserve"> rests on Rule 3.</w:t>
      </w:r>
      <w:r w:rsidR="00335F08">
        <w:rPr>
          <w:rStyle w:val="FootnoteReference"/>
        </w:rPr>
        <w:footnoteReference w:id="240"/>
      </w:r>
      <w:r>
        <w:t xml:space="preserve"> </w:t>
      </w:r>
      <w:r w:rsidR="00125CE8">
        <w:t xml:space="preserve">Indeed, it is difficult to see how </w:t>
      </w:r>
      <w:r w:rsidR="009536A9">
        <w:t>Rules 1, 2 or 4 could sensibly be deployed by Pakistan in support of her assertion of non-justiciability.</w:t>
      </w:r>
    </w:p>
    <w:p w14:paraId="79067451" w14:textId="77777777" w:rsidR="009D71BD" w:rsidRDefault="000C145F" w:rsidP="00853B4D">
      <w:pPr>
        <w:numPr>
          <w:ilvl w:val="0"/>
          <w:numId w:val="2"/>
        </w:numPr>
        <w:autoSpaceDE w:val="0"/>
        <w:spacing w:before="240" w:after="240"/>
        <w:jc w:val="both"/>
      </w:pPr>
      <w:r>
        <w:t>Pakistan frames her assertion of Rule 3 in the following way:</w:t>
      </w:r>
      <w:r w:rsidR="00A93DE1">
        <w:rPr>
          <w:rStyle w:val="FootnoteReference"/>
        </w:rPr>
        <w:footnoteReference w:id="241"/>
      </w:r>
    </w:p>
    <w:p w14:paraId="07A931FA" w14:textId="77777777" w:rsidR="00A93DE1" w:rsidRDefault="00A93DE1" w:rsidP="00A93DE1">
      <w:pPr>
        <w:autoSpaceDE w:val="0"/>
        <w:spacing w:before="240" w:after="240"/>
        <w:ind w:left="567"/>
        <w:jc w:val="both"/>
      </w:pPr>
      <w:r>
        <w:rPr>
          <w:sz w:val="22"/>
          <w:szCs w:val="22"/>
        </w:rPr>
        <w:t>“The Transfer, together with the other financial dealings between the State of Hyderabad and Pakistan prior to the Transfer, were transactions of a governmental nature engaged in by two sovereign states in a political context. The non-justiciability and/or act of State doctrine applies to such transactions (but not to the banker-customer transaction governed by domestic law between [Pakistan] and the [Bank</w:t>
      </w:r>
      <w:r w:rsidRPr="009E3E58">
        <w:rPr>
          <w:sz w:val="22"/>
          <w:szCs w:val="22"/>
        </w:rPr>
        <w:t>]</w:t>
      </w:r>
      <w:r w:rsidR="00066AA2" w:rsidRPr="009E3E58">
        <w:rPr>
          <w:sz w:val="22"/>
          <w:szCs w:val="22"/>
        </w:rPr>
        <w:t>)</w:t>
      </w:r>
      <w:r w:rsidRPr="009E3E58">
        <w:rPr>
          <w:sz w:val="22"/>
          <w:szCs w:val="22"/>
        </w:rPr>
        <w:t>,</w:t>
      </w:r>
      <w:r>
        <w:rPr>
          <w:sz w:val="22"/>
          <w:szCs w:val="22"/>
        </w:rPr>
        <w:t xml:space="preserve"> so that the Court will decline or abstain from exercising jurisdiction in relation to the subject-matter of these proceedings, except as between [Pakistan] and the [Bank] in relation to the said banker-customer relationship. [Pakistan] is accordingly entitled to payment of the balance standing to the credit of the Rahimtoola Account, this being the only justiciable claim made in these proceedings.”</w:t>
      </w:r>
    </w:p>
    <w:p w14:paraId="00EF02B0" w14:textId="77777777" w:rsidR="00586D1C" w:rsidRDefault="00586D1C" w:rsidP="00853B4D">
      <w:pPr>
        <w:numPr>
          <w:ilvl w:val="0"/>
          <w:numId w:val="2"/>
        </w:numPr>
        <w:autoSpaceDE w:val="0"/>
        <w:spacing w:before="240" w:after="240"/>
        <w:jc w:val="both"/>
      </w:pPr>
      <w:r>
        <w:t>This pleading is pardonably general, for a large number of facts were in dispute between the parties</w:t>
      </w:r>
      <w:r w:rsidR="006220A7">
        <w:t>, which this Judgment has resolved.</w:t>
      </w:r>
      <w:r w:rsidR="006220A7">
        <w:rPr>
          <w:rStyle w:val="FootnoteReference"/>
        </w:rPr>
        <w:footnoteReference w:id="242"/>
      </w:r>
      <w:r w:rsidR="00B658C8">
        <w:t xml:space="preserve"> In light of my findings, Pakistan’s case </w:t>
      </w:r>
      <w:r w:rsidR="00831B60">
        <w:t>can be put – at its highest – as follows:</w:t>
      </w:r>
    </w:p>
    <w:p w14:paraId="6C46DC9F" w14:textId="77777777" w:rsidR="00831B60" w:rsidRDefault="00831B60" w:rsidP="00831B60">
      <w:pPr>
        <w:numPr>
          <w:ilvl w:val="1"/>
          <w:numId w:val="2"/>
        </w:numPr>
        <w:autoSpaceDE w:val="0"/>
        <w:spacing w:before="240" w:after="240"/>
        <w:jc w:val="both"/>
      </w:pPr>
      <w:r>
        <w:lastRenderedPageBreak/>
        <w:t xml:space="preserve">The Transfer was, indeed, </w:t>
      </w:r>
      <w:r w:rsidR="00566B07">
        <w:t>between two sove</w:t>
      </w:r>
      <w:r w:rsidR="00847919">
        <w:t>re</w:t>
      </w:r>
      <w:r w:rsidR="00566B07">
        <w:t>ign states</w:t>
      </w:r>
      <w:r w:rsidR="00963E05">
        <w:t xml:space="preserve"> – or, more accurately, between the absolute ruler of one sovereign state</w:t>
      </w:r>
      <w:r w:rsidR="000A6900">
        <w:t xml:space="preserve"> and the High Commissioner representing another sovereign state in the United Kingdom.</w:t>
      </w:r>
    </w:p>
    <w:p w14:paraId="758AB2ED" w14:textId="77777777" w:rsidR="000A6900" w:rsidRDefault="00417550" w:rsidP="00831B60">
      <w:pPr>
        <w:numPr>
          <w:ilvl w:val="1"/>
          <w:numId w:val="2"/>
        </w:numPr>
        <w:autoSpaceDE w:val="0"/>
        <w:spacing w:before="240" w:after="240"/>
        <w:jc w:val="both"/>
      </w:pPr>
      <w:r>
        <w:t>The Transfer involved the establishment of a trust by Pakistan</w:t>
      </w:r>
      <w:r w:rsidR="007667EE">
        <w:t xml:space="preserve"> on behalf of Nizam VII. Thus, one sovereign state was acting as trustee for another sovereign state.</w:t>
      </w:r>
    </w:p>
    <w:p w14:paraId="64FF1A84" w14:textId="77777777" w:rsidR="007667EE" w:rsidRDefault="00E97CFB" w:rsidP="00831B60">
      <w:pPr>
        <w:numPr>
          <w:ilvl w:val="1"/>
          <w:numId w:val="2"/>
        </w:numPr>
        <w:autoSpaceDE w:val="0"/>
        <w:spacing w:before="240" w:after="240"/>
        <w:jc w:val="both"/>
      </w:pPr>
      <w:r>
        <w:t xml:space="preserve">The circumstances in which the Transfer came to be made arose out of </w:t>
      </w:r>
      <w:r w:rsidR="00CA3D12">
        <w:t>India’s invasion of Hyderabad. A third sovereign state – India – is thus also involved.</w:t>
      </w:r>
      <w:r w:rsidR="00E37381">
        <w:t xml:space="preserve"> These circumstances, as I have found, </w:t>
      </w:r>
      <w:r w:rsidR="006E3BF2">
        <w:t xml:space="preserve">constituted </w:t>
      </w:r>
      <w:r w:rsidR="009A434D">
        <w:t>the motivating force behind the Transfer.</w:t>
      </w:r>
    </w:p>
    <w:p w14:paraId="29A933DD" w14:textId="77777777" w:rsidR="008B1429" w:rsidRDefault="008973E7" w:rsidP="007378E1">
      <w:pPr>
        <w:numPr>
          <w:ilvl w:val="0"/>
          <w:numId w:val="2"/>
        </w:numPr>
        <w:autoSpaceDE w:val="0"/>
        <w:spacing w:before="240" w:after="240"/>
        <w:jc w:val="both"/>
      </w:pPr>
      <w:r>
        <w:t>Pakistan’s case is perhaps well put by Lord Denning in the 1954 Proceedings</w:t>
      </w:r>
      <w:r w:rsidR="00B6152D">
        <w:t>, where he said:</w:t>
      </w:r>
      <w:r w:rsidR="00B6152D">
        <w:rPr>
          <w:rStyle w:val="FootnoteReference"/>
        </w:rPr>
        <w:footnoteReference w:id="243"/>
      </w:r>
    </w:p>
    <w:p w14:paraId="5B376D11" w14:textId="77777777" w:rsidR="00F26EEF" w:rsidRPr="009F769B" w:rsidRDefault="009F769B" w:rsidP="00F26EEF">
      <w:pPr>
        <w:autoSpaceDE w:val="0"/>
        <w:spacing w:before="240" w:after="240"/>
        <w:ind w:left="567"/>
        <w:jc w:val="both"/>
        <w:rPr>
          <w:sz w:val="22"/>
          <w:szCs w:val="22"/>
        </w:rPr>
      </w:pPr>
      <w:r w:rsidRPr="009F769B">
        <w:rPr>
          <w:sz w:val="22"/>
          <w:szCs w:val="22"/>
          <w:lang w:eastAsia="en-GB"/>
        </w:rPr>
        <w:t>“I would therefore for myself approach this case somewhat broadly and ask whether the dispute is one properly cognizable by our courts: and I would test it by asking what would be the position if the transaction had taken place, not between the Finance Minister of Hyderabad and the Foreign Secretary of Pakistan, but between the Finance Minister of Hyderabad and the Foreign Secretary of Great Britain, and the money had been transferred, not into the name of the High Commissioner of Pakistan, but into the name of a high officer such as a Custodian of Property? Would an action lie in our courts for the return of the money? Clearly not. The transaction was more in the nature of a treaty than a contract or a trust. Reference would be made to such well-known cases as</w:t>
      </w:r>
      <w:r w:rsidRPr="009F769B">
        <w:rPr>
          <w:i/>
          <w:sz w:val="22"/>
          <w:szCs w:val="22"/>
          <w:lang w:eastAsia="en-GB"/>
        </w:rPr>
        <w:t xml:space="preserve"> Nabob of the Carnatic v East India Co</w:t>
      </w:r>
      <w:r w:rsidR="0027188F">
        <w:rPr>
          <w:iCs/>
          <w:sz w:val="22"/>
          <w:szCs w:val="22"/>
          <w:lang w:eastAsia="en-GB"/>
        </w:rPr>
        <w:t>,</w:t>
      </w:r>
      <w:r w:rsidRPr="009F769B">
        <w:rPr>
          <w:i/>
          <w:sz w:val="22"/>
          <w:szCs w:val="22"/>
          <w:lang w:eastAsia="en-GB"/>
        </w:rPr>
        <w:t xml:space="preserve"> </w:t>
      </w:r>
      <w:r w:rsidRPr="009F769B">
        <w:rPr>
          <w:sz w:val="22"/>
          <w:szCs w:val="22"/>
          <w:lang w:eastAsia="en-GB"/>
        </w:rPr>
        <w:t>(1792-3) 2 Ves 56 and</w:t>
      </w:r>
      <w:r w:rsidRPr="009F769B">
        <w:rPr>
          <w:i/>
          <w:sz w:val="22"/>
          <w:szCs w:val="22"/>
          <w:lang w:eastAsia="en-GB"/>
        </w:rPr>
        <w:t xml:space="preserve"> Civilian War Claimants Association Ltd v The King</w:t>
      </w:r>
      <w:r w:rsidR="0027188F">
        <w:rPr>
          <w:iCs/>
          <w:sz w:val="22"/>
          <w:szCs w:val="22"/>
          <w:lang w:eastAsia="en-GB"/>
        </w:rPr>
        <w:t>,</w:t>
      </w:r>
      <w:r w:rsidRPr="009F769B">
        <w:rPr>
          <w:i/>
          <w:sz w:val="22"/>
          <w:szCs w:val="22"/>
          <w:lang w:eastAsia="en-GB"/>
        </w:rPr>
        <w:t xml:space="preserve"> </w:t>
      </w:r>
      <w:r w:rsidRPr="009F769B">
        <w:rPr>
          <w:sz w:val="22"/>
          <w:szCs w:val="22"/>
          <w:lang w:eastAsia="en-GB"/>
        </w:rPr>
        <w:t>[1932] AC 14 to show that no action would lie for money had and received or upon a trust. The court would not listen to an enquiry whether the Finance Minister of Hyderabad had authority to make the transfer. It would say that any representations to that effect must be made to the Crown and not to the courts.  If our courts would not in like circumstances entertain an action against our own Government or its agent, they should not entertain an action against the State of Pakistan or its agent.  Upjohn J put the point in a sentence when he said: “The present transaction was an inter-governmental transaction; let it</w:t>
      </w:r>
      <w:r w:rsidRPr="009F769B">
        <w:rPr>
          <w:i/>
          <w:sz w:val="22"/>
          <w:szCs w:val="22"/>
          <w:lang w:eastAsia="en-GB"/>
        </w:rPr>
        <w:t xml:space="preserve"> </w:t>
      </w:r>
      <w:r w:rsidR="00A37788" w:rsidRPr="00751778">
        <w:rPr>
          <w:sz w:val="22"/>
        </w:rPr>
        <w:t xml:space="preserve">be </w:t>
      </w:r>
      <w:r w:rsidRPr="009F769B">
        <w:rPr>
          <w:sz w:val="22"/>
          <w:szCs w:val="22"/>
          <w:lang w:eastAsia="en-GB"/>
        </w:rPr>
        <w:t>solved by inter-governmental negotiations”. That is the kernel of the matter. I agree with it and would allow the appeal.”</w:t>
      </w:r>
    </w:p>
    <w:p w14:paraId="785FFF76" w14:textId="77777777" w:rsidR="00702687" w:rsidRDefault="00702687" w:rsidP="00702687">
      <w:pPr>
        <w:autoSpaceDE w:val="0"/>
        <w:spacing w:before="240" w:after="240"/>
        <w:ind w:left="567"/>
        <w:jc w:val="both"/>
      </w:pPr>
      <w:r>
        <w:t xml:space="preserve">Pakistan, unsurprisingly, </w:t>
      </w:r>
      <w:r w:rsidR="0027188F">
        <w:t>placed reliance on this passage.</w:t>
      </w:r>
    </w:p>
    <w:p w14:paraId="15D84D5A" w14:textId="77777777" w:rsidR="0001223F" w:rsidRDefault="00A52783" w:rsidP="0001223F">
      <w:pPr>
        <w:numPr>
          <w:ilvl w:val="0"/>
          <w:numId w:val="2"/>
        </w:numPr>
        <w:autoSpaceDE w:val="0"/>
        <w:spacing w:before="240" w:after="240"/>
        <w:jc w:val="both"/>
      </w:pPr>
      <w:r>
        <w:t xml:space="preserve">The question is whether the factors </w:t>
      </w:r>
      <w:r w:rsidR="0027188F">
        <w:t xml:space="preserve">that I have enumerated in paragraph </w:t>
      </w:r>
      <w:r w:rsidR="000E7436">
        <w:t>297</w:t>
      </w:r>
      <w:r w:rsidR="0027188F">
        <w:t xml:space="preserve"> above </w:t>
      </w:r>
      <w:r>
        <w:t xml:space="preserve">are sufficient </w:t>
      </w:r>
      <w:r w:rsidR="00F34AA6">
        <w:t>to render the question of the Transfer non-justiciable.</w:t>
      </w:r>
      <w:r w:rsidR="0001223F">
        <w:t xml:space="preserve"> I should say that I consider these to be the only material factors in relation to this question. As her pleading makes clear, Pakistan also sought to rely upon “other financial dealings” between Hyderabad and Pakistan. I do not consider these to be relevant. </w:t>
      </w:r>
      <w:r w:rsidR="0031519C">
        <w:t xml:space="preserve">I obviously accept that they took place, and that a number of these dealings </w:t>
      </w:r>
      <w:r w:rsidR="0001223F">
        <w:t xml:space="preserve">concerned the purchase of weapons. However, I </w:t>
      </w:r>
      <w:r w:rsidR="00EF6984">
        <w:t>have found</w:t>
      </w:r>
      <w:r w:rsidR="0001223F">
        <w:t xml:space="preserve"> that these transactions had nothing to do with the Transfer, which was entirely concerned with the question of “safeguarding”, that is, keeping the Fund away from India.</w:t>
      </w:r>
    </w:p>
    <w:p w14:paraId="261C365C" w14:textId="77777777" w:rsidR="0001223F" w:rsidRDefault="00393F52" w:rsidP="007378E1">
      <w:pPr>
        <w:numPr>
          <w:ilvl w:val="0"/>
          <w:numId w:val="2"/>
        </w:numPr>
        <w:autoSpaceDE w:val="0"/>
        <w:spacing w:before="240" w:after="240"/>
        <w:jc w:val="both"/>
      </w:pPr>
      <w:r>
        <w:t>I turn, therefore, to the question of justi</w:t>
      </w:r>
      <w:r w:rsidR="00C87354">
        <w:t>ci</w:t>
      </w:r>
      <w:r>
        <w:t>ability.</w:t>
      </w:r>
    </w:p>
    <w:p w14:paraId="235E37E6" w14:textId="77777777" w:rsidR="005C58E8" w:rsidRDefault="008026EF" w:rsidP="00D0244F">
      <w:pPr>
        <w:keepNext/>
        <w:tabs>
          <w:tab w:val="left" w:pos="567"/>
        </w:tabs>
        <w:autoSpaceDE w:val="0"/>
        <w:spacing w:before="240" w:after="240"/>
        <w:jc w:val="both"/>
        <w:rPr>
          <w:b/>
          <w:bCs/>
        </w:rPr>
      </w:pPr>
      <w:r>
        <w:rPr>
          <w:b/>
          <w:bCs/>
        </w:rPr>
        <w:lastRenderedPageBreak/>
        <w:t>(3)</w:t>
      </w:r>
      <w:r>
        <w:rPr>
          <w:b/>
          <w:bCs/>
        </w:rPr>
        <w:tab/>
        <w:t>Justiciability</w:t>
      </w:r>
    </w:p>
    <w:p w14:paraId="7093292D" w14:textId="77777777" w:rsidR="005C58E8" w:rsidRPr="005C58E8" w:rsidRDefault="005C58E8" w:rsidP="00D0244F">
      <w:pPr>
        <w:keepNext/>
        <w:tabs>
          <w:tab w:val="left" w:pos="567"/>
        </w:tabs>
        <w:autoSpaceDE w:val="0"/>
        <w:spacing w:before="240" w:after="240"/>
        <w:jc w:val="both"/>
        <w:rPr>
          <w:b/>
          <w:bCs/>
          <w:i/>
          <w:iCs/>
        </w:rPr>
      </w:pPr>
      <w:r>
        <w:rPr>
          <w:b/>
          <w:bCs/>
          <w:i/>
          <w:iCs/>
        </w:rPr>
        <w:t>(a)</w:t>
      </w:r>
      <w:r>
        <w:rPr>
          <w:b/>
          <w:bCs/>
          <w:i/>
          <w:iCs/>
        </w:rPr>
        <w:tab/>
        <w:t>The ambit of Pakistan’s case</w:t>
      </w:r>
    </w:p>
    <w:p w14:paraId="589F8D25" w14:textId="77777777" w:rsidR="00F34AA6" w:rsidRPr="002261C2" w:rsidRDefault="005D51DE" w:rsidP="005C58E8">
      <w:pPr>
        <w:numPr>
          <w:ilvl w:val="0"/>
          <w:numId w:val="2"/>
        </w:numPr>
        <w:autoSpaceDE w:val="0"/>
        <w:spacing w:before="240" w:after="240"/>
        <w:jc w:val="both"/>
        <w:rPr>
          <w:b/>
          <w:bCs/>
        </w:rPr>
      </w:pPr>
      <w:r>
        <w:t xml:space="preserve">Pakistan’s primary case was that </w:t>
      </w:r>
      <w:r w:rsidR="002D7878">
        <w:t xml:space="preserve">all aspects of this dispute were non-justiciable, </w:t>
      </w:r>
      <w:r w:rsidR="002D7878" w:rsidRPr="005C58E8">
        <w:rPr>
          <w:u w:val="single"/>
        </w:rPr>
        <w:t>save for</w:t>
      </w:r>
      <w:r w:rsidR="002D7878">
        <w:t xml:space="preserve"> </w:t>
      </w:r>
      <w:r w:rsidR="001136DC">
        <w:t xml:space="preserve">the banker-customer relationship between the Bank and Pakistan, which </w:t>
      </w:r>
      <w:r w:rsidR="001136DC" w:rsidRPr="005C58E8">
        <w:rPr>
          <w:u w:val="single"/>
        </w:rPr>
        <w:t>was</w:t>
      </w:r>
      <w:r w:rsidR="001136DC">
        <w:t xml:space="preserve"> justiciable.</w:t>
      </w:r>
      <w:r w:rsidR="00A25495">
        <w:t xml:space="preserve"> Pakistan’s alternative case was that </w:t>
      </w:r>
      <w:r w:rsidR="00D535C8">
        <w:t xml:space="preserve">all aspects of this dispute </w:t>
      </w:r>
      <w:r w:rsidR="00CA5227">
        <w:t>were non-justiciable.</w:t>
      </w:r>
    </w:p>
    <w:p w14:paraId="7BF6B08F" w14:textId="77777777" w:rsidR="002261C2" w:rsidRPr="008E703A" w:rsidRDefault="002261C2" w:rsidP="005C58E8">
      <w:pPr>
        <w:numPr>
          <w:ilvl w:val="0"/>
          <w:numId w:val="2"/>
        </w:numPr>
        <w:autoSpaceDE w:val="0"/>
        <w:spacing w:before="240" w:after="240"/>
        <w:jc w:val="both"/>
        <w:rPr>
          <w:b/>
          <w:bCs/>
        </w:rPr>
      </w:pPr>
      <w:r>
        <w:t xml:space="preserve">I consider first whether Pakistan can, properly, put forward a case of </w:t>
      </w:r>
      <w:r>
        <w:rPr>
          <w:u w:val="single"/>
        </w:rPr>
        <w:t>partial</w:t>
      </w:r>
      <w:r>
        <w:t xml:space="preserve"> justiciability, before considering the question of </w:t>
      </w:r>
      <w:r w:rsidR="008E703A">
        <w:t>justiciability more generally.</w:t>
      </w:r>
    </w:p>
    <w:p w14:paraId="41E06246" w14:textId="77777777" w:rsidR="008E703A" w:rsidRPr="008E703A" w:rsidRDefault="008E703A" w:rsidP="00265374">
      <w:pPr>
        <w:keepNext/>
        <w:tabs>
          <w:tab w:val="left" w:pos="567"/>
        </w:tabs>
        <w:autoSpaceDE w:val="0"/>
        <w:spacing w:before="240" w:after="240"/>
        <w:jc w:val="both"/>
        <w:rPr>
          <w:b/>
          <w:bCs/>
          <w:i/>
          <w:iCs/>
        </w:rPr>
      </w:pPr>
      <w:r w:rsidRPr="008E703A">
        <w:rPr>
          <w:b/>
          <w:bCs/>
          <w:i/>
          <w:iCs/>
        </w:rPr>
        <w:t>(b)</w:t>
      </w:r>
      <w:r w:rsidRPr="008E703A">
        <w:rPr>
          <w:b/>
          <w:bCs/>
          <w:i/>
          <w:iCs/>
        </w:rPr>
        <w:tab/>
        <w:t>Partial non-justiciability</w:t>
      </w:r>
    </w:p>
    <w:p w14:paraId="5826E8E0" w14:textId="77777777" w:rsidR="00CA5227" w:rsidRDefault="00237A0E" w:rsidP="007378E1">
      <w:pPr>
        <w:numPr>
          <w:ilvl w:val="0"/>
          <w:numId w:val="2"/>
        </w:numPr>
        <w:autoSpaceDE w:val="0"/>
        <w:spacing w:before="240" w:after="240"/>
        <w:jc w:val="both"/>
      </w:pPr>
      <w:r>
        <w:t xml:space="preserve">None of the parties was able to identify any law regarding the notion of “partial” non-justiciability. </w:t>
      </w:r>
      <w:r w:rsidR="00503A37">
        <w:t xml:space="preserve">It seems to me that where an issue is entirely severable, standing </w:t>
      </w:r>
      <w:r w:rsidR="00F605AD">
        <w:t xml:space="preserve">distinct from all other issues, it is possible to contend that the issue of justiciability </w:t>
      </w:r>
      <w:r w:rsidR="000D7240">
        <w:t>is confined to that particular issue or (alternatively) does not apply to that issue, but applies to all other issues.</w:t>
      </w:r>
    </w:p>
    <w:p w14:paraId="67C0C438" w14:textId="77777777" w:rsidR="00D07C19" w:rsidRDefault="000D7240" w:rsidP="007378E1">
      <w:pPr>
        <w:numPr>
          <w:ilvl w:val="0"/>
          <w:numId w:val="2"/>
        </w:numPr>
        <w:autoSpaceDE w:val="0"/>
        <w:spacing w:before="240" w:after="240"/>
        <w:jc w:val="both"/>
      </w:pPr>
      <w:r>
        <w:t xml:space="preserve">However, where </w:t>
      </w:r>
      <w:r w:rsidR="00411BBD">
        <w:t xml:space="preserve">the issue said to be justiciable </w:t>
      </w:r>
      <w:r w:rsidR="00A40269">
        <w:t xml:space="preserve">is closely entwined with issues said to be non-justiciable, in my judgment </w:t>
      </w:r>
      <w:r w:rsidR="00A40269">
        <w:rPr>
          <w:u w:val="single"/>
        </w:rPr>
        <w:t>all</w:t>
      </w:r>
      <w:r w:rsidR="00A40269">
        <w:t xml:space="preserve"> of the issues are either justiciable or non-justiciable. </w:t>
      </w:r>
      <w:r w:rsidR="00E8107A">
        <w:t xml:space="preserve">For the </w:t>
      </w:r>
      <w:r w:rsidR="008E637F">
        <w:t>C</w:t>
      </w:r>
      <w:r w:rsidR="00E8107A">
        <w:t>ourt to take a course where it decided one point, but left out of account other, related</w:t>
      </w:r>
      <w:r w:rsidR="009874B3">
        <w:t xml:space="preserve"> and material</w:t>
      </w:r>
      <w:r w:rsidR="00E8107A">
        <w:t xml:space="preserve"> points (because to decide such points would be to infringe Rule 3 of the Doctrine) </w:t>
      </w:r>
      <w:r w:rsidR="009874B3">
        <w:t xml:space="preserve">would be to decide a case on a false </w:t>
      </w:r>
      <w:r w:rsidR="00EF47CE">
        <w:t xml:space="preserve">and probably unjust </w:t>
      </w:r>
      <w:r w:rsidR="009874B3">
        <w:t xml:space="preserve">basis: </w:t>
      </w:r>
      <w:r w:rsidR="009874B3">
        <w:rPr>
          <w:i/>
          <w:iCs/>
        </w:rPr>
        <w:t>ex hypothesi</w:t>
      </w:r>
      <w:r w:rsidR="009874B3">
        <w:t xml:space="preserve">, if a court leaves out of account points that related to and </w:t>
      </w:r>
      <w:r w:rsidR="00261752">
        <w:t xml:space="preserve">are </w:t>
      </w:r>
      <w:r w:rsidR="009874B3">
        <w:t xml:space="preserve">material to the point it </w:t>
      </w:r>
      <w:r w:rsidR="009874B3">
        <w:rPr>
          <w:u w:val="single"/>
        </w:rPr>
        <w:t>is</w:t>
      </w:r>
      <w:r w:rsidR="009874B3">
        <w:t xml:space="preserve"> deciding, </w:t>
      </w:r>
      <w:r w:rsidR="00415E06">
        <w:t>the court will likely be – and certainly arguably will be – making a judgment on a false basis.</w:t>
      </w:r>
    </w:p>
    <w:p w14:paraId="6934994B" w14:textId="77777777" w:rsidR="00312598" w:rsidRDefault="006A3A67" w:rsidP="007378E1">
      <w:pPr>
        <w:numPr>
          <w:ilvl w:val="0"/>
          <w:numId w:val="2"/>
        </w:numPr>
        <w:autoSpaceDE w:val="0"/>
        <w:spacing w:before="240" w:after="240"/>
        <w:jc w:val="both"/>
      </w:pPr>
      <w:r>
        <w:t xml:space="preserve">The present case is an excellent case in point. Assuming the banker-customer relationship to be justiciable, but all other points </w:t>
      </w:r>
      <w:r w:rsidR="00D20588">
        <w:t xml:space="preserve">non-justiciable, the outcome would be that Pakistan would obtain the Fund in circumstances where </w:t>
      </w:r>
      <w:r w:rsidR="00A74B19">
        <w:t xml:space="preserve">the non-justiciable points lead to an outcome where </w:t>
      </w:r>
      <w:r w:rsidR="001A22BD">
        <w:t xml:space="preserve">Pakistan in fact held on trust for Nizam VII and was not, itself, beneficially entitled. It seems to me that, in this case, </w:t>
      </w:r>
      <w:r w:rsidR="002556B1">
        <w:t>justiciability is “all or nothing” and that the contrary is not seriously arguable.</w:t>
      </w:r>
      <w:r w:rsidR="00261752">
        <w:t xml:space="preserve"> The issue</w:t>
      </w:r>
      <w:r w:rsidR="00C17C27">
        <w:t xml:space="preserve">, whilst differently framed, is precisely that considered by the Court of Appeal in </w:t>
      </w:r>
      <w:r w:rsidR="00C17C27">
        <w:rPr>
          <w:i/>
          <w:iCs/>
        </w:rPr>
        <w:t>The Law Debenture Trust Corporation plc v. Ukraine</w:t>
      </w:r>
      <w:r w:rsidR="00D93C60">
        <w:t xml:space="preserve">: I have set out the relevant passage in paragraph </w:t>
      </w:r>
      <w:r w:rsidR="00000280">
        <w:t>284(4)</w:t>
      </w:r>
      <w:r w:rsidR="00D93C60">
        <w:t xml:space="preserve"> above.</w:t>
      </w:r>
    </w:p>
    <w:p w14:paraId="21E9C33D" w14:textId="77777777" w:rsidR="000D7240" w:rsidRPr="00312598" w:rsidRDefault="00312598" w:rsidP="00265374">
      <w:pPr>
        <w:keepNext/>
        <w:tabs>
          <w:tab w:val="left" w:pos="567"/>
        </w:tabs>
        <w:autoSpaceDE w:val="0"/>
        <w:spacing w:before="240" w:after="240"/>
        <w:jc w:val="both"/>
        <w:rPr>
          <w:b/>
          <w:bCs/>
        </w:rPr>
      </w:pPr>
      <w:r w:rsidRPr="00312598">
        <w:rPr>
          <w:b/>
          <w:bCs/>
          <w:i/>
          <w:iCs/>
        </w:rPr>
        <w:t>(c)</w:t>
      </w:r>
      <w:r w:rsidRPr="00312598">
        <w:rPr>
          <w:b/>
          <w:bCs/>
          <w:i/>
          <w:iCs/>
        </w:rPr>
        <w:tab/>
        <w:t>Non-justiciability</w:t>
      </w:r>
      <w:r w:rsidR="006E4317">
        <w:rPr>
          <w:b/>
          <w:bCs/>
          <w:i/>
          <w:iCs/>
        </w:rPr>
        <w:t>:</w:t>
      </w:r>
      <w:r w:rsidR="00142673">
        <w:rPr>
          <w:b/>
          <w:bCs/>
          <w:i/>
          <w:iCs/>
        </w:rPr>
        <w:t xml:space="preserve"> Rule 3 expanded</w:t>
      </w:r>
      <w:r w:rsidR="00415E06" w:rsidRPr="00312598">
        <w:rPr>
          <w:b/>
          <w:bCs/>
        </w:rPr>
        <w:t xml:space="preserve">  </w:t>
      </w:r>
    </w:p>
    <w:p w14:paraId="1FF3D1B4" w14:textId="77777777" w:rsidR="005543F7" w:rsidRPr="00473A57" w:rsidRDefault="00473A57" w:rsidP="00265374">
      <w:pPr>
        <w:keepNext/>
        <w:tabs>
          <w:tab w:val="left" w:pos="567"/>
        </w:tabs>
        <w:autoSpaceDE w:val="0"/>
        <w:spacing w:before="240" w:after="240"/>
        <w:jc w:val="both"/>
        <w:rPr>
          <w:i/>
          <w:iCs/>
        </w:rPr>
      </w:pPr>
      <w:r>
        <w:rPr>
          <w:i/>
          <w:iCs/>
        </w:rPr>
        <w:t>(i)</w:t>
      </w:r>
      <w:r>
        <w:rPr>
          <w:i/>
          <w:iCs/>
        </w:rPr>
        <w:tab/>
      </w:r>
      <w:r w:rsidR="00142673">
        <w:rPr>
          <w:i/>
          <w:iCs/>
        </w:rPr>
        <w:t xml:space="preserve">The </w:t>
      </w:r>
      <w:r w:rsidR="00117C95">
        <w:rPr>
          <w:i/>
          <w:iCs/>
        </w:rPr>
        <w:t xml:space="preserve">ambit of </w:t>
      </w:r>
      <w:r>
        <w:rPr>
          <w:i/>
          <w:iCs/>
        </w:rPr>
        <w:t>Rule 3</w:t>
      </w:r>
    </w:p>
    <w:p w14:paraId="67C0B85C" w14:textId="77777777" w:rsidR="00473A57" w:rsidRDefault="00C17151" w:rsidP="00853B4D">
      <w:pPr>
        <w:numPr>
          <w:ilvl w:val="0"/>
          <w:numId w:val="2"/>
        </w:numPr>
        <w:autoSpaceDE w:val="0"/>
        <w:spacing w:before="240" w:after="240"/>
        <w:jc w:val="both"/>
      </w:pPr>
      <w:r>
        <w:t xml:space="preserve">Lord Neuberger </w:t>
      </w:r>
      <w:r w:rsidR="00F53F7A">
        <w:t xml:space="preserve">considered how Rule 3 had been applied in the case-law in </w:t>
      </w:r>
      <w:r w:rsidR="00D20972">
        <w:t>[128] to [130] of his judgment</w:t>
      </w:r>
      <w:r w:rsidR="007173C8">
        <w:t xml:space="preserve"> and considered the application of Rule 3 in relation to </w:t>
      </w:r>
      <w:r w:rsidR="00BB1D73">
        <w:t xml:space="preserve">property and property rights (particularly apposite for the purposes of this case) in [144] to [165] of his </w:t>
      </w:r>
      <w:r w:rsidR="00757CCF">
        <w:t xml:space="preserve">judgment. </w:t>
      </w:r>
      <w:r w:rsidR="008150F1">
        <w:t>I derive particular assistance from the following points:</w:t>
      </w:r>
    </w:p>
    <w:p w14:paraId="676D96AF" w14:textId="77777777" w:rsidR="004F2DCB" w:rsidRDefault="003C0A7F" w:rsidP="00CF1AFB">
      <w:pPr>
        <w:numPr>
          <w:ilvl w:val="1"/>
          <w:numId w:val="2"/>
        </w:numPr>
        <w:autoSpaceDE w:val="0"/>
        <w:spacing w:before="240" w:after="240"/>
        <w:jc w:val="both"/>
      </w:pPr>
      <w:r>
        <w:t xml:space="preserve">Rule 3 is </w:t>
      </w:r>
      <w:r w:rsidR="006A652B">
        <w:t>principally concerned with</w:t>
      </w:r>
      <w:r w:rsidR="004F2DCB">
        <w:t xml:space="preserve"> cases that come before the municipal courts </w:t>
      </w:r>
      <w:r w:rsidR="007C1B39">
        <w:t>which involve</w:t>
      </w:r>
      <w:r w:rsidR="004F2DCB">
        <w:t xml:space="preserve"> </w:t>
      </w:r>
      <w:r w:rsidR="006A652B">
        <w:t>dealings or disputes</w:t>
      </w:r>
      <w:r w:rsidR="004F2DCB">
        <w:t xml:space="preserve"> </w:t>
      </w:r>
      <w:r w:rsidR="004F2DCB" w:rsidRPr="004F2DCB">
        <w:rPr>
          <w:u w:val="single"/>
        </w:rPr>
        <w:t>by</w:t>
      </w:r>
      <w:r w:rsidR="004F2DCB">
        <w:t xml:space="preserve"> or</w:t>
      </w:r>
      <w:r w:rsidR="006A652B">
        <w:t xml:space="preserve"> </w:t>
      </w:r>
      <w:r w:rsidR="006A652B">
        <w:rPr>
          <w:u w:val="single"/>
        </w:rPr>
        <w:t>between</w:t>
      </w:r>
      <w:r w:rsidR="006A652B">
        <w:t xml:space="preserve"> </w:t>
      </w:r>
      <w:r w:rsidR="004F2DCB">
        <w:t xml:space="preserve">a </w:t>
      </w:r>
      <w:r w:rsidR="006A652B">
        <w:t>sovereign state</w:t>
      </w:r>
      <w:r w:rsidR="004F2DCB">
        <w:t xml:space="preserve"> or states</w:t>
      </w:r>
      <w:r w:rsidR="009C6E3D">
        <w:t xml:space="preserve">, where such dealings </w:t>
      </w:r>
      <w:r w:rsidR="004F2DCB">
        <w:t xml:space="preserve">or disputes </w:t>
      </w:r>
      <w:r w:rsidR="009C6E3D">
        <w:t xml:space="preserve">involve actions by </w:t>
      </w:r>
      <w:r w:rsidR="00D339EB">
        <w:t xml:space="preserve">such </w:t>
      </w:r>
      <w:r w:rsidR="009C6E3D">
        <w:t xml:space="preserve">states </w:t>
      </w:r>
      <w:r w:rsidR="00B546A2">
        <w:t xml:space="preserve">operating on the plane of </w:t>
      </w:r>
      <w:r w:rsidR="00B546A2">
        <w:lastRenderedPageBreak/>
        <w:t>public international law</w:t>
      </w:r>
      <w:r w:rsidR="004D5219">
        <w:t>.</w:t>
      </w:r>
      <w:r w:rsidR="007D6FE9">
        <w:rPr>
          <w:rStyle w:val="FootnoteReference"/>
        </w:rPr>
        <w:footnoteReference w:id="244"/>
      </w:r>
      <w:r w:rsidR="00621B28">
        <w:t xml:space="preserve"> In formulating Rule 3,</w:t>
      </w:r>
      <w:r w:rsidR="00621B28">
        <w:rPr>
          <w:rStyle w:val="FootnoteReference"/>
        </w:rPr>
        <w:footnoteReference w:id="245"/>
      </w:r>
      <w:r w:rsidR="00621B28">
        <w:t xml:space="preserve"> </w:t>
      </w:r>
      <w:r w:rsidR="001A7A91">
        <w:t xml:space="preserve">Lord Neuberger was clearly </w:t>
      </w:r>
      <w:r w:rsidR="00621B28">
        <w:t xml:space="preserve">drawing a distinction between </w:t>
      </w:r>
      <w:r w:rsidR="00603356">
        <w:t xml:space="preserve">those cases where </w:t>
      </w:r>
      <w:r w:rsidR="00621B28">
        <w:t xml:space="preserve">a state </w:t>
      </w:r>
      <w:r w:rsidR="00603356">
        <w:t xml:space="preserve">is </w:t>
      </w:r>
      <w:r w:rsidR="00621B28">
        <w:t xml:space="preserve">acting as only a sovereign state can, and those cases where a sovereign state is exercising rights or imposing upon itself obligations that a natural person or a corporation could transact. That </w:t>
      </w:r>
      <w:r w:rsidR="00603356">
        <w:t xml:space="preserve">distinction also underlies </w:t>
      </w:r>
      <w:r w:rsidR="00621B28">
        <w:t xml:space="preserve">the </w:t>
      </w:r>
      <w:r w:rsidR="00603356">
        <w:t>case-law</w:t>
      </w:r>
      <w:r w:rsidR="00621B28">
        <w:t xml:space="preserve"> referenced by Lord Neuberger</w:t>
      </w:r>
      <w:r w:rsidR="00603356">
        <w:t>.</w:t>
      </w:r>
      <w:r w:rsidR="00603356">
        <w:rPr>
          <w:rStyle w:val="FootnoteReference"/>
        </w:rPr>
        <w:footnoteReference w:id="246"/>
      </w:r>
      <w:r w:rsidR="00621B28">
        <w:t xml:space="preserve"> </w:t>
      </w:r>
    </w:p>
    <w:p w14:paraId="723A9BAD" w14:textId="77777777" w:rsidR="00CF1AFB" w:rsidRDefault="00727370" w:rsidP="0011723A">
      <w:pPr>
        <w:numPr>
          <w:ilvl w:val="1"/>
          <w:numId w:val="2"/>
        </w:numPr>
        <w:autoSpaceDE w:val="0"/>
        <w:spacing w:before="240" w:after="240"/>
        <w:jc w:val="both"/>
      </w:pPr>
      <w:r>
        <w:t xml:space="preserve">That distinction is </w:t>
      </w:r>
      <w:r w:rsidR="0014464B">
        <w:t xml:space="preserve">also </w:t>
      </w:r>
      <w:r>
        <w:t xml:space="preserve">clearly evident </w:t>
      </w:r>
      <w:r w:rsidR="00820E15">
        <w:t>in</w:t>
      </w:r>
      <w:r w:rsidR="00CA0036">
        <w:t xml:space="preserve"> Lord Neuberger’s </w:t>
      </w:r>
      <w:r w:rsidR="000F6186">
        <w:t xml:space="preserve">consideration of </w:t>
      </w:r>
      <w:r w:rsidR="000F6186">
        <w:rPr>
          <w:i/>
          <w:iCs/>
        </w:rPr>
        <w:t>Nissan v. Attorney General</w:t>
      </w:r>
      <w:r w:rsidR="000F6186">
        <w:t>.</w:t>
      </w:r>
      <w:r w:rsidR="000F6186">
        <w:rPr>
          <w:rStyle w:val="FootnoteReference"/>
        </w:rPr>
        <w:footnoteReference w:id="247"/>
      </w:r>
      <w:r w:rsidR="009975DE">
        <w:t xml:space="preserve"> </w:t>
      </w:r>
      <w:r w:rsidR="009975DE">
        <w:rPr>
          <w:i/>
          <w:iCs/>
        </w:rPr>
        <w:t>Nissan</w:t>
      </w:r>
      <w:r w:rsidR="009975DE">
        <w:t xml:space="preserve"> was, of course, </w:t>
      </w:r>
      <w:r w:rsidR="000468EF">
        <w:t>a case of Crown act of state, not foreign act of state</w:t>
      </w:r>
      <w:r w:rsidR="00E11454">
        <w:t xml:space="preserve">, and that distinction needs to be borne in mind. Nevertheless, Lord Neuberger </w:t>
      </w:r>
      <w:r w:rsidR="0011723A">
        <w:t xml:space="preserve">noted that, </w:t>
      </w:r>
      <w:r w:rsidR="0011723A">
        <w:rPr>
          <w:lang w:eastAsia="en-GB"/>
        </w:rPr>
        <w:t>b</w:t>
      </w:r>
      <w:r w:rsidR="00CF1AFB" w:rsidRPr="00AA28C7">
        <w:rPr>
          <w:lang w:eastAsia="en-GB"/>
        </w:rPr>
        <w:t xml:space="preserve">earing in mind the importance which both the common law and the Human Rights Convention attach to the right of access to the courts, judges should not be enthusiastic in declining to determine a claim under </w:t>
      </w:r>
      <w:r w:rsidR="00CF1AFB">
        <w:rPr>
          <w:lang w:eastAsia="en-GB"/>
        </w:rPr>
        <w:t>Rule 3</w:t>
      </w:r>
      <w:r w:rsidR="00CF1AFB" w:rsidRPr="00AA28C7">
        <w:rPr>
          <w:lang w:eastAsia="en-GB"/>
        </w:rPr>
        <w:t xml:space="preserve"> albeit that they should be “wary of accepting an invitation to determine an issue which is, on analysis, not appropriate for judicial assessment”</w:t>
      </w:r>
      <w:r w:rsidR="00CF1AFB">
        <w:rPr>
          <w:lang w:eastAsia="en-GB"/>
        </w:rPr>
        <w:t>.</w:t>
      </w:r>
      <w:r w:rsidR="00CF1AFB">
        <w:rPr>
          <w:rStyle w:val="FootnoteReference"/>
          <w:lang w:eastAsia="en-GB"/>
        </w:rPr>
        <w:footnoteReference w:id="248"/>
      </w:r>
      <w:r w:rsidR="0011723A">
        <w:rPr>
          <w:lang w:eastAsia="en-GB"/>
        </w:rPr>
        <w:t xml:space="preserve"> He then went on:</w:t>
      </w:r>
      <w:r w:rsidR="0011723A">
        <w:rPr>
          <w:rStyle w:val="FootnoteReference"/>
          <w:lang w:eastAsia="en-GB"/>
        </w:rPr>
        <w:footnoteReference w:id="249"/>
      </w:r>
    </w:p>
    <w:p w14:paraId="4D732F76" w14:textId="77777777" w:rsidR="0011723A" w:rsidRDefault="0011723A" w:rsidP="0011723A">
      <w:pPr>
        <w:autoSpaceDE w:val="0"/>
        <w:spacing w:before="240" w:after="240"/>
        <w:ind w:left="1134"/>
        <w:jc w:val="both"/>
        <w:rPr>
          <w:sz w:val="22"/>
          <w:szCs w:val="22"/>
          <w:lang w:eastAsia="en-GB"/>
        </w:rPr>
      </w:pPr>
      <w:r>
        <w:rPr>
          <w:sz w:val="22"/>
          <w:szCs w:val="22"/>
          <w:lang w:eastAsia="en-GB"/>
        </w:rPr>
        <w:t>“</w:t>
      </w:r>
      <w:r w:rsidR="001B418F">
        <w:rPr>
          <w:sz w:val="22"/>
          <w:szCs w:val="22"/>
          <w:lang w:eastAsia="en-GB"/>
        </w:rPr>
        <w:t xml:space="preserve">I believe that this is reflected in observations of Lord Pearson in </w:t>
      </w:r>
      <w:r w:rsidR="001B418F">
        <w:rPr>
          <w:i/>
          <w:iCs/>
          <w:sz w:val="22"/>
          <w:szCs w:val="22"/>
          <w:lang w:eastAsia="en-GB"/>
        </w:rPr>
        <w:t>Nissan v. Attorney General</w:t>
      </w:r>
      <w:r w:rsidR="007726C6">
        <w:rPr>
          <w:sz w:val="22"/>
          <w:szCs w:val="22"/>
          <w:lang w:eastAsia="en-GB"/>
        </w:rPr>
        <w:t>, [1970] AC 179</w:t>
      </w:r>
      <w:r w:rsidR="00104985">
        <w:rPr>
          <w:sz w:val="22"/>
          <w:szCs w:val="22"/>
          <w:lang w:eastAsia="en-GB"/>
        </w:rPr>
        <w:t xml:space="preserve">. Immediately after the passage quoted in </w:t>
      </w:r>
      <w:r w:rsidR="000E56AD">
        <w:rPr>
          <w:sz w:val="22"/>
          <w:szCs w:val="22"/>
          <w:lang w:eastAsia="en-GB"/>
        </w:rPr>
        <w:t>[123] above</w:t>
      </w:r>
      <w:r w:rsidR="00AB5F5A">
        <w:rPr>
          <w:sz w:val="22"/>
          <w:szCs w:val="22"/>
          <w:lang w:eastAsia="en-GB"/>
        </w:rPr>
        <w:t>,</w:t>
      </w:r>
      <w:r w:rsidR="000E56AD">
        <w:rPr>
          <w:rStyle w:val="FootnoteReference"/>
          <w:sz w:val="22"/>
          <w:szCs w:val="22"/>
          <w:lang w:eastAsia="en-GB"/>
        </w:rPr>
        <w:footnoteReference w:id="250"/>
      </w:r>
      <w:r w:rsidR="00AB5F5A">
        <w:rPr>
          <w:sz w:val="22"/>
          <w:szCs w:val="22"/>
          <w:lang w:eastAsia="en-GB"/>
        </w:rPr>
        <w:t xml:space="preserve"> he said, at 237:</w:t>
      </w:r>
    </w:p>
    <w:p w14:paraId="56F0A632" w14:textId="77777777" w:rsidR="00AB5F5A" w:rsidRDefault="00AB5F5A" w:rsidP="00AB5F5A">
      <w:pPr>
        <w:autoSpaceDE w:val="0"/>
        <w:spacing w:before="240" w:after="240"/>
        <w:ind w:left="1440"/>
        <w:jc w:val="both"/>
        <w:rPr>
          <w:sz w:val="22"/>
          <w:szCs w:val="22"/>
          <w:lang w:eastAsia="en-GB"/>
        </w:rPr>
      </w:pPr>
      <w:r>
        <w:rPr>
          <w:sz w:val="22"/>
          <w:szCs w:val="22"/>
          <w:lang w:eastAsia="en-GB"/>
        </w:rPr>
        <w:t xml:space="preserve">“Apart from these obvious examples, an act of state </w:t>
      </w:r>
      <w:r w:rsidR="00615202">
        <w:rPr>
          <w:sz w:val="22"/>
          <w:szCs w:val="22"/>
          <w:lang w:eastAsia="en-GB"/>
        </w:rPr>
        <w:t xml:space="preserve">must be something </w:t>
      </w:r>
      <w:r w:rsidR="00B11E07" w:rsidRPr="009E3E58">
        <w:rPr>
          <w:sz w:val="22"/>
        </w:rPr>
        <w:t>exceptional</w:t>
      </w:r>
      <w:r w:rsidR="00B11E07" w:rsidRPr="009E3E58">
        <w:rPr>
          <w:sz w:val="22"/>
          <w:szCs w:val="22"/>
          <w:lang w:eastAsia="en-GB"/>
        </w:rPr>
        <w:t>.</w:t>
      </w:r>
      <w:r w:rsidR="00B11E07">
        <w:rPr>
          <w:sz w:val="22"/>
          <w:szCs w:val="22"/>
          <w:lang w:eastAsia="en-GB"/>
        </w:rPr>
        <w:t xml:space="preserve"> </w:t>
      </w:r>
      <w:r w:rsidR="00615202">
        <w:rPr>
          <w:sz w:val="22"/>
          <w:szCs w:val="22"/>
          <w:lang w:eastAsia="en-GB"/>
        </w:rPr>
        <w:t>Any ordinary governmental act is cognisable by an ordinary court</w:t>
      </w:r>
      <w:r w:rsidR="00EA4994">
        <w:rPr>
          <w:sz w:val="22"/>
          <w:szCs w:val="22"/>
          <w:lang w:eastAsia="en-GB"/>
        </w:rPr>
        <w:t xml:space="preserve"> (</w:t>
      </w:r>
      <w:r w:rsidR="00EA4994" w:rsidRPr="00EA4994">
        <w:rPr>
          <w:sz w:val="22"/>
          <w:szCs w:val="22"/>
          <w:u w:val="single"/>
          <w:lang w:eastAsia="en-GB"/>
        </w:rPr>
        <w:t>municipal not international</w:t>
      </w:r>
      <w:r w:rsidR="00EA4994" w:rsidRPr="00EA4994">
        <w:rPr>
          <w:rStyle w:val="FootnoteReference"/>
          <w:sz w:val="22"/>
          <w:szCs w:val="22"/>
          <w:lang w:eastAsia="en-GB"/>
        </w:rPr>
        <w:footnoteReference w:id="251"/>
      </w:r>
      <w:r w:rsidR="00EA4994">
        <w:rPr>
          <w:sz w:val="22"/>
          <w:szCs w:val="22"/>
          <w:lang w:eastAsia="en-GB"/>
        </w:rPr>
        <w:t xml:space="preserve">): if a subject alleges that the governmental act was wrongful and claims </w:t>
      </w:r>
      <w:r w:rsidR="005114DD">
        <w:rPr>
          <w:sz w:val="22"/>
          <w:szCs w:val="22"/>
          <w:lang w:eastAsia="en-GB"/>
        </w:rPr>
        <w:t>damages or other relief in respect of it, his claim will be entertained and heard and determined by the court.</w:t>
      </w:r>
      <w:r w:rsidR="0087568A">
        <w:rPr>
          <w:sz w:val="22"/>
          <w:szCs w:val="22"/>
          <w:lang w:eastAsia="en-GB"/>
        </w:rPr>
        <w:t>”</w:t>
      </w:r>
    </w:p>
    <w:p w14:paraId="6924AE51" w14:textId="77777777" w:rsidR="0087568A" w:rsidRDefault="0087568A" w:rsidP="0087568A">
      <w:pPr>
        <w:autoSpaceDE w:val="0"/>
        <w:spacing w:before="240" w:after="240"/>
        <w:ind w:left="1134"/>
        <w:jc w:val="both"/>
        <w:rPr>
          <w:sz w:val="22"/>
          <w:szCs w:val="22"/>
        </w:rPr>
      </w:pPr>
      <w:r>
        <w:rPr>
          <w:sz w:val="22"/>
          <w:szCs w:val="22"/>
        </w:rPr>
        <w:t>A little later</w:t>
      </w:r>
      <w:r w:rsidR="00D23D51">
        <w:rPr>
          <w:sz w:val="22"/>
          <w:szCs w:val="22"/>
        </w:rPr>
        <w:t>, he explained that where the Doctrine applied</w:t>
      </w:r>
      <w:r w:rsidR="00D56E47">
        <w:rPr>
          <w:sz w:val="22"/>
          <w:szCs w:val="22"/>
        </w:rPr>
        <w:t>:</w:t>
      </w:r>
    </w:p>
    <w:p w14:paraId="3F4057AE" w14:textId="77777777" w:rsidR="00D56E47" w:rsidRPr="007726C6" w:rsidRDefault="00D56E47" w:rsidP="00D56E47">
      <w:pPr>
        <w:autoSpaceDE w:val="0"/>
        <w:spacing w:before="240" w:after="240"/>
        <w:ind w:left="1440"/>
        <w:jc w:val="both"/>
        <w:rPr>
          <w:sz w:val="22"/>
          <w:szCs w:val="22"/>
        </w:rPr>
      </w:pPr>
      <w:r>
        <w:rPr>
          <w:sz w:val="22"/>
          <w:szCs w:val="22"/>
        </w:rPr>
        <w:t xml:space="preserve">“the court does not come to any decision as to the…rightness </w:t>
      </w:r>
      <w:r w:rsidR="001F4989">
        <w:rPr>
          <w:sz w:val="22"/>
          <w:szCs w:val="22"/>
        </w:rPr>
        <w:t>or wrongness of the act complained of: the decision is that because it was an act of state the court has no jurisdiction</w:t>
      </w:r>
      <w:r w:rsidR="00981934">
        <w:rPr>
          <w:sz w:val="22"/>
          <w:szCs w:val="22"/>
        </w:rPr>
        <w:t xml:space="preserve"> to entertain a claim in respect of it.”</w:t>
      </w:r>
    </w:p>
    <w:p w14:paraId="22708A86" w14:textId="77777777" w:rsidR="0011723A" w:rsidRPr="00981934" w:rsidRDefault="00981934" w:rsidP="0011723A">
      <w:pPr>
        <w:autoSpaceDE w:val="0"/>
        <w:spacing w:before="240" w:after="240"/>
        <w:ind w:left="1134"/>
        <w:jc w:val="both"/>
        <w:rPr>
          <w:sz w:val="22"/>
          <w:szCs w:val="22"/>
        </w:rPr>
      </w:pPr>
      <w:r w:rsidRPr="00981934">
        <w:rPr>
          <w:sz w:val="22"/>
          <w:szCs w:val="22"/>
        </w:rPr>
        <w:t xml:space="preserve">And </w:t>
      </w:r>
      <w:r>
        <w:rPr>
          <w:sz w:val="22"/>
          <w:szCs w:val="22"/>
        </w:rPr>
        <w:t>added that: “</w:t>
      </w:r>
      <w:r w:rsidR="00F808B8">
        <w:rPr>
          <w:sz w:val="22"/>
          <w:szCs w:val="22"/>
        </w:rPr>
        <w:t>This is a very unusual situation and strong evidence is required to prove that it exists in a particular case.”</w:t>
      </w:r>
      <w:r w:rsidR="006E3778">
        <w:rPr>
          <w:sz w:val="22"/>
          <w:szCs w:val="22"/>
        </w:rPr>
        <w:t>”</w:t>
      </w:r>
    </w:p>
    <w:p w14:paraId="527F0820" w14:textId="77777777" w:rsidR="00014D05" w:rsidRDefault="00012AC0" w:rsidP="008150F1">
      <w:pPr>
        <w:numPr>
          <w:ilvl w:val="1"/>
          <w:numId w:val="2"/>
        </w:numPr>
        <w:autoSpaceDE w:val="0"/>
        <w:spacing w:before="240" w:after="240"/>
        <w:jc w:val="both"/>
      </w:pPr>
      <w:r>
        <w:lastRenderedPageBreak/>
        <w:t>Lord Sumption expressed the same point in the following terms:</w:t>
      </w:r>
      <w:r>
        <w:rPr>
          <w:rStyle w:val="FootnoteReference"/>
        </w:rPr>
        <w:footnoteReference w:id="252"/>
      </w:r>
    </w:p>
    <w:p w14:paraId="6E679E78" w14:textId="77777777" w:rsidR="00DE01B1" w:rsidRPr="00DE01B1" w:rsidRDefault="00DE01B1" w:rsidP="00DE01B1">
      <w:pPr>
        <w:autoSpaceDE w:val="0"/>
        <w:spacing w:before="240" w:after="240"/>
        <w:ind w:left="1134"/>
        <w:jc w:val="both"/>
        <w:rPr>
          <w:sz w:val="22"/>
          <w:szCs w:val="22"/>
        </w:rPr>
      </w:pPr>
      <w:r>
        <w:rPr>
          <w:sz w:val="22"/>
          <w:szCs w:val="22"/>
        </w:rPr>
        <w:t xml:space="preserve">“One might ask why an English court </w:t>
      </w:r>
      <w:r w:rsidR="007B351B">
        <w:rPr>
          <w:sz w:val="22"/>
          <w:szCs w:val="22"/>
        </w:rPr>
        <w:t xml:space="preserve">should shrink from determining the legality of the executive acts </w:t>
      </w:r>
      <w:r w:rsidR="0036796A">
        <w:rPr>
          <w:sz w:val="22"/>
          <w:szCs w:val="22"/>
        </w:rPr>
        <w:t xml:space="preserve">of a foreign state by its own municipal law, when it routinely adjudicates on foreign torts </w:t>
      </w:r>
      <w:r w:rsidR="00650E12">
        <w:rPr>
          <w:sz w:val="22"/>
          <w:szCs w:val="22"/>
        </w:rPr>
        <w:t>and foreign breaches of contract. The answer is that the law distinguishes between exercises of sovereign authority and acts of a private law character</w:t>
      </w:r>
      <w:r w:rsidR="009A4EE5">
        <w:rPr>
          <w:sz w:val="22"/>
          <w:szCs w:val="22"/>
        </w:rPr>
        <w:t>. It is fair to say that the decided cases on the point generally involved internal revolutions</w:t>
      </w:r>
      <w:r w:rsidR="00FC648C">
        <w:rPr>
          <w:sz w:val="22"/>
          <w:szCs w:val="22"/>
        </w:rPr>
        <w:t xml:space="preserve"> or civil wars leading to a breakdown of law of a kind which could ultimately </w:t>
      </w:r>
      <w:r w:rsidR="00883F91">
        <w:rPr>
          <w:sz w:val="22"/>
          <w:szCs w:val="22"/>
        </w:rPr>
        <w:t>be resolved only by force.</w:t>
      </w:r>
      <w:r w:rsidR="000E6F2C">
        <w:rPr>
          <w:sz w:val="22"/>
          <w:szCs w:val="22"/>
        </w:rPr>
        <w:t xml:space="preserve"> Other countries implicitly recognise </w:t>
      </w:r>
      <w:r w:rsidR="005929B1">
        <w:rPr>
          <w:sz w:val="22"/>
          <w:szCs w:val="22"/>
        </w:rPr>
        <w:t xml:space="preserve">the outcome diplomatically with retrospective effect, and their courts follow suit. Similar problems can arise </w:t>
      </w:r>
      <w:r w:rsidR="00DD2953">
        <w:rPr>
          <w:sz w:val="22"/>
          <w:szCs w:val="22"/>
        </w:rPr>
        <w:t xml:space="preserve">in relation to the acts of totalitarian states where there may be no rule of law even in normal times. But I do not think </w:t>
      </w:r>
      <w:r w:rsidR="00056144">
        <w:rPr>
          <w:sz w:val="22"/>
          <w:szCs w:val="22"/>
        </w:rPr>
        <w:t>that the act of state doctrine can be limited to cases involving a general breakdown of civil society or states without law.</w:t>
      </w:r>
      <w:r w:rsidR="00EF48D8">
        <w:rPr>
          <w:sz w:val="22"/>
          <w:szCs w:val="22"/>
        </w:rPr>
        <w:t xml:space="preserve"> Quite apart from the formidable definitional problems to which such an approach would give rise, the basis of the doctrine </w:t>
      </w:r>
      <w:r w:rsidR="004444E9">
        <w:rPr>
          <w:sz w:val="22"/>
          <w:szCs w:val="22"/>
        </w:rPr>
        <w:t>is not the absence of a relevant legal standard but the existence of recognised limits on the subject matter jurisdiction of the English courts.”</w:t>
      </w:r>
    </w:p>
    <w:p w14:paraId="1837628C" w14:textId="77777777" w:rsidR="008150F1" w:rsidRDefault="00272F68" w:rsidP="008150F1">
      <w:pPr>
        <w:numPr>
          <w:ilvl w:val="1"/>
          <w:numId w:val="2"/>
        </w:numPr>
        <w:autoSpaceDE w:val="0"/>
        <w:spacing w:before="240" w:after="240"/>
        <w:jc w:val="both"/>
      </w:pPr>
      <w:r>
        <w:t xml:space="preserve">Rule 3 is </w:t>
      </w:r>
      <w:r w:rsidR="00BD7168">
        <w:t xml:space="preserve">“based on judicial self-restraint, in that it applies to issues which </w:t>
      </w:r>
      <w:r w:rsidR="0052324A">
        <w:t xml:space="preserve">judges decide that they should abstain from resolving, as discussed by Lord Mance in [40]-[45] and by Lord Sumption </w:t>
      </w:r>
      <w:r w:rsidR="002C5CC9">
        <w:t>in [234]-</w:t>
      </w:r>
      <w:r w:rsidR="002356FA">
        <w:t>[239] and [244]. It is purely based on common law, and therefore has no international law basis</w:t>
      </w:r>
      <w:r w:rsidR="00842BE3">
        <w:t>, although, as discussed below, its application (unsurprisingly) can be heavily influenced by international law”.</w:t>
      </w:r>
      <w:r w:rsidR="00842BE3">
        <w:rPr>
          <w:rStyle w:val="FootnoteReference"/>
        </w:rPr>
        <w:footnoteReference w:id="253"/>
      </w:r>
    </w:p>
    <w:p w14:paraId="1FCC5F91" w14:textId="77777777" w:rsidR="00F75404" w:rsidRDefault="00C53A5D" w:rsidP="008150F1">
      <w:pPr>
        <w:numPr>
          <w:ilvl w:val="1"/>
          <w:numId w:val="2"/>
        </w:numPr>
        <w:autoSpaceDE w:val="0"/>
        <w:spacing w:before="240" w:after="240"/>
        <w:jc w:val="both"/>
      </w:pPr>
      <w:r>
        <w:t>Lord Neuberger also considered questions of territoriality:</w:t>
      </w:r>
    </w:p>
    <w:p w14:paraId="7E7AF4D2" w14:textId="77777777" w:rsidR="00C53A5D" w:rsidRDefault="00C53A5D" w:rsidP="003C0A6E">
      <w:pPr>
        <w:autoSpaceDE w:val="0"/>
        <w:spacing w:before="240" w:after="240"/>
        <w:ind w:left="1854" w:hanging="720"/>
        <w:jc w:val="both"/>
        <w:rPr>
          <w:sz w:val="22"/>
          <w:szCs w:val="22"/>
        </w:rPr>
      </w:pPr>
      <w:r>
        <w:rPr>
          <w:sz w:val="22"/>
          <w:szCs w:val="22"/>
        </w:rPr>
        <w:t>“</w:t>
      </w:r>
      <w:r w:rsidR="003C0A6E">
        <w:rPr>
          <w:sz w:val="22"/>
          <w:szCs w:val="22"/>
        </w:rPr>
        <w:t>163.</w:t>
      </w:r>
      <w:r w:rsidR="003C0A6E">
        <w:rPr>
          <w:sz w:val="22"/>
          <w:szCs w:val="22"/>
        </w:rPr>
        <w:tab/>
      </w:r>
      <w:r w:rsidR="0088042B">
        <w:rPr>
          <w:sz w:val="22"/>
          <w:szCs w:val="22"/>
        </w:rPr>
        <w:t>So far as the cases are concerned</w:t>
      </w:r>
      <w:r w:rsidR="00FC3BB3">
        <w:rPr>
          <w:sz w:val="22"/>
          <w:szCs w:val="22"/>
        </w:rPr>
        <w:t xml:space="preserve">, the first, second and third rules have only been applied in relation to acts within the territory of the state concerned. </w:t>
      </w:r>
      <w:r w:rsidR="005F669C">
        <w:rPr>
          <w:sz w:val="22"/>
          <w:szCs w:val="22"/>
        </w:rPr>
        <w:t xml:space="preserve">I find it hard to see how it could be argued that the first rule, which is concerned with legislation, could apply to acts </w:t>
      </w:r>
      <w:r w:rsidR="008746C0">
        <w:rPr>
          <w:sz w:val="22"/>
          <w:szCs w:val="22"/>
        </w:rPr>
        <w:t>which take effect in a location outside the territory of the state concerned. The same applies to the second rule, which</w:t>
      </w:r>
      <w:r w:rsidR="00C770F5">
        <w:rPr>
          <w:sz w:val="22"/>
          <w:szCs w:val="22"/>
        </w:rPr>
        <w:t xml:space="preserve"> is concerned with</w:t>
      </w:r>
      <w:r w:rsidR="008746C0">
        <w:rPr>
          <w:sz w:val="22"/>
          <w:szCs w:val="22"/>
        </w:rPr>
        <w:t xml:space="preserve"> executive acts</w:t>
      </w:r>
      <w:r w:rsidR="00C770F5">
        <w:rPr>
          <w:sz w:val="22"/>
          <w:szCs w:val="22"/>
        </w:rPr>
        <w:t xml:space="preserve">. The older cases indicate </w:t>
      </w:r>
      <w:r w:rsidR="00744135">
        <w:rPr>
          <w:sz w:val="22"/>
          <w:szCs w:val="22"/>
        </w:rPr>
        <w:t xml:space="preserve">that both rules are based on sovereign power, and, as mentioned in [136] above, the nature of sovereign power </w:t>
      </w:r>
      <w:r w:rsidR="003C0A6E">
        <w:rPr>
          <w:sz w:val="22"/>
          <w:szCs w:val="22"/>
        </w:rPr>
        <w:t>is that it is limited to territory over which the power exists.</w:t>
      </w:r>
    </w:p>
    <w:p w14:paraId="4E0F1081" w14:textId="77777777" w:rsidR="006D1FE6" w:rsidRDefault="003C0A6E" w:rsidP="003C0A6E">
      <w:pPr>
        <w:autoSpaceDE w:val="0"/>
        <w:spacing w:before="240" w:after="240"/>
        <w:ind w:left="1854" w:hanging="720"/>
        <w:jc w:val="both"/>
        <w:rPr>
          <w:sz w:val="22"/>
          <w:szCs w:val="22"/>
        </w:rPr>
      </w:pPr>
      <w:r>
        <w:rPr>
          <w:sz w:val="22"/>
          <w:szCs w:val="22"/>
        </w:rPr>
        <w:t>164</w:t>
      </w:r>
      <w:r>
        <w:rPr>
          <w:sz w:val="22"/>
          <w:szCs w:val="22"/>
        </w:rPr>
        <w:tab/>
      </w:r>
      <w:r w:rsidR="00042A67">
        <w:rPr>
          <w:sz w:val="22"/>
          <w:szCs w:val="22"/>
        </w:rPr>
        <w:t xml:space="preserve">Further, a location outside </w:t>
      </w:r>
      <w:r w:rsidR="00587B00">
        <w:rPr>
          <w:sz w:val="22"/>
          <w:szCs w:val="22"/>
        </w:rPr>
        <w:t>the relevant territory</w:t>
      </w:r>
      <w:r w:rsidR="00C479C1">
        <w:rPr>
          <w:sz w:val="22"/>
          <w:szCs w:val="22"/>
        </w:rPr>
        <w:t xml:space="preserve"> would be in the territory of another state, and normal principles, including the first rule</w:t>
      </w:r>
      <w:r w:rsidR="00D334D4">
        <w:rPr>
          <w:sz w:val="22"/>
          <w:szCs w:val="22"/>
        </w:rPr>
        <w:t>, would indicate that the laws of that other state would normally apply. It is therefore hard to see how the law of the state</w:t>
      </w:r>
      <w:r w:rsidR="007E15B4">
        <w:rPr>
          <w:sz w:val="22"/>
          <w:szCs w:val="22"/>
        </w:rPr>
        <w:t xml:space="preserve"> which committed the act could apply so far as the first rule is concerned. As to the second rule</w:t>
      </w:r>
      <w:r w:rsidR="00A17C44">
        <w:rPr>
          <w:sz w:val="22"/>
          <w:szCs w:val="22"/>
        </w:rPr>
        <w:t xml:space="preserve">, in the absence of any judicial decision to the contrary, I cannot see any good reason why, if the act in question was unlawful </w:t>
      </w:r>
      <w:r w:rsidR="00EC7A31">
        <w:rPr>
          <w:sz w:val="22"/>
          <w:szCs w:val="22"/>
        </w:rPr>
        <w:t xml:space="preserve">pursuant to the laws of the location in which it occurred, the act of state doctrine should assist a defendant </w:t>
      </w:r>
      <w:r w:rsidR="006D1FE6">
        <w:rPr>
          <w:sz w:val="22"/>
          <w:szCs w:val="22"/>
        </w:rPr>
        <w:t>simply because the act was carried out by the executive of another state.</w:t>
      </w:r>
    </w:p>
    <w:p w14:paraId="32F8F437" w14:textId="77777777" w:rsidR="003C0A6E" w:rsidRPr="00C53A5D" w:rsidRDefault="006D1FE6" w:rsidP="00C4150D">
      <w:pPr>
        <w:autoSpaceDE w:val="0"/>
        <w:spacing w:before="240" w:after="240"/>
        <w:ind w:left="1854" w:hanging="720"/>
        <w:jc w:val="both"/>
        <w:rPr>
          <w:sz w:val="22"/>
          <w:szCs w:val="22"/>
        </w:rPr>
      </w:pPr>
      <w:r>
        <w:rPr>
          <w:sz w:val="22"/>
          <w:szCs w:val="22"/>
        </w:rPr>
        <w:t>165</w:t>
      </w:r>
      <w:r>
        <w:rPr>
          <w:sz w:val="22"/>
          <w:szCs w:val="22"/>
        </w:rPr>
        <w:tab/>
        <w:t xml:space="preserve">The position with regard to territoriality seems to me to be less clear so far as the third rule is concerned. </w:t>
      </w:r>
      <w:r w:rsidR="002573C3">
        <w:rPr>
          <w:sz w:val="22"/>
          <w:szCs w:val="22"/>
        </w:rPr>
        <w:t xml:space="preserve">As Rix LJ observed in the </w:t>
      </w:r>
      <w:r w:rsidR="002573C3">
        <w:rPr>
          <w:i/>
          <w:iCs/>
          <w:sz w:val="22"/>
          <w:szCs w:val="22"/>
        </w:rPr>
        <w:t>Yukos</w:t>
      </w:r>
      <w:r w:rsidR="002573C3">
        <w:rPr>
          <w:sz w:val="22"/>
          <w:szCs w:val="22"/>
        </w:rPr>
        <w:t xml:space="preserve"> case, [2014] QB 458, [49]</w:t>
      </w:r>
      <w:r w:rsidR="001F1F7E">
        <w:rPr>
          <w:sz w:val="22"/>
          <w:szCs w:val="22"/>
        </w:rPr>
        <w:t xml:space="preserve">, </w:t>
      </w:r>
      <w:r w:rsidR="0031256B">
        <w:rPr>
          <w:sz w:val="22"/>
          <w:szCs w:val="22"/>
        </w:rPr>
        <w:t xml:space="preserve">“It is not entirely clear” from what Lord Wilberforce actually said in </w:t>
      </w:r>
      <w:r w:rsidR="0031256B">
        <w:rPr>
          <w:i/>
          <w:iCs/>
          <w:sz w:val="22"/>
          <w:szCs w:val="22"/>
        </w:rPr>
        <w:t>Buttes Gas</w:t>
      </w:r>
      <w:r w:rsidR="0031256B">
        <w:rPr>
          <w:sz w:val="22"/>
          <w:szCs w:val="22"/>
        </w:rPr>
        <w:t xml:space="preserve"> whether what I have called the third rule “is confined…to what </w:t>
      </w:r>
      <w:r w:rsidR="002A2D65">
        <w:rPr>
          <w:sz w:val="22"/>
          <w:szCs w:val="22"/>
        </w:rPr>
        <w:t xml:space="preserve">transpires territorially within a foreign sovereign state”. However, I also agree with Rix LJ </w:t>
      </w:r>
      <w:r w:rsidR="002A2D65">
        <w:rPr>
          <w:sz w:val="22"/>
          <w:szCs w:val="22"/>
        </w:rPr>
        <w:lastRenderedPageBreak/>
        <w:t xml:space="preserve">that, at least in some </w:t>
      </w:r>
      <w:r w:rsidR="00614E3E">
        <w:rPr>
          <w:sz w:val="22"/>
          <w:szCs w:val="22"/>
        </w:rPr>
        <w:t>circumstances it could do so, as it is inherent in the nature of the rule that it may apply to actions outside the territory of the state concerned.”</w:t>
      </w:r>
      <w:r w:rsidR="0031256B">
        <w:rPr>
          <w:sz w:val="22"/>
          <w:szCs w:val="22"/>
        </w:rPr>
        <w:t xml:space="preserve"> </w:t>
      </w:r>
    </w:p>
    <w:p w14:paraId="13BDA32C" w14:textId="77777777" w:rsidR="00862DC4" w:rsidRPr="00843785" w:rsidRDefault="00843785" w:rsidP="00C4150D">
      <w:pPr>
        <w:keepNext/>
        <w:tabs>
          <w:tab w:val="left" w:pos="567"/>
        </w:tabs>
        <w:autoSpaceDE w:val="0"/>
        <w:spacing w:before="240" w:after="240"/>
        <w:jc w:val="both"/>
        <w:rPr>
          <w:i/>
          <w:iCs/>
        </w:rPr>
      </w:pPr>
      <w:r>
        <w:rPr>
          <w:i/>
          <w:iCs/>
        </w:rPr>
        <w:t>(ii)</w:t>
      </w:r>
      <w:r>
        <w:rPr>
          <w:i/>
          <w:iCs/>
        </w:rPr>
        <w:tab/>
      </w:r>
      <w:r w:rsidR="00735655">
        <w:rPr>
          <w:i/>
          <w:iCs/>
        </w:rPr>
        <w:t>The public policy exception</w:t>
      </w:r>
    </w:p>
    <w:p w14:paraId="6D298382" w14:textId="77777777" w:rsidR="00C53A5D" w:rsidRDefault="006E2CA8" w:rsidP="00126340">
      <w:pPr>
        <w:numPr>
          <w:ilvl w:val="0"/>
          <w:numId w:val="2"/>
        </w:numPr>
        <w:autoSpaceDE w:val="0"/>
        <w:spacing w:before="240" w:after="240"/>
        <w:jc w:val="both"/>
      </w:pPr>
      <w:r>
        <w:t xml:space="preserve">Further assistance is obtained from the Court of Appeal’s decision in </w:t>
      </w:r>
      <w:r>
        <w:rPr>
          <w:i/>
          <w:iCs/>
        </w:rPr>
        <w:t>The Law Debenture Trust Corporation plc v. Ukraine</w:t>
      </w:r>
      <w:r w:rsidR="00A8488F">
        <w:t>.</w:t>
      </w:r>
      <w:r w:rsidR="00A8488F">
        <w:rPr>
          <w:rStyle w:val="FootnoteReference"/>
        </w:rPr>
        <w:footnoteReference w:id="254"/>
      </w:r>
      <w:r w:rsidR="00030A30">
        <w:t xml:space="preserve"> </w:t>
      </w:r>
      <w:r w:rsidR="000E7810">
        <w:t>I</w:t>
      </w:r>
      <w:r w:rsidR="00C4150D">
        <w:t xml:space="preserve"> have set out the material facts in paragraph </w:t>
      </w:r>
      <w:r w:rsidR="000A5B17">
        <w:t>284(4)</w:t>
      </w:r>
      <w:r w:rsidR="00C4150D">
        <w:t xml:space="preserve"> above.</w:t>
      </w:r>
      <w:r w:rsidR="00AE2C5F">
        <w:t xml:space="preserve"> One of the issues before the court was whether</w:t>
      </w:r>
      <w:r w:rsidR="00126340">
        <w:t>, as Law Debenture contended,</w:t>
      </w:r>
      <w:r w:rsidR="00AE2C5F">
        <w:t xml:space="preserve"> </w:t>
      </w:r>
      <w:r w:rsidR="00260253">
        <w:t>Ukraine</w:t>
      </w:r>
      <w:r w:rsidR="000A5B17">
        <w:t>’s</w:t>
      </w:r>
      <w:r w:rsidR="00126340">
        <w:t xml:space="preserve"> defence of </w:t>
      </w:r>
      <w:r w:rsidR="009E0B6C">
        <w:t xml:space="preserve">duress or illegitimate pressure </w:t>
      </w:r>
      <w:r w:rsidR="00B64261">
        <w:t>involved acts of high policy by Russia</w:t>
      </w:r>
      <w:r w:rsidR="006A5B8E">
        <w:t xml:space="preserve"> in the sphere of international relations in the exercise of sovereign authority</w:t>
      </w:r>
      <w:r w:rsidR="00F34FDB">
        <w:t xml:space="preserve"> and was, therefore </w:t>
      </w:r>
      <w:r w:rsidR="004651CA">
        <w:t>non-justi</w:t>
      </w:r>
      <w:r w:rsidR="00C87354">
        <w:t>ci</w:t>
      </w:r>
      <w:r w:rsidR="004651CA">
        <w:t>able under Rule 3 of the Doctrine.</w:t>
      </w:r>
      <w:r w:rsidR="00815108">
        <w:rPr>
          <w:rStyle w:val="FootnoteReference"/>
        </w:rPr>
        <w:footnoteReference w:id="255"/>
      </w:r>
    </w:p>
    <w:p w14:paraId="6CA6F8BA" w14:textId="77777777" w:rsidR="00C22151" w:rsidRDefault="0018517F" w:rsidP="00F73CB0">
      <w:pPr>
        <w:numPr>
          <w:ilvl w:val="0"/>
          <w:numId w:val="2"/>
        </w:numPr>
        <w:autoSpaceDE w:val="0"/>
        <w:spacing w:before="240" w:after="240"/>
        <w:jc w:val="both"/>
      </w:pPr>
      <w:r>
        <w:t>The Court of Appeal approached this issue in the following way:</w:t>
      </w:r>
    </w:p>
    <w:p w14:paraId="5CA0E3FD" w14:textId="77777777" w:rsidR="00943258" w:rsidRDefault="00656E9B" w:rsidP="0018517F">
      <w:pPr>
        <w:numPr>
          <w:ilvl w:val="1"/>
          <w:numId w:val="2"/>
        </w:numPr>
        <w:autoSpaceDE w:val="0"/>
        <w:spacing w:before="240" w:after="240"/>
        <w:jc w:val="both"/>
      </w:pPr>
      <w:r>
        <w:t>First, was there a domestic “foothold” – a basis in legal analysis</w:t>
      </w:r>
      <w:r w:rsidR="00B419FC">
        <w:t xml:space="preserve"> under English law – which required or permitted the court to embark upon an examination of Ukraine’s case </w:t>
      </w:r>
      <w:r w:rsidR="00504791">
        <w:t xml:space="preserve">that Russia made threats against it which were unlawful </w:t>
      </w:r>
      <w:r w:rsidR="009A58A8">
        <w:t xml:space="preserve">as a matter </w:t>
      </w:r>
      <w:r w:rsidR="00943258">
        <w:t>of international law or otherwise illegitimate</w:t>
      </w:r>
      <w:r w:rsidR="002C4AB8">
        <w:t>?</w:t>
      </w:r>
      <w:r w:rsidR="00943258">
        <w:rPr>
          <w:rStyle w:val="FootnoteReference"/>
        </w:rPr>
        <w:footnoteReference w:id="256"/>
      </w:r>
      <w:r w:rsidR="00943258">
        <w:t xml:space="preserve"> As to this:</w:t>
      </w:r>
    </w:p>
    <w:p w14:paraId="23575AD2" w14:textId="77777777" w:rsidR="00F6162E" w:rsidRDefault="009A3051" w:rsidP="00943258">
      <w:pPr>
        <w:numPr>
          <w:ilvl w:val="2"/>
          <w:numId w:val="2"/>
        </w:numPr>
        <w:autoSpaceDE w:val="0"/>
        <w:spacing w:before="240" w:after="240"/>
        <w:jc w:val="both"/>
      </w:pPr>
      <w:r>
        <w:t xml:space="preserve">English municipal courts do not decide questions of international law in the abstract. The question must </w:t>
      </w:r>
      <w:r w:rsidR="00F6162E">
        <w:t>in some way relate to a cause of action or defence to a cause of action that can be litigated before the English courts.</w:t>
      </w:r>
      <w:r w:rsidR="00CB4260">
        <w:rPr>
          <w:rStyle w:val="FootnoteReference"/>
        </w:rPr>
        <w:footnoteReference w:id="257"/>
      </w:r>
    </w:p>
    <w:p w14:paraId="6943F211" w14:textId="77777777" w:rsidR="0018517F" w:rsidRDefault="00943258" w:rsidP="00943258">
      <w:pPr>
        <w:numPr>
          <w:ilvl w:val="2"/>
          <w:numId w:val="2"/>
        </w:numPr>
        <w:autoSpaceDE w:val="0"/>
        <w:spacing w:before="240" w:after="240"/>
        <w:jc w:val="both"/>
      </w:pPr>
      <w:r>
        <w:t>In this case</w:t>
      </w:r>
      <w:r w:rsidR="00D60A9A">
        <w:t xml:space="preserve">, the foothold was Ukraine’s invocation of the </w:t>
      </w:r>
      <w:r w:rsidR="00BD2AEB">
        <w:t>substantive doctrine of duress under English law in its defence to Law Debenture’s claim on the notes.</w:t>
      </w:r>
      <w:r w:rsidR="00BD2AEB">
        <w:rPr>
          <w:rStyle w:val="FootnoteReference"/>
        </w:rPr>
        <w:footnoteReference w:id="258"/>
      </w:r>
    </w:p>
    <w:p w14:paraId="6EAA76D3" w14:textId="77777777" w:rsidR="00AB369E" w:rsidRDefault="00AB369E" w:rsidP="00AB369E">
      <w:pPr>
        <w:numPr>
          <w:ilvl w:val="1"/>
          <w:numId w:val="2"/>
        </w:numPr>
        <w:autoSpaceDE w:val="0"/>
        <w:spacing w:before="240" w:after="240"/>
        <w:jc w:val="both"/>
      </w:pPr>
      <w:r>
        <w:t>Secondly, given the existence of a domestic “foothold”</w:t>
      </w:r>
      <w:r w:rsidR="009A03D1">
        <w:t>, was the issue nonetheless beyond the competence of the English courts to resolve</w:t>
      </w:r>
      <w:r w:rsidR="002C4AB8">
        <w:t>?</w:t>
      </w:r>
      <w:r w:rsidR="009A03D1">
        <w:rPr>
          <w:rStyle w:val="FootnoteReference"/>
        </w:rPr>
        <w:footnoteReference w:id="259"/>
      </w:r>
      <w:r w:rsidR="009A03D1">
        <w:t xml:space="preserve"> </w:t>
      </w:r>
      <w:r w:rsidR="00C92D80">
        <w:t>The Court of Appeal held that</w:t>
      </w:r>
      <w:r w:rsidR="00CC0793">
        <w:t xml:space="preserve">, even though Ukraine’s defence raised matters of </w:t>
      </w:r>
      <w:r w:rsidR="00B96E22">
        <w:t>high policy by Russia</w:t>
      </w:r>
      <w:r w:rsidR="00FA1D06">
        <w:t>, thus</w:t>
      </w:r>
      <w:r w:rsidR="00B96E22">
        <w:t xml:space="preserve"> bringing Rule 3 into play, the issue was nevertheless justic</w:t>
      </w:r>
      <w:r w:rsidR="00F90021">
        <w:t>i</w:t>
      </w:r>
      <w:r w:rsidR="00B96E22">
        <w:t xml:space="preserve">able before an English </w:t>
      </w:r>
      <w:r w:rsidR="00F90021">
        <w:t>C</w:t>
      </w:r>
      <w:r w:rsidR="00B96E22">
        <w:t xml:space="preserve">ourt </w:t>
      </w:r>
      <w:r w:rsidR="00C53193">
        <w:t>by reason of a public policy exception that had been identified by Lord Neuberger. As to this:</w:t>
      </w:r>
    </w:p>
    <w:p w14:paraId="1C9D7823" w14:textId="77777777" w:rsidR="00C53193" w:rsidRDefault="00AB618E" w:rsidP="00C53193">
      <w:pPr>
        <w:numPr>
          <w:ilvl w:val="2"/>
          <w:numId w:val="2"/>
        </w:numPr>
        <w:autoSpaceDE w:val="0"/>
        <w:spacing w:before="240" w:after="240"/>
        <w:jc w:val="both"/>
      </w:pPr>
      <w:r>
        <w:t xml:space="preserve">In </w:t>
      </w:r>
      <w:r>
        <w:rPr>
          <w:i/>
          <w:iCs/>
        </w:rPr>
        <w:t>Belhaj v. Straw</w:t>
      </w:r>
      <w:r>
        <w:t>,</w:t>
      </w:r>
      <w:r>
        <w:rPr>
          <w:rStyle w:val="FootnoteReference"/>
        </w:rPr>
        <w:footnoteReference w:id="260"/>
      </w:r>
      <w:r w:rsidR="007C4BCA">
        <w:t xml:space="preserve"> Lord Neuberger held that Rule 3 did not apply. </w:t>
      </w:r>
      <w:r w:rsidR="000039AD">
        <w:t xml:space="preserve">If, contrary to that holding, Rule 3 </w:t>
      </w:r>
      <w:r w:rsidR="000039AD">
        <w:rPr>
          <w:u w:val="single"/>
        </w:rPr>
        <w:t>did</w:t>
      </w:r>
      <w:r w:rsidR="000039AD">
        <w:t xml:space="preserve"> apply, then a public policy exception came into </w:t>
      </w:r>
      <w:r w:rsidR="000039AD" w:rsidRPr="001D2022">
        <w:t>play</w:t>
      </w:r>
      <w:r w:rsidR="00066AA2" w:rsidRPr="001D2022">
        <w:t>, which</w:t>
      </w:r>
      <w:r w:rsidR="000039AD">
        <w:t xml:space="preserve"> permitted the English courts to determine</w:t>
      </w:r>
      <w:r w:rsidR="00AD1C0C">
        <w:t xml:space="preserve"> the matter notwithstanding the application of Rule 3:</w:t>
      </w:r>
      <w:r w:rsidR="009F472C">
        <w:rPr>
          <w:rStyle w:val="FootnoteReference"/>
        </w:rPr>
        <w:footnoteReference w:id="261"/>
      </w:r>
    </w:p>
    <w:p w14:paraId="60169760" w14:textId="77777777" w:rsidR="009F472C" w:rsidRPr="006E0D4A" w:rsidRDefault="009F472C" w:rsidP="009F472C">
      <w:pPr>
        <w:autoSpaceDE w:val="0"/>
        <w:spacing w:before="240" w:after="240"/>
        <w:ind w:left="1814"/>
        <w:jc w:val="both"/>
        <w:rPr>
          <w:sz w:val="22"/>
          <w:szCs w:val="22"/>
        </w:rPr>
      </w:pPr>
      <w:r>
        <w:rPr>
          <w:sz w:val="22"/>
          <w:szCs w:val="22"/>
        </w:rPr>
        <w:t>“</w:t>
      </w:r>
      <w:r w:rsidR="006F01D8">
        <w:rPr>
          <w:sz w:val="22"/>
          <w:szCs w:val="22"/>
        </w:rPr>
        <w:t>H</w:t>
      </w:r>
      <w:r w:rsidR="004F00E5">
        <w:rPr>
          <w:sz w:val="22"/>
          <w:szCs w:val="22"/>
        </w:rPr>
        <w:t>aving said that</w:t>
      </w:r>
      <w:r w:rsidR="00815054">
        <w:rPr>
          <w:sz w:val="22"/>
          <w:szCs w:val="22"/>
        </w:rPr>
        <w:t>, even if the third rule otherwise applied, I would still hold that this is a case where, assuming that the claimants were detained, kidnapped and tortured</w:t>
      </w:r>
      <w:r w:rsidR="00FD7E51">
        <w:rPr>
          <w:sz w:val="22"/>
          <w:szCs w:val="22"/>
        </w:rPr>
        <w:t xml:space="preserve"> as they allege, the public policy exception would apply. In that connection, </w:t>
      </w:r>
      <w:r w:rsidR="00FD7E51">
        <w:rPr>
          <w:sz w:val="22"/>
          <w:szCs w:val="22"/>
        </w:rPr>
        <w:lastRenderedPageBreak/>
        <w:t>Lord Sumption’s impressive analysis</w:t>
      </w:r>
      <w:r w:rsidR="00893F8A">
        <w:rPr>
          <w:sz w:val="22"/>
          <w:szCs w:val="22"/>
        </w:rPr>
        <w:t xml:space="preserve"> of the relevant international law is important in the present context because I consider that any treatment</w:t>
      </w:r>
      <w:r w:rsidR="006E0D4A">
        <w:rPr>
          <w:sz w:val="22"/>
          <w:szCs w:val="22"/>
        </w:rPr>
        <w:t xml:space="preserve"> which amounts to a breach of </w:t>
      </w:r>
      <w:r w:rsidR="000D47C9">
        <w:rPr>
          <w:i/>
          <w:iCs/>
          <w:sz w:val="22"/>
          <w:szCs w:val="22"/>
        </w:rPr>
        <w:t>i</w:t>
      </w:r>
      <w:r w:rsidR="006E0D4A">
        <w:rPr>
          <w:i/>
          <w:iCs/>
          <w:sz w:val="22"/>
          <w:szCs w:val="22"/>
        </w:rPr>
        <w:t>us cogens</w:t>
      </w:r>
      <w:r w:rsidR="006E0D4A">
        <w:rPr>
          <w:sz w:val="22"/>
          <w:szCs w:val="22"/>
        </w:rPr>
        <w:t xml:space="preserve"> or peremptory norms would almost always fall within the public policy exception. </w:t>
      </w:r>
      <w:r w:rsidR="00C267BD">
        <w:rPr>
          <w:sz w:val="22"/>
          <w:szCs w:val="22"/>
        </w:rPr>
        <w:t xml:space="preserve">However, as explained above, because the Doctrine is domestic in nature, and in agreement with Lord Mance and Lord Sumption, </w:t>
      </w:r>
      <w:r w:rsidR="009757B6">
        <w:rPr>
          <w:sz w:val="22"/>
          <w:szCs w:val="22"/>
        </w:rPr>
        <w:t xml:space="preserve">I do not consider that it is necessary for a claimant to establish that the treatment of which he complains </w:t>
      </w:r>
      <w:r w:rsidR="00AE555D">
        <w:rPr>
          <w:sz w:val="22"/>
          <w:szCs w:val="22"/>
        </w:rPr>
        <w:t>crosses the international law hurdle before he can defeat a contention that the third rule applies.”</w:t>
      </w:r>
    </w:p>
    <w:p w14:paraId="5DBA34B6" w14:textId="77777777" w:rsidR="008B795D" w:rsidRDefault="00AE555D" w:rsidP="008B795D">
      <w:pPr>
        <w:numPr>
          <w:ilvl w:val="2"/>
          <w:numId w:val="2"/>
        </w:numPr>
        <w:autoSpaceDE w:val="0"/>
        <w:spacing w:before="240" w:after="240"/>
        <w:jc w:val="both"/>
      </w:pPr>
      <w:r>
        <w:t xml:space="preserve">The Court of Appeal considered that </w:t>
      </w:r>
      <w:r w:rsidR="00674A6C">
        <w:t>whilst Ukraine’s defence triggered Rule 3, the case also fell within the public policy exception articulated by Lord Neuberger.</w:t>
      </w:r>
      <w:r w:rsidR="00674A6C">
        <w:rPr>
          <w:rStyle w:val="FootnoteReference"/>
        </w:rPr>
        <w:footnoteReference w:id="262"/>
      </w:r>
      <w:r w:rsidR="00674A6C">
        <w:t xml:space="preserve"> </w:t>
      </w:r>
      <w:r w:rsidR="00424915">
        <w:t xml:space="preserve">This was for the following </w:t>
      </w:r>
      <w:r w:rsidR="00BD2BAF">
        <w:t xml:space="preserve">(cumulative) </w:t>
      </w:r>
      <w:r w:rsidR="00424915">
        <w:t>reasons:</w:t>
      </w:r>
    </w:p>
    <w:p w14:paraId="4B85071A" w14:textId="77777777" w:rsidR="00C30AF5" w:rsidRPr="00000664" w:rsidRDefault="00000664" w:rsidP="00C30AF5">
      <w:pPr>
        <w:autoSpaceDE w:val="0"/>
        <w:spacing w:before="240" w:after="240"/>
        <w:ind w:left="2534" w:hanging="720"/>
        <w:jc w:val="both"/>
        <w:rPr>
          <w:sz w:val="22"/>
          <w:szCs w:val="22"/>
        </w:rPr>
      </w:pPr>
      <w:r>
        <w:rPr>
          <w:sz w:val="22"/>
          <w:szCs w:val="22"/>
        </w:rPr>
        <w:t>“</w:t>
      </w:r>
      <w:r w:rsidR="008B795D" w:rsidRPr="00000664">
        <w:rPr>
          <w:sz w:val="22"/>
          <w:szCs w:val="22"/>
        </w:rPr>
        <w:t>175.</w:t>
      </w:r>
      <w:r w:rsidR="008B795D" w:rsidRPr="00000664">
        <w:rPr>
          <w:sz w:val="22"/>
          <w:szCs w:val="22"/>
        </w:rPr>
        <w:tab/>
        <w:t xml:space="preserve">First, instead of dealing with Ukraine pursuant to a treaty governed solely by international law, Russia chose to structure its loan relationship with Ukraine in the form of a Eurobond, with an English choice of law clause and a clause choosing the English court as the forum. The strong willingness of English courts to apply rule of law standards to do substantive justice between parties to a contract governed by English law is well known. At the point of contracting, Russia chose to submit any claim by Law Debenture to the jurisdiction of the English court and hence has taken the risk with its eyes open that the court would apply the English law of duress as a substantive matter. This is a materially different context from one in which a third state has its actions called into question in litigation between two different parties, such as in </w:t>
      </w:r>
      <w:r w:rsidR="008B795D" w:rsidRPr="00000664">
        <w:rPr>
          <w:i/>
          <w:iCs/>
          <w:sz w:val="22"/>
          <w:szCs w:val="22"/>
        </w:rPr>
        <w:t xml:space="preserve">Belhaj </w:t>
      </w:r>
      <w:r w:rsidR="008B795D" w:rsidRPr="00000664">
        <w:rPr>
          <w:sz w:val="22"/>
          <w:szCs w:val="22"/>
        </w:rPr>
        <w:t xml:space="preserve">and </w:t>
      </w:r>
      <w:r w:rsidR="008B795D" w:rsidRPr="00000664">
        <w:rPr>
          <w:i/>
          <w:iCs/>
          <w:sz w:val="22"/>
          <w:szCs w:val="22"/>
        </w:rPr>
        <w:t>Abbasi</w:t>
      </w:r>
      <w:r w:rsidR="008B795D" w:rsidRPr="00000664">
        <w:rPr>
          <w:sz w:val="22"/>
          <w:szCs w:val="22"/>
        </w:rPr>
        <w:t xml:space="preserve">. Although we do not go so far as to say that the third rule cannot apply where the relevant state has chosen to submit to the jurisdiction of the English court, this is a factor which in our view makes the argument for self-restraint by the English court significantly weaker and correspondingly makes it easier to identify aspects of public policy in favour of the court deciding the issues before it according to their substantive merits. A similar point was made by this court in the context of enforcement against a state of an arbitration award resulting from an arbitration agreement contained in an unincorporated treaty: </w:t>
      </w:r>
      <w:r w:rsidR="008B795D" w:rsidRPr="00000664">
        <w:rPr>
          <w:i/>
          <w:iCs/>
          <w:sz w:val="22"/>
          <w:szCs w:val="22"/>
        </w:rPr>
        <w:t>Republic of Ecuador v</w:t>
      </w:r>
      <w:r w:rsidR="00C30AF5" w:rsidRPr="00000664">
        <w:rPr>
          <w:i/>
          <w:iCs/>
          <w:sz w:val="22"/>
          <w:szCs w:val="22"/>
        </w:rPr>
        <w:t>.</w:t>
      </w:r>
      <w:r w:rsidR="008B795D" w:rsidRPr="00000664">
        <w:rPr>
          <w:i/>
          <w:iCs/>
          <w:sz w:val="22"/>
          <w:szCs w:val="22"/>
        </w:rPr>
        <w:t xml:space="preserve"> Occidental Exploration and Production Co</w:t>
      </w:r>
      <w:r w:rsidR="00C30AF5" w:rsidRPr="00000664">
        <w:rPr>
          <w:sz w:val="22"/>
          <w:szCs w:val="22"/>
        </w:rPr>
        <w:t>,</w:t>
      </w:r>
      <w:r w:rsidR="008B795D" w:rsidRPr="00000664">
        <w:rPr>
          <w:i/>
          <w:iCs/>
          <w:sz w:val="22"/>
          <w:szCs w:val="22"/>
        </w:rPr>
        <w:t xml:space="preserve"> </w:t>
      </w:r>
      <w:r w:rsidR="008B795D" w:rsidRPr="00000664">
        <w:rPr>
          <w:sz w:val="22"/>
          <w:szCs w:val="22"/>
        </w:rPr>
        <w:t xml:space="preserve">[2005] EWCA Civ 1116 at [47]; and the force of this is greater in the present context, where the relevant relationship has been structured according to the domestic law of England and a specific choice of English jurisdiction has been made. </w:t>
      </w:r>
    </w:p>
    <w:p w14:paraId="496E5A3E" w14:textId="77777777" w:rsidR="00C30AF5" w:rsidRPr="00000664" w:rsidRDefault="008B795D" w:rsidP="00C30AF5">
      <w:pPr>
        <w:autoSpaceDE w:val="0"/>
        <w:spacing w:before="240" w:after="240"/>
        <w:ind w:left="2534" w:hanging="720"/>
        <w:jc w:val="both"/>
        <w:rPr>
          <w:sz w:val="22"/>
          <w:szCs w:val="22"/>
        </w:rPr>
      </w:pPr>
      <w:r w:rsidRPr="00000664">
        <w:rPr>
          <w:sz w:val="22"/>
          <w:szCs w:val="22"/>
        </w:rPr>
        <w:t xml:space="preserve">176. </w:t>
      </w:r>
      <w:r w:rsidR="00C30AF5" w:rsidRPr="00000664">
        <w:rPr>
          <w:sz w:val="22"/>
          <w:szCs w:val="22"/>
        </w:rPr>
        <w:tab/>
      </w:r>
      <w:r w:rsidRPr="00000664">
        <w:rPr>
          <w:sz w:val="22"/>
          <w:szCs w:val="22"/>
        </w:rPr>
        <w:t xml:space="preserve">Secondly, insofar as the foreign act of state doctrine reflects to some degree a principle of respect by the domestic court for comity between states, it is relevant that in the present case comity points in both directions. Russia is a friendly state which wishes the court to exercise self-restraint, so as not to determine a matter which is relevant to the claim which Law Debenture brings on Russia’s behalf. Ukraine is a friendly state which wishes the court to determine that matter, as a matter of justice between the parties, as part of its consideration of the merits of the claim which Law Debenture brings on Russia’s behalf. </w:t>
      </w:r>
    </w:p>
    <w:p w14:paraId="2988E8A6" w14:textId="77777777" w:rsidR="00D53668" w:rsidRPr="00000664" w:rsidRDefault="008B795D" w:rsidP="00D53668">
      <w:pPr>
        <w:autoSpaceDE w:val="0"/>
        <w:spacing w:before="240" w:after="240"/>
        <w:ind w:left="2534" w:hanging="720"/>
        <w:jc w:val="both"/>
        <w:rPr>
          <w:sz w:val="22"/>
          <w:szCs w:val="22"/>
        </w:rPr>
      </w:pPr>
      <w:r w:rsidRPr="00000664">
        <w:rPr>
          <w:sz w:val="22"/>
          <w:szCs w:val="22"/>
        </w:rPr>
        <w:t xml:space="preserve">177. </w:t>
      </w:r>
      <w:r w:rsidR="00C30AF5" w:rsidRPr="00000664">
        <w:rPr>
          <w:sz w:val="22"/>
          <w:szCs w:val="22"/>
        </w:rPr>
        <w:tab/>
      </w:r>
      <w:r w:rsidRPr="00000664">
        <w:rPr>
          <w:sz w:val="22"/>
          <w:szCs w:val="22"/>
        </w:rPr>
        <w:t xml:space="preserve">Thirdly, there is an aspect of comity between states which positively points in favour of the English court proceeding to determine Law Debenture’s claim on Russia’s behalf, including by scrutiny of Ukraine’s defence of </w:t>
      </w:r>
      <w:r w:rsidRPr="00000664">
        <w:rPr>
          <w:sz w:val="22"/>
          <w:szCs w:val="22"/>
        </w:rPr>
        <w:lastRenderedPageBreak/>
        <w:t>duress. This is because the only way in which Russia can benefit in relation to the claim in contract under the Notes is by directing Law Debenture to sue in the English court, and if the English court does not proceed to determine that claim on its merits (including by scrutiny of Ukraine’s defence of duress) the result would be that the court would stay the claim: see the discussion of issue (3) below. Russia, by arranging for Law Debenture to bring this contractual claim, has indicated clearly to the court that it wishes the court to proceed to determine it according to the merits, including by dealing with any defences which the court finds are arguably available to Ukraine as a domestic foothold. If Russia’s preference is that the court should not make a determination of the issues of international law raised by Ukraine as part of its defence of duress, the solution is in Russia’s own hands: it could cause Law Debenture to withdraw the contract claim or agree to a stay of that claim. Thus the public policy reasons underlying the third rule of the foreign act of state doctrine can be met in that way. Conversely, as a matter of basic justice, it does not seem to us that Russia can expect to seek to have this contract claim vindicated in an English court without that court proceeding to scrutinise the defence of duress which is arguably available to Ukraine. The fact that Russia presses the court to determine the contract claim knowing that such a defence arises in relation to it again weakens the argument for self-restraint by the court and correspondingly makes it easier for the court to identify public policy reasons why an exception to the third rule should apply. Indeed, in our view the need to do justice between the parties to the present claim and between Russia and Ukraine in a private law dispute between them is itself a reason of public policy why in this case the public policy exception should be found to apply.</w:t>
      </w:r>
    </w:p>
    <w:p w14:paraId="0451DFE8" w14:textId="77777777" w:rsidR="003A5732" w:rsidRPr="00000664" w:rsidRDefault="008B795D" w:rsidP="003A5732">
      <w:pPr>
        <w:autoSpaceDE w:val="0"/>
        <w:spacing w:before="240" w:after="240"/>
        <w:ind w:left="2534" w:hanging="720"/>
        <w:jc w:val="both"/>
        <w:rPr>
          <w:sz w:val="22"/>
          <w:szCs w:val="22"/>
        </w:rPr>
      </w:pPr>
      <w:r w:rsidRPr="00000664">
        <w:rPr>
          <w:sz w:val="22"/>
          <w:szCs w:val="22"/>
        </w:rPr>
        <w:t xml:space="preserve">178. </w:t>
      </w:r>
      <w:r w:rsidR="00D53668" w:rsidRPr="00000664">
        <w:rPr>
          <w:sz w:val="22"/>
          <w:szCs w:val="22"/>
        </w:rPr>
        <w:tab/>
      </w:r>
      <w:r w:rsidRPr="00000664">
        <w:rPr>
          <w:sz w:val="22"/>
          <w:szCs w:val="22"/>
        </w:rPr>
        <w:t xml:space="preserve">Fourthly, there is nothing inherently non-justiciable or unmanageable in the legal standards which the English court would be called on to apply in determining whether Ukraine’s duress defence is made out. English courts are well capable of construing treaty obligations and general obligations of states under international law and assessing their application: see the authorities above in this section of the judgment. This is not a case of an absence of “judicial or manageable standards by which to judge” the relevant issues, to use the language of Lord Wilberforce in </w:t>
      </w:r>
      <w:r w:rsidRPr="00000664">
        <w:rPr>
          <w:i/>
          <w:iCs/>
          <w:sz w:val="22"/>
          <w:szCs w:val="22"/>
        </w:rPr>
        <w:t>Buttes Gas</w:t>
      </w:r>
      <w:r w:rsidR="006B3A3A" w:rsidRPr="00000664">
        <w:rPr>
          <w:sz w:val="22"/>
          <w:szCs w:val="22"/>
        </w:rPr>
        <w:t>,</w:t>
      </w:r>
      <w:r w:rsidRPr="00000664">
        <w:rPr>
          <w:i/>
          <w:iCs/>
          <w:sz w:val="22"/>
          <w:szCs w:val="22"/>
        </w:rPr>
        <w:t xml:space="preserve"> </w:t>
      </w:r>
      <w:r w:rsidRPr="00000664">
        <w:rPr>
          <w:sz w:val="22"/>
          <w:szCs w:val="22"/>
        </w:rPr>
        <w:t xml:space="preserve">[1982] AC 888 at 938. Ukraine’s case is based on alleged threats to violate international treaties and obligations. There is no inherent insuperable difficulty in the court considering the evidence in relation to any threats made and assessing whether they were lawful or not according to the standards set out in those treaties and in the general norms of international law containing those obligations. The willingness of an English court to examine the position in international law where that is relevant to some issue in domestic law, even in respect of acts of the highest state policy such as in relation to war or the prosecution of armed conflict, is illustrated by the </w:t>
      </w:r>
      <w:r w:rsidRPr="00000664">
        <w:rPr>
          <w:i/>
          <w:iCs/>
          <w:sz w:val="22"/>
          <w:szCs w:val="22"/>
        </w:rPr>
        <w:t xml:space="preserve">Kuwait Airways, Belhaj </w:t>
      </w:r>
      <w:r w:rsidRPr="00000664">
        <w:rPr>
          <w:sz w:val="22"/>
          <w:szCs w:val="22"/>
        </w:rPr>
        <w:t xml:space="preserve">and </w:t>
      </w:r>
      <w:r w:rsidRPr="00000664">
        <w:rPr>
          <w:i/>
          <w:iCs/>
          <w:sz w:val="22"/>
          <w:szCs w:val="22"/>
        </w:rPr>
        <w:t xml:space="preserve">Serdar Mohammed </w:t>
      </w:r>
      <w:r w:rsidRPr="00000664">
        <w:rPr>
          <w:sz w:val="22"/>
          <w:szCs w:val="22"/>
        </w:rPr>
        <w:t>cases cited above.</w:t>
      </w:r>
    </w:p>
    <w:p w14:paraId="54077237" w14:textId="77777777" w:rsidR="003E09D5" w:rsidRPr="00000664" w:rsidRDefault="008B795D" w:rsidP="003E09D5">
      <w:pPr>
        <w:autoSpaceDE w:val="0"/>
        <w:spacing w:before="240" w:after="240"/>
        <w:ind w:left="2534" w:hanging="720"/>
        <w:jc w:val="both"/>
        <w:rPr>
          <w:sz w:val="22"/>
          <w:szCs w:val="22"/>
        </w:rPr>
      </w:pPr>
      <w:r w:rsidRPr="00000664">
        <w:rPr>
          <w:sz w:val="22"/>
          <w:szCs w:val="22"/>
        </w:rPr>
        <w:t xml:space="preserve">179. </w:t>
      </w:r>
      <w:r w:rsidR="003A5732" w:rsidRPr="00000664">
        <w:rPr>
          <w:sz w:val="22"/>
          <w:szCs w:val="22"/>
        </w:rPr>
        <w:tab/>
      </w:r>
      <w:r w:rsidRPr="00000664">
        <w:rPr>
          <w:sz w:val="22"/>
          <w:szCs w:val="22"/>
        </w:rPr>
        <w:t xml:space="preserve">Fifthly, there is no scope in this case for another aspect of public policy which underlies the third rule of foreign act of state, namely the constitutional concern that in a matter relating to the conduct of the United Kingdom’s foreign affairs the courts should be astute not to usurp or cut across the proper role of the executive government, which has the primary responsibility for carrying on those affairs: see </w:t>
      </w:r>
      <w:r w:rsidRPr="00000664">
        <w:rPr>
          <w:i/>
          <w:iCs/>
          <w:sz w:val="22"/>
          <w:szCs w:val="22"/>
        </w:rPr>
        <w:t xml:space="preserve">Shergill v Khaira </w:t>
      </w:r>
      <w:r w:rsidRPr="00000664">
        <w:rPr>
          <w:sz w:val="22"/>
          <w:szCs w:val="22"/>
        </w:rPr>
        <w:t xml:space="preserve">at [42], set out above; also </w:t>
      </w:r>
      <w:r w:rsidRPr="00000664">
        <w:rPr>
          <w:i/>
          <w:iCs/>
          <w:sz w:val="22"/>
          <w:szCs w:val="22"/>
        </w:rPr>
        <w:t xml:space="preserve">Buttes Gas </w:t>
      </w:r>
      <w:r w:rsidRPr="00000664">
        <w:rPr>
          <w:sz w:val="22"/>
          <w:szCs w:val="22"/>
        </w:rPr>
        <w:t>[1982] AC 888 at 938. In</w:t>
      </w:r>
      <w:r w:rsidR="003A5732" w:rsidRPr="00000664">
        <w:rPr>
          <w:sz w:val="22"/>
          <w:szCs w:val="22"/>
        </w:rPr>
        <w:t xml:space="preserve"> </w:t>
      </w:r>
      <w:r w:rsidRPr="00000664">
        <w:rPr>
          <w:sz w:val="22"/>
          <w:szCs w:val="22"/>
        </w:rPr>
        <w:t xml:space="preserve">the present case, there have been statements by Ministers making clear that the United </w:t>
      </w:r>
      <w:r w:rsidRPr="00000664">
        <w:rPr>
          <w:sz w:val="22"/>
          <w:szCs w:val="22"/>
        </w:rPr>
        <w:lastRenderedPageBreak/>
        <w:t xml:space="preserve">Kingdom regards the activities of Russia in seizing the Crimea and assisting military action by insurgents in Eastern Ukraine against the Ukrainian government as being in clear violation of Russia’s obligations under international law, including in particular its obligations under the norm of </w:t>
      </w:r>
      <w:r w:rsidRPr="00000664">
        <w:rPr>
          <w:i/>
          <w:iCs/>
          <w:sz w:val="22"/>
          <w:szCs w:val="22"/>
        </w:rPr>
        <w:t xml:space="preserve">ius cogens </w:t>
      </w:r>
      <w:r w:rsidRPr="00000664">
        <w:rPr>
          <w:sz w:val="22"/>
          <w:szCs w:val="22"/>
        </w:rPr>
        <w:t>reflected in Article 2(4) of the UN Charter. The United Kingdom also gives effect in its law to EU sanctions imposed in response to such violation. These are matters which reflect in substance the alleged threats by Russia on which Ukraine seeks to rely in these proceedings, and it is not suggested that the United Kingdom government’s attitude could be expected to be any different in relation to those alleged threats. Further, the United Kingdom government is on notice of the present proceedings and has had a full opportunity to intervene to draw to the court’s attention any difficulty which their due resolution by the court might cause in the conduct of the foreign affairs of the United Kingdom. It has not sought to intervene or to suggest that any such difficulties might arise if the court accedes to Ukraine’s submissions.</w:t>
      </w:r>
    </w:p>
    <w:p w14:paraId="3CB584E4" w14:textId="77777777" w:rsidR="008B795D" w:rsidRPr="00000664" w:rsidRDefault="008B795D" w:rsidP="003E09D5">
      <w:pPr>
        <w:autoSpaceDE w:val="0"/>
        <w:spacing w:before="240" w:after="240"/>
        <w:ind w:left="2534" w:hanging="720"/>
        <w:jc w:val="both"/>
        <w:rPr>
          <w:sz w:val="22"/>
          <w:szCs w:val="22"/>
        </w:rPr>
      </w:pPr>
      <w:r w:rsidRPr="00000664">
        <w:rPr>
          <w:sz w:val="22"/>
          <w:szCs w:val="22"/>
        </w:rPr>
        <w:t xml:space="preserve">180. </w:t>
      </w:r>
      <w:r w:rsidR="003E09D5" w:rsidRPr="00000664">
        <w:rPr>
          <w:sz w:val="22"/>
          <w:szCs w:val="22"/>
        </w:rPr>
        <w:tab/>
      </w:r>
      <w:r w:rsidRPr="00000664">
        <w:rPr>
          <w:sz w:val="22"/>
          <w:szCs w:val="22"/>
        </w:rPr>
        <w:t xml:space="preserve">Sixthly, the public policy exception to the third rule is founded upon English public policy and is not restricted to cases of grave infringement of human rights: see </w:t>
      </w:r>
      <w:r w:rsidRPr="00000664">
        <w:rPr>
          <w:i/>
          <w:iCs/>
          <w:sz w:val="22"/>
          <w:szCs w:val="22"/>
        </w:rPr>
        <w:t xml:space="preserve">Belhaj </w:t>
      </w:r>
      <w:r w:rsidRPr="00000664">
        <w:rPr>
          <w:sz w:val="22"/>
          <w:szCs w:val="22"/>
        </w:rPr>
        <w:t xml:space="preserve">at [155], set out above. In our judgment, there is an especially strong public policy in this country that no country should be able to take advantage of its own violation of norms of </w:t>
      </w:r>
      <w:r w:rsidRPr="00000664">
        <w:rPr>
          <w:i/>
          <w:iCs/>
          <w:sz w:val="22"/>
          <w:szCs w:val="22"/>
        </w:rPr>
        <w:t>ius cogens</w:t>
      </w:r>
      <w:r w:rsidRPr="00000664">
        <w:rPr>
          <w:sz w:val="22"/>
          <w:szCs w:val="22"/>
        </w:rPr>
        <w:t xml:space="preserve">. This was adverted to by Lord Neuberger in </w:t>
      </w:r>
      <w:r w:rsidRPr="00000664">
        <w:rPr>
          <w:i/>
          <w:iCs/>
          <w:sz w:val="22"/>
          <w:szCs w:val="22"/>
        </w:rPr>
        <w:t xml:space="preserve">Belhaj </w:t>
      </w:r>
      <w:r w:rsidRPr="00000664">
        <w:rPr>
          <w:sz w:val="22"/>
          <w:szCs w:val="22"/>
        </w:rPr>
        <w:t xml:space="preserve">at [168], set out above, albeit in the context of the particular claims in issue in that case. However, it is significant that Lord Neuberger did not confine his reasoning to the particular norms relevant in that case, but stated the position more widely by reference to the category of </w:t>
      </w:r>
      <w:r w:rsidRPr="00000664">
        <w:rPr>
          <w:i/>
          <w:iCs/>
          <w:sz w:val="22"/>
          <w:szCs w:val="22"/>
        </w:rPr>
        <w:t xml:space="preserve">ius cogens </w:t>
      </w:r>
      <w:r w:rsidRPr="00000664">
        <w:rPr>
          <w:sz w:val="22"/>
          <w:szCs w:val="22"/>
        </w:rPr>
        <w:t xml:space="preserve">itself. In our view, this is because domestic public policy here is informed by public policy inherent in international law when it identifies norms as peremptory norms with the character of </w:t>
      </w:r>
      <w:r w:rsidRPr="00000664">
        <w:rPr>
          <w:i/>
          <w:iCs/>
          <w:sz w:val="22"/>
          <w:szCs w:val="22"/>
        </w:rPr>
        <w:t>ius cogens</w:t>
      </w:r>
      <w:r w:rsidRPr="00000664">
        <w:rPr>
          <w:sz w:val="22"/>
          <w:szCs w:val="22"/>
        </w:rPr>
        <w:t>. Identification of norms as having that character indicates the strong international public policy which exists to ensure that they are respected and given effect. Domestic public policy recognises and gives similar effect to that strong public policy. There is no norm more fundamental to the system of international law and the principle of the rule of law than that set out in Article 2(4) of the UN Charter.</w:t>
      </w:r>
      <w:r w:rsidR="00000664" w:rsidRPr="00000664">
        <w:rPr>
          <w:sz w:val="22"/>
          <w:szCs w:val="22"/>
        </w:rPr>
        <w:t>”</w:t>
      </w:r>
    </w:p>
    <w:p w14:paraId="1AB801A9" w14:textId="77777777" w:rsidR="00A156E5" w:rsidRDefault="002C4AB8" w:rsidP="00A156E5">
      <w:pPr>
        <w:numPr>
          <w:ilvl w:val="1"/>
          <w:numId w:val="2"/>
        </w:numPr>
        <w:autoSpaceDE w:val="0"/>
        <w:spacing w:before="240" w:after="240"/>
        <w:jc w:val="both"/>
        <w:rPr>
          <w:i/>
          <w:iCs/>
        </w:rPr>
      </w:pPr>
      <w:r>
        <w:t xml:space="preserve">The third question </w:t>
      </w:r>
      <w:r w:rsidR="008B07DF">
        <w:t>–</w:t>
      </w:r>
      <w:r>
        <w:t xml:space="preserve"> </w:t>
      </w:r>
      <w:r w:rsidR="008B07DF">
        <w:t>what should happen to the proceedings assuming Rule 3 applied but the public policy except</w:t>
      </w:r>
      <w:r w:rsidR="00C87354">
        <w:t>ion</w:t>
      </w:r>
      <w:r w:rsidR="008B07DF">
        <w:t xml:space="preserve"> did not – did not therefore arise for consideration by the Court of Appeal.</w:t>
      </w:r>
      <w:r w:rsidR="008B07DF">
        <w:rPr>
          <w:rStyle w:val="FootnoteReference"/>
        </w:rPr>
        <w:footnoteReference w:id="263"/>
      </w:r>
      <w:r w:rsidR="008B07DF">
        <w:t xml:space="preserve"> </w:t>
      </w:r>
      <w:r w:rsidR="002E40D8">
        <w:t>The Court of Appeal did, however, briefly consider the point:</w:t>
      </w:r>
      <w:r w:rsidR="00123D79">
        <w:t xml:space="preserve"> I have set out </w:t>
      </w:r>
      <w:r w:rsidR="00A156E5">
        <w:t>the Court of Appeal’s reasoning in paragraph</w:t>
      </w:r>
      <w:r w:rsidR="007B4B2D">
        <w:t xml:space="preserve"> 284(4)</w:t>
      </w:r>
      <w:r w:rsidR="00A156E5">
        <w:t xml:space="preserve"> above.</w:t>
      </w:r>
    </w:p>
    <w:p w14:paraId="20247A47" w14:textId="77777777" w:rsidR="00A72A39" w:rsidRPr="00A72A39" w:rsidRDefault="00A72A39" w:rsidP="00A156E5">
      <w:pPr>
        <w:keepNext/>
        <w:tabs>
          <w:tab w:val="left" w:pos="567"/>
        </w:tabs>
        <w:autoSpaceDE w:val="0"/>
        <w:spacing w:before="240" w:after="240"/>
        <w:jc w:val="both"/>
        <w:rPr>
          <w:i/>
          <w:iCs/>
        </w:rPr>
      </w:pPr>
      <w:r>
        <w:rPr>
          <w:i/>
          <w:iCs/>
        </w:rPr>
        <w:t>(iii)</w:t>
      </w:r>
      <w:r>
        <w:rPr>
          <w:i/>
          <w:iCs/>
        </w:rPr>
        <w:tab/>
        <w:t>Synthesis</w:t>
      </w:r>
    </w:p>
    <w:p w14:paraId="3273AD04" w14:textId="77777777" w:rsidR="00853B4D" w:rsidRDefault="00E73B7D" w:rsidP="00F241F4">
      <w:pPr>
        <w:numPr>
          <w:ilvl w:val="0"/>
          <w:numId w:val="2"/>
        </w:numPr>
        <w:autoSpaceDE w:val="0"/>
        <w:spacing w:before="240" w:after="240"/>
        <w:jc w:val="both"/>
      </w:pPr>
      <w:r>
        <w:t xml:space="preserve">Rule 3 is essentially concerned with </w:t>
      </w:r>
      <w:r w:rsidR="00596BF5">
        <w:t>those cases where, in litigation before the English courts (</w:t>
      </w:r>
      <w:r w:rsidR="00596BF5">
        <w:rPr>
          <w:i/>
          <w:iCs/>
        </w:rPr>
        <w:t xml:space="preserve">i.e. </w:t>
      </w:r>
      <w:r w:rsidR="00596BF5">
        <w:t xml:space="preserve">where there is a </w:t>
      </w:r>
      <w:r w:rsidR="00D63049">
        <w:t>“</w:t>
      </w:r>
      <w:r w:rsidR="00596BF5">
        <w:t>foothold</w:t>
      </w:r>
      <w:r w:rsidR="00D63049">
        <w:t xml:space="preserve">”, that is a claim </w:t>
      </w:r>
      <w:r w:rsidR="00D63049">
        <w:rPr>
          <w:i/>
          <w:iCs/>
        </w:rPr>
        <w:t>prima facie</w:t>
      </w:r>
      <w:r w:rsidR="00D63049">
        <w:t xml:space="preserve"> justiciable in English courts</w:t>
      </w:r>
      <w:r w:rsidR="00D63049">
        <w:rPr>
          <w:rStyle w:val="FootnoteReference"/>
        </w:rPr>
        <w:footnoteReference w:id="264"/>
      </w:r>
      <w:r w:rsidR="00D63049">
        <w:t>)</w:t>
      </w:r>
      <w:r w:rsidR="00A90CCB">
        <w:t>, a</w:t>
      </w:r>
      <w:r w:rsidR="00C65062">
        <w:t xml:space="preserve">n issue arises regarding </w:t>
      </w:r>
      <w:r w:rsidR="00246358">
        <w:t xml:space="preserve">the lawfulness of a state’s conduct that is </w:t>
      </w:r>
      <w:r w:rsidR="00DF1931">
        <w:t xml:space="preserve">inherently non-justiciable. That will typically be because </w:t>
      </w:r>
      <w:r w:rsidR="00877435">
        <w:t xml:space="preserve">the issue is one of public international law, </w:t>
      </w:r>
      <w:r w:rsidR="00877435">
        <w:lastRenderedPageBreak/>
        <w:t xml:space="preserve">i.e. where there is an issue </w:t>
      </w:r>
      <w:r w:rsidR="00C92E22">
        <w:t>involv</w:t>
      </w:r>
      <w:r w:rsidR="005A7D58">
        <w:t>ing entities having personality according to public international law</w:t>
      </w:r>
      <w:r w:rsidR="008859A4">
        <w:t xml:space="preserve">, which issue operates at the </w:t>
      </w:r>
      <w:r w:rsidR="00877435">
        <w:t>plane of international law</w:t>
      </w:r>
      <w:r w:rsidR="008859A4">
        <w:t xml:space="preserve"> rather than municipal law.</w:t>
      </w:r>
      <w:r w:rsidR="000E7033">
        <w:rPr>
          <w:rStyle w:val="FootnoteReference"/>
        </w:rPr>
        <w:footnoteReference w:id="265"/>
      </w:r>
    </w:p>
    <w:p w14:paraId="1AC14746" w14:textId="77777777" w:rsidR="00D503E2" w:rsidRDefault="008859A4" w:rsidP="00D503E2">
      <w:pPr>
        <w:numPr>
          <w:ilvl w:val="0"/>
          <w:numId w:val="2"/>
        </w:numPr>
        <w:autoSpaceDE w:val="0"/>
        <w:spacing w:before="240" w:after="240"/>
        <w:jc w:val="both"/>
      </w:pPr>
      <w:r>
        <w:t xml:space="preserve">It seems to me to follow that issues of </w:t>
      </w:r>
      <w:r w:rsidR="00187C59">
        <w:t xml:space="preserve">private law, even if they involve sovereign states, are </w:t>
      </w:r>
      <w:r w:rsidR="00187C59" w:rsidRPr="00187C59">
        <w:rPr>
          <w:i/>
          <w:iCs/>
        </w:rPr>
        <w:t>prima facie</w:t>
      </w:r>
      <w:r w:rsidR="00187C59">
        <w:t xml:space="preserve"> justiciable. </w:t>
      </w:r>
      <w:r w:rsidR="005A1A4B">
        <w:t>As Lord Sumption made clear, the mere fact that the lawfulness of a sovereign state’s conduct</w:t>
      </w:r>
      <w:r w:rsidR="00E83C92">
        <w:t xml:space="preserve"> is called into play does not </w:t>
      </w:r>
      <w:r w:rsidR="00D503E2">
        <w:t>necessarily engage Rule 3:</w:t>
      </w:r>
      <w:r w:rsidR="00D503E2">
        <w:rPr>
          <w:rStyle w:val="FootnoteReference"/>
        </w:rPr>
        <w:footnoteReference w:id="266"/>
      </w:r>
    </w:p>
    <w:p w14:paraId="03D81396" w14:textId="77777777" w:rsidR="00D503E2" w:rsidRPr="00D503E2" w:rsidRDefault="00D503E2" w:rsidP="00D503E2">
      <w:pPr>
        <w:autoSpaceDE w:val="0"/>
        <w:spacing w:before="240" w:after="240"/>
        <w:ind w:left="567"/>
        <w:jc w:val="both"/>
        <w:rPr>
          <w:sz w:val="22"/>
          <w:szCs w:val="22"/>
        </w:rPr>
      </w:pPr>
      <w:r>
        <w:rPr>
          <w:sz w:val="22"/>
          <w:szCs w:val="22"/>
        </w:rPr>
        <w:t>“</w:t>
      </w:r>
      <w:r w:rsidR="00037923">
        <w:rPr>
          <w:sz w:val="22"/>
          <w:szCs w:val="22"/>
        </w:rPr>
        <w:t xml:space="preserve">The act of state doctrine does not apply…simply by reason of the fact that the subject matter may incidentally disclose </w:t>
      </w:r>
      <w:r w:rsidR="00BF38F9">
        <w:rPr>
          <w:sz w:val="22"/>
          <w:szCs w:val="22"/>
        </w:rPr>
        <w:t xml:space="preserve">that a state has acted unlawfully. It applies only where the invalidity or unlawfulness of the state’s sovereign acts </w:t>
      </w:r>
      <w:r w:rsidR="005F47F2">
        <w:rPr>
          <w:sz w:val="22"/>
          <w:szCs w:val="22"/>
        </w:rPr>
        <w:t>is part of the very subject matter of the action in the sense that the issue cannot be resolved without determining it.</w:t>
      </w:r>
      <w:r w:rsidR="00661A76">
        <w:rPr>
          <w:sz w:val="22"/>
          <w:szCs w:val="22"/>
        </w:rPr>
        <w:t xml:space="preserve"> There is no real difference between the parties on this point, but it is worth emphasising none the less</w:t>
      </w:r>
      <w:r w:rsidR="00884912">
        <w:rPr>
          <w:sz w:val="22"/>
          <w:szCs w:val="22"/>
        </w:rPr>
        <w:t>, for it is of some importance. Some such distinction is essential if the act of state doctrine is not to degenerate into</w:t>
      </w:r>
      <w:r w:rsidR="000B07C6">
        <w:rPr>
          <w:sz w:val="22"/>
          <w:szCs w:val="22"/>
        </w:rPr>
        <w:t xml:space="preserve"> a mere immunity against international embarrassment…”</w:t>
      </w:r>
    </w:p>
    <w:p w14:paraId="13741C17" w14:textId="77777777" w:rsidR="00D503E2" w:rsidRDefault="000B07C6" w:rsidP="00F241F4">
      <w:pPr>
        <w:numPr>
          <w:ilvl w:val="0"/>
          <w:numId w:val="2"/>
        </w:numPr>
        <w:autoSpaceDE w:val="0"/>
        <w:spacing w:before="240" w:after="240"/>
        <w:jc w:val="both"/>
      </w:pPr>
      <w:r>
        <w:t xml:space="preserve">Assuming </w:t>
      </w:r>
      <w:r w:rsidR="00F21E36">
        <w:t>an issue, not arising incidentally, but being necessary for the determination of the very subject of the action</w:t>
      </w:r>
      <w:r w:rsidR="00675A4F">
        <w:t xml:space="preserve">, gives rise to non-justiciable questions, then Rule 3 is engaged. </w:t>
      </w:r>
      <w:r w:rsidR="006535DB">
        <w:t xml:space="preserve">Whether that means the claim cannot be heard at all and the proceedings stayed or whether </w:t>
      </w:r>
      <w:r w:rsidR="006F7E05">
        <w:t>parts of the claim can proceed will depend on all the circumstances.</w:t>
      </w:r>
    </w:p>
    <w:p w14:paraId="6866537A" w14:textId="77777777" w:rsidR="006F7E05" w:rsidRDefault="006F7E05" w:rsidP="00F241F4">
      <w:pPr>
        <w:numPr>
          <w:ilvl w:val="0"/>
          <w:numId w:val="2"/>
        </w:numPr>
        <w:autoSpaceDE w:val="0"/>
        <w:spacing w:before="240" w:after="240"/>
        <w:jc w:val="both"/>
      </w:pPr>
      <w:r>
        <w:t>What is clear, however, is that even if Rule 3 is engaged</w:t>
      </w:r>
      <w:r w:rsidR="00D539EF">
        <w:t>, there is a public policy exception. Quite how this exception works</w:t>
      </w:r>
      <w:r w:rsidR="00A607DF">
        <w:t xml:space="preserve"> is a matter yet to be explored: it may be that the exception involves a balancing exercise, </w:t>
      </w:r>
      <w:r w:rsidR="0096522B">
        <w:t xml:space="preserve">whereby a “strong” engagement of Rule 3 can defeat a “weak” </w:t>
      </w:r>
      <w:r w:rsidR="00306D6D">
        <w:t xml:space="preserve">public policy exception, which is very much what the Court of Appeal’s approach in </w:t>
      </w:r>
      <w:r w:rsidR="00306D6D">
        <w:rPr>
          <w:i/>
          <w:iCs/>
        </w:rPr>
        <w:t>Law Debenture v. Ukraine</w:t>
      </w:r>
      <w:r w:rsidR="00306D6D">
        <w:t xml:space="preserve"> appears to suggest. Or it may be that</w:t>
      </w:r>
      <w:r w:rsidR="00C957FC">
        <w:t>,</w:t>
      </w:r>
      <w:r w:rsidR="00306D6D">
        <w:t xml:space="preserve"> when once Rule 3 is engaged, </w:t>
      </w:r>
      <w:r w:rsidR="00C957FC">
        <w:t xml:space="preserve">the question of </w:t>
      </w:r>
      <w:r w:rsidR="00C957FC" w:rsidRPr="00751778">
        <w:t>non-justiciab</w:t>
      </w:r>
      <w:r w:rsidR="00434AB8" w:rsidRPr="00751778">
        <w:t>i</w:t>
      </w:r>
      <w:r w:rsidR="00C957FC" w:rsidRPr="00751778">
        <w:t>lity is a given</w:t>
      </w:r>
      <w:r w:rsidR="00C957FC">
        <w:t xml:space="preserve"> that can only be off-set by </w:t>
      </w:r>
      <w:r w:rsidR="00583A11">
        <w:t xml:space="preserve">some form of </w:t>
      </w:r>
      <w:r w:rsidR="002C520B">
        <w:t xml:space="preserve">public interest exception which, once established, does not need to be weighed in the balance. </w:t>
      </w:r>
      <w:r w:rsidR="00715108">
        <w:t>There is something to be said for either approach</w:t>
      </w:r>
      <w:r w:rsidR="0069445B">
        <w:t>, but (for the reasons I give below) this is not a matter that arises in the present case</w:t>
      </w:r>
      <w:r w:rsidR="00715108">
        <w:t>.</w:t>
      </w:r>
    </w:p>
    <w:p w14:paraId="389D6735" w14:textId="77777777" w:rsidR="00F348DA" w:rsidRPr="00F348DA" w:rsidRDefault="00F348DA" w:rsidP="00E70BA3">
      <w:pPr>
        <w:keepNext/>
        <w:tabs>
          <w:tab w:val="left" w:pos="567"/>
        </w:tabs>
        <w:autoSpaceDE w:val="0"/>
        <w:spacing w:before="240" w:after="240"/>
        <w:jc w:val="both"/>
        <w:rPr>
          <w:b/>
          <w:bCs/>
        </w:rPr>
      </w:pPr>
      <w:r>
        <w:rPr>
          <w:b/>
          <w:bCs/>
        </w:rPr>
        <w:t>(4)</w:t>
      </w:r>
      <w:r>
        <w:rPr>
          <w:b/>
          <w:bCs/>
        </w:rPr>
        <w:tab/>
        <w:t>Application in the present case</w:t>
      </w:r>
    </w:p>
    <w:p w14:paraId="098D27B6" w14:textId="77777777" w:rsidR="00F348DA" w:rsidRDefault="00380B4C" w:rsidP="00F241F4">
      <w:pPr>
        <w:numPr>
          <w:ilvl w:val="0"/>
          <w:numId w:val="2"/>
        </w:numPr>
        <w:autoSpaceDE w:val="0"/>
        <w:spacing w:before="240" w:after="240"/>
        <w:jc w:val="both"/>
      </w:pPr>
      <w:r>
        <w:t xml:space="preserve">I conclude that, on the facts of the present case, </w:t>
      </w:r>
      <w:r w:rsidR="00DC762C">
        <w:t xml:space="preserve">Rule </w:t>
      </w:r>
      <w:r w:rsidR="00D1380C">
        <w:t xml:space="preserve">3 </w:t>
      </w:r>
      <w:r w:rsidR="00DC762C">
        <w:t xml:space="preserve">is </w:t>
      </w:r>
      <w:r w:rsidR="00DC762C">
        <w:rPr>
          <w:u w:val="single"/>
        </w:rPr>
        <w:t>not</w:t>
      </w:r>
      <w:r w:rsidR="00DC762C">
        <w:t xml:space="preserve"> engaged. </w:t>
      </w:r>
      <w:r w:rsidR="00C33388">
        <w:t>I have reached this conclusion for the following (related and cumulative) reasons:</w:t>
      </w:r>
    </w:p>
    <w:p w14:paraId="0739213A" w14:textId="77777777" w:rsidR="00C33388" w:rsidRDefault="00485FC6" w:rsidP="00C33388">
      <w:pPr>
        <w:numPr>
          <w:ilvl w:val="1"/>
          <w:numId w:val="2"/>
        </w:numPr>
        <w:autoSpaceDE w:val="0"/>
        <w:spacing w:before="240" w:after="240"/>
        <w:jc w:val="both"/>
      </w:pPr>
      <w:r>
        <w:t>The fact that the Second Account was used for the purchase of weapons is</w:t>
      </w:r>
      <w:r w:rsidR="00E70BA3">
        <w:t>, as I have noted,</w:t>
      </w:r>
      <w:r>
        <w:t xml:space="preserve"> </w:t>
      </w:r>
      <w:r w:rsidR="000778CE">
        <w:t>irrelevant.</w:t>
      </w:r>
    </w:p>
    <w:p w14:paraId="35BC52B6" w14:textId="77777777" w:rsidR="000778CE" w:rsidRDefault="000778CE" w:rsidP="00C33388">
      <w:pPr>
        <w:numPr>
          <w:ilvl w:val="1"/>
          <w:numId w:val="2"/>
        </w:numPr>
        <w:autoSpaceDE w:val="0"/>
        <w:spacing w:before="240" w:after="240"/>
        <w:jc w:val="both"/>
      </w:pPr>
      <w:r>
        <w:t xml:space="preserve">The </w:t>
      </w:r>
      <w:r w:rsidR="00887428">
        <w:t xml:space="preserve">issues </w:t>
      </w:r>
      <w:r w:rsidR="00912871">
        <w:t xml:space="preserve">before me </w:t>
      </w:r>
      <w:r w:rsidR="00887428">
        <w:t>are all private law issues</w:t>
      </w:r>
      <w:r w:rsidR="00912871">
        <w:t xml:space="preserve">, concerning the nature of the Transfer and the manner in which the Fund is held. </w:t>
      </w:r>
      <w:r w:rsidR="0063748B">
        <w:t xml:space="preserve">It is not possible to identify an issue that is non-justiciable. There is certainly no issue of public international law </w:t>
      </w:r>
      <w:r w:rsidR="00912871">
        <w:t xml:space="preserve">or state action on the plane of public international law </w:t>
      </w:r>
      <w:r w:rsidR="0063748B">
        <w:t>that falls for determination.</w:t>
      </w:r>
    </w:p>
    <w:p w14:paraId="14BDE324" w14:textId="77777777" w:rsidR="00AC3D51" w:rsidRDefault="00CB658B" w:rsidP="00AC3D51">
      <w:pPr>
        <w:numPr>
          <w:ilvl w:val="1"/>
          <w:numId w:val="2"/>
        </w:numPr>
        <w:autoSpaceDE w:val="0"/>
        <w:spacing w:before="240" w:after="240"/>
        <w:jc w:val="both"/>
      </w:pPr>
      <w:r>
        <w:t xml:space="preserve">Of course, I have found that the motivation for the Transfer was to keep the </w:t>
      </w:r>
      <w:r w:rsidR="00912871">
        <w:t xml:space="preserve">Fund </w:t>
      </w:r>
      <w:r>
        <w:t>away from India</w:t>
      </w:r>
      <w:r w:rsidR="00912871">
        <w:t xml:space="preserve"> – to safeguard it</w:t>
      </w:r>
      <w:r>
        <w:t xml:space="preserve">. </w:t>
      </w:r>
      <w:r w:rsidR="00CB3165" w:rsidRPr="00751778">
        <w:t>That motivation arose</w:t>
      </w:r>
      <w:r w:rsidR="00CB3165">
        <w:t xml:space="preserve"> from the </w:t>
      </w:r>
      <w:r w:rsidR="00006EEE">
        <w:t>Nizam VII’s and Moin’s views as regards India’s intentions toward Hyderabad</w:t>
      </w:r>
      <w:r w:rsidR="009112D4">
        <w:t xml:space="preserve">, including Operation </w:t>
      </w:r>
      <w:r w:rsidR="009112D4">
        <w:lastRenderedPageBreak/>
        <w:t xml:space="preserve">Polo. It is unnecessary for me to decide whether Operation Polo was </w:t>
      </w:r>
      <w:r w:rsidR="002222E9">
        <w:t xml:space="preserve">lawful in international law or not. What matters is the effect India’s conduct had on the states of mind of Nizam VII and </w:t>
      </w:r>
      <w:r w:rsidR="00082932">
        <w:t xml:space="preserve">Moin. As I have found, the perception of Moin, and perhaps that of Nizam VII, was that </w:t>
      </w:r>
      <w:r w:rsidR="00071658">
        <w:t>the Transfer had to be effected in order to safeguard the Fund.</w:t>
      </w:r>
    </w:p>
    <w:p w14:paraId="53BF9972" w14:textId="77777777" w:rsidR="00AC3D51" w:rsidRDefault="0086355A" w:rsidP="00D1380C">
      <w:pPr>
        <w:numPr>
          <w:ilvl w:val="0"/>
          <w:numId w:val="2"/>
        </w:numPr>
        <w:autoSpaceDE w:val="0"/>
        <w:spacing w:before="240" w:after="240"/>
        <w:jc w:val="both"/>
      </w:pPr>
      <w:r>
        <w:t>I</w:t>
      </w:r>
      <w:r w:rsidR="00071658">
        <w:t xml:space="preserve"> conclude that Rule 3 of the Doctrine is not engaged. It is unnecessary for me to </w:t>
      </w:r>
      <w:r>
        <w:t>consider whether</w:t>
      </w:r>
      <w:r w:rsidR="00071658">
        <w:t xml:space="preserve">, had Rule 3 applied, the </w:t>
      </w:r>
      <w:r>
        <w:t>public policy exception</w:t>
      </w:r>
      <w:r w:rsidR="00071658">
        <w:t xml:space="preserve"> to that Rule would have been engaged</w:t>
      </w:r>
      <w:r>
        <w:t>.</w:t>
      </w:r>
    </w:p>
    <w:p w14:paraId="786E7B2F" w14:textId="77777777" w:rsidR="00E83E96" w:rsidRPr="00F24C35" w:rsidRDefault="006D69A0" w:rsidP="00A46D01">
      <w:pPr>
        <w:keepNext/>
        <w:tabs>
          <w:tab w:val="left" w:pos="567"/>
        </w:tabs>
        <w:autoSpaceDE w:val="0"/>
        <w:spacing w:before="240" w:after="240"/>
        <w:jc w:val="both"/>
        <w:rPr>
          <w:b/>
          <w:bCs/>
        </w:rPr>
      </w:pPr>
      <w:r>
        <w:rPr>
          <w:b/>
          <w:bCs/>
        </w:rPr>
        <w:t>L</w:t>
      </w:r>
      <w:r w:rsidR="00F24C35" w:rsidRPr="00F24C35">
        <w:rPr>
          <w:b/>
          <w:bCs/>
        </w:rPr>
        <w:t xml:space="preserve">. </w:t>
      </w:r>
      <w:r w:rsidR="00F24C35" w:rsidRPr="00F24C35">
        <w:rPr>
          <w:b/>
          <w:bCs/>
        </w:rPr>
        <w:tab/>
        <w:t>ILLEGALITY</w:t>
      </w:r>
    </w:p>
    <w:p w14:paraId="4178B2EF" w14:textId="77777777" w:rsidR="005D36EB" w:rsidRPr="005D36EB" w:rsidRDefault="005D36EB" w:rsidP="00A46D01">
      <w:pPr>
        <w:keepNext/>
        <w:tabs>
          <w:tab w:val="left" w:pos="567"/>
        </w:tabs>
        <w:autoSpaceDE w:val="0"/>
        <w:spacing w:before="240" w:after="240"/>
        <w:jc w:val="both"/>
        <w:rPr>
          <w:b/>
          <w:bCs/>
        </w:rPr>
      </w:pPr>
      <w:r>
        <w:rPr>
          <w:b/>
          <w:bCs/>
        </w:rPr>
        <w:t>(1)</w:t>
      </w:r>
      <w:r>
        <w:rPr>
          <w:b/>
          <w:bCs/>
        </w:rPr>
        <w:tab/>
        <w:t>Introduction</w:t>
      </w:r>
    </w:p>
    <w:p w14:paraId="4E755437" w14:textId="77777777" w:rsidR="00853B4D" w:rsidRDefault="00B52A4E" w:rsidP="00853B4D">
      <w:pPr>
        <w:numPr>
          <w:ilvl w:val="0"/>
          <w:numId w:val="2"/>
        </w:numPr>
        <w:autoSpaceDE w:val="0"/>
        <w:spacing w:before="240" w:after="240"/>
        <w:jc w:val="both"/>
      </w:pPr>
      <w:r>
        <w:t xml:space="preserve">Pakistan’s case </w:t>
      </w:r>
      <w:r w:rsidR="0070248A">
        <w:t xml:space="preserve">on illegality turns on an allegation that India’s invasion of Hyderabad </w:t>
      </w:r>
      <w:r w:rsidR="00187222">
        <w:t xml:space="preserve">was an act unlawful under international </w:t>
      </w:r>
      <w:r w:rsidR="00901C7F">
        <w:t xml:space="preserve">and perhaps municipal </w:t>
      </w:r>
      <w:r w:rsidR="00187222">
        <w:t>law. Specifically, it was contended</w:t>
      </w:r>
      <w:r w:rsidR="00507C47">
        <w:t xml:space="preserve"> by Pakistan</w:t>
      </w:r>
      <w:r w:rsidR="00187222">
        <w:t xml:space="preserve"> that </w:t>
      </w:r>
      <w:r w:rsidR="0056697C">
        <w:t>the invasion and annexation of Hyderabad violated the Charter of the United Nations</w:t>
      </w:r>
      <w:r w:rsidR="00F216E8">
        <w:t>, violated the terms of the Indian Independence Act 1947 and breached the Standstill Agreement.</w:t>
      </w:r>
      <w:r w:rsidR="008C71FC">
        <w:rPr>
          <w:rStyle w:val="FootnoteReference"/>
        </w:rPr>
        <w:footnoteReference w:id="267"/>
      </w:r>
    </w:p>
    <w:p w14:paraId="062C9036" w14:textId="77777777" w:rsidR="00831117" w:rsidRDefault="00851F23" w:rsidP="00853B4D">
      <w:pPr>
        <w:numPr>
          <w:ilvl w:val="0"/>
          <w:numId w:val="2"/>
        </w:numPr>
        <w:autoSpaceDE w:val="0"/>
        <w:spacing w:before="240" w:after="240"/>
        <w:jc w:val="both"/>
      </w:pPr>
      <w:r>
        <w:t>Pakistan thus alleged three, very different, kinds of illegality:</w:t>
      </w:r>
    </w:p>
    <w:p w14:paraId="76A50D01" w14:textId="77777777" w:rsidR="00333B9F" w:rsidRDefault="003B7718" w:rsidP="00851F23">
      <w:pPr>
        <w:numPr>
          <w:ilvl w:val="1"/>
          <w:numId w:val="2"/>
        </w:numPr>
        <w:autoSpaceDE w:val="0"/>
        <w:spacing w:before="240" w:after="240"/>
        <w:jc w:val="both"/>
      </w:pPr>
      <w:r>
        <w:t>First, t</w:t>
      </w:r>
      <w:r w:rsidR="007B3E41">
        <w:t xml:space="preserve">hat the </w:t>
      </w:r>
      <w:r w:rsidR="0008660E">
        <w:t xml:space="preserve">terms of the Indian Independence Act 1947 </w:t>
      </w:r>
      <w:r w:rsidR="006149AA">
        <w:t>ha</w:t>
      </w:r>
      <w:r w:rsidR="0093640B">
        <w:t>d</w:t>
      </w:r>
      <w:r w:rsidR="006149AA">
        <w:t xml:space="preserve"> been violated</w:t>
      </w:r>
      <w:r w:rsidR="0093640B">
        <w:t>. This</w:t>
      </w:r>
      <w:r>
        <w:t>, obviously,</w:t>
      </w:r>
      <w:r w:rsidR="0008660E">
        <w:t xml:space="preserve"> involves a</w:t>
      </w:r>
      <w:r w:rsidR="007B3E41">
        <w:t>n allegation that</w:t>
      </w:r>
      <w:r w:rsidR="0008660E">
        <w:t xml:space="preserve"> English law</w:t>
      </w:r>
      <w:r w:rsidR="007B3E41">
        <w:t xml:space="preserve"> has been violated</w:t>
      </w:r>
      <w:r w:rsidR="00333B9F">
        <w:t>.</w:t>
      </w:r>
    </w:p>
    <w:p w14:paraId="34F0D1B4" w14:textId="77777777" w:rsidR="00DD13AD" w:rsidRDefault="003B7718" w:rsidP="00851F23">
      <w:pPr>
        <w:numPr>
          <w:ilvl w:val="1"/>
          <w:numId w:val="2"/>
        </w:numPr>
        <w:autoSpaceDE w:val="0"/>
        <w:spacing w:before="240" w:after="240"/>
        <w:jc w:val="both"/>
      </w:pPr>
      <w:r>
        <w:t>Secondly, t</w:t>
      </w:r>
      <w:r w:rsidR="006149AA">
        <w:t xml:space="preserve">hat the </w:t>
      </w:r>
      <w:r w:rsidR="00333B9F">
        <w:t xml:space="preserve">Standstill Agreement </w:t>
      </w:r>
      <w:r w:rsidR="006149AA">
        <w:t>agreement ha</w:t>
      </w:r>
      <w:r w:rsidR="00085E92">
        <w:t>d</w:t>
      </w:r>
      <w:r w:rsidR="006149AA">
        <w:t xml:space="preserve"> been violated</w:t>
      </w:r>
      <w:r w:rsidR="00085E92">
        <w:t>. This</w:t>
      </w:r>
      <w:r w:rsidR="006149AA">
        <w:t xml:space="preserve"> involves an allegation that a treaty between two sovereign states (as I </w:t>
      </w:r>
      <w:r w:rsidR="007A5135">
        <w:t xml:space="preserve">have found </w:t>
      </w:r>
      <w:r w:rsidR="006149AA">
        <w:t xml:space="preserve">them to be) </w:t>
      </w:r>
      <w:r w:rsidR="00737C15">
        <w:t>– Hyderabad and India – was violated by one of them in 1948 by Operation Polo, if not by the events that preceded Operation Polo.</w:t>
      </w:r>
      <w:r w:rsidR="00085E92">
        <w:t xml:space="preserve"> The United Kingdom is</w:t>
      </w:r>
      <w:r w:rsidR="00BB0936">
        <w:t xml:space="preserve"> neither a party </w:t>
      </w:r>
      <w:r w:rsidR="0074405B">
        <w:t xml:space="preserve">to this treaty </w:t>
      </w:r>
      <w:r w:rsidR="00BB0936">
        <w:t>nor has this treaty been incorporated into English law</w:t>
      </w:r>
      <w:r w:rsidR="00DD13AD">
        <w:t>.</w:t>
      </w:r>
    </w:p>
    <w:p w14:paraId="15A9C76D" w14:textId="77777777" w:rsidR="00DD13AD" w:rsidRDefault="00A55293" w:rsidP="00851F23">
      <w:pPr>
        <w:numPr>
          <w:ilvl w:val="1"/>
          <w:numId w:val="2"/>
        </w:numPr>
        <w:autoSpaceDE w:val="0"/>
        <w:spacing w:before="240" w:after="240"/>
        <w:jc w:val="both"/>
      </w:pPr>
      <w:r>
        <w:t>Third, t</w:t>
      </w:r>
      <w:r w:rsidR="009C51DC">
        <w:t>hat the Charter of the United Nations had been violated. This is</w:t>
      </w:r>
      <w:r>
        <w:t xml:space="preserve"> </w:t>
      </w:r>
      <w:r w:rsidR="009C51DC">
        <w:t>an international treaty to which the United Kingdom is a party</w:t>
      </w:r>
      <w:r w:rsidR="009C5732">
        <w:t xml:space="preserve">. The </w:t>
      </w:r>
      <w:r w:rsidR="005C4995">
        <w:t>treaty has only in part been incorporated into the domestic law of the United Kingdom.</w:t>
      </w:r>
      <w:r w:rsidR="005C4995">
        <w:rPr>
          <w:rStyle w:val="FootnoteReference"/>
        </w:rPr>
        <w:footnoteReference w:id="268"/>
      </w:r>
    </w:p>
    <w:p w14:paraId="2D545CB1" w14:textId="77777777" w:rsidR="00431F9F" w:rsidRDefault="00C11465" w:rsidP="004D2134">
      <w:pPr>
        <w:numPr>
          <w:ilvl w:val="0"/>
          <w:numId w:val="2"/>
        </w:numPr>
        <w:autoSpaceDE w:val="0"/>
        <w:spacing w:before="240" w:after="240"/>
        <w:jc w:val="both"/>
      </w:pPr>
      <w:r>
        <w:t xml:space="preserve">The Princes and India declined to plead a detailed case </w:t>
      </w:r>
      <w:r w:rsidR="00CC2E0C">
        <w:t xml:space="preserve">in response </w:t>
      </w:r>
      <w:r w:rsidR="00E96296">
        <w:t xml:space="preserve">to these allegations of illegality. The Princes contended </w:t>
      </w:r>
      <w:r w:rsidR="00384729">
        <w:t xml:space="preserve">that the </w:t>
      </w:r>
      <w:r w:rsidR="00B93CA5">
        <w:t>plea was irrelevant to their claims, since the only illegality alleged by Pakistan was that of India</w:t>
      </w:r>
      <w:r w:rsidR="008842EB">
        <w:t>, and no illegal conduct was alleged against the Princes</w:t>
      </w:r>
      <w:r w:rsidR="00B93CA5">
        <w:t>.</w:t>
      </w:r>
      <w:r w:rsidR="00B02085">
        <w:rPr>
          <w:rStyle w:val="FootnoteReference"/>
        </w:rPr>
        <w:footnoteReference w:id="269"/>
      </w:r>
      <w:r w:rsidR="004D2134">
        <w:t xml:space="preserve"> </w:t>
      </w:r>
      <w:r w:rsidR="00155C7C">
        <w:t>For her part, India pleaded as follows:</w:t>
      </w:r>
      <w:r w:rsidR="009324B6">
        <w:rPr>
          <w:rStyle w:val="FootnoteReference"/>
        </w:rPr>
        <w:footnoteReference w:id="270"/>
      </w:r>
    </w:p>
    <w:p w14:paraId="1874BFB4" w14:textId="77777777" w:rsidR="00431F9F" w:rsidRPr="004D0C2B" w:rsidRDefault="0065099F" w:rsidP="0065099F">
      <w:pPr>
        <w:pStyle w:val="ListParagraph"/>
        <w:autoSpaceDE w:val="0"/>
        <w:spacing w:before="240" w:after="240"/>
        <w:ind w:left="567"/>
        <w:jc w:val="both"/>
        <w:rPr>
          <w:sz w:val="22"/>
          <w:szCs w:val="22"/>
        </w:rPr>
      </w:pPr>
      <w:r w:rsidRPr="0065099F">
        <w:rPr>
          <w:sz w:val="22"/>
          <w:szCs w:val="22"/>
        </w:rPr>
        <w:lastRenderedPageBreak/>
        <w:t>“India declines to plead to the allegation that [Operation Polo]</w:t>
      </w:r>
      <w:r>
        <w:rPr>
          <w:rStyle w:val="FootnoteReference"/>
          <w:sz w:val="22"/>
          <w:szCs w:val="22"/>
        </w:rPr>
        <w:footnoteReference w:id="271"/>
      </w:r>
      <w:r w:rsidR="00291DC2">
        <w:rPr>
          <w:sz w:val="22"/>
          <w:szCs w:val="22"/>
        </w:rPr>
        <w:t xml:space="preserve"> was “unlawful”, which is ana</w:t>
      </w:r>
      <w:r w:rsidR="00ED7FF9">
        <w:rPr>
          <w:sz w:val="22"/>
          <w:szCs w:val="22"/>
        </w:rPr>
        <w:t xml:space="preserve">lytically irrelevant </w:t>
      </w:r>
      <w:r w:rsidR="00AC0BE8">
        <w:rPr>
          <w:sz w:val="22"/>
          <w:szCs w:val="22"/>
        </w:rPr>
        <w:t xml:space="preserve">and if it were not </w:t>
      </w:r>
      <w:r w:rsidR="00DF09A0">
        <w:rPr>
          <w:sz w:val="22"/>
          <w:szCs w:val="22"/>
        </w:rPr>
        <w:t xml:space="preserve">would in any event be non-justiciable. In circumstances where India claims solely in right of [Nizam VII] </w:t>
      </w:r>
      <w:r w:rsidR="00F12BA2">
        <w:rPr>
          <w:sz w:val="22"/>
          <w:szCs w:val="22"/>
        </w:rPr>
        <w:t xml:space="preserve">(and not, as Pakistan has alleged, by virtue of a compromise </w:t>
      </w:r>
      <w:r w:rsidR="00E43787">
        <w:rPr>
          <w:sz w:val="22"/>
          <w:szCs w:val="22"/>
        </w:rPr>
        <w:t xml:space="preserve">made with the </w:t>
      </w:r>
      <w:r w:rsidR="00F24DF7">
        <w:rPr>
          <w:sz w:val="22"/>
          <w:szCs w:val="22"/>
        </w:rPr>
        <w:t>[Princes]</w:t>
      </w:r>
      <w:r w:rsidR="00E43787">
        <w:rPr>
          <w:sz w:val="22"/>
          <w:szCs w:val="22"/>
        </w:rPr>
        <w:t xml:space="preserve">) and as one of the alleged successors </w:t>
      </w:r>
      <w:r w:rsidR="0069617F">
        <w:rPr>
          <w:sz w:val="22"/>
          <w:szCs w:val="22"/>
        </w:rPr>
        <w:t xml:space="preserve">to the rights of [Nizam VII], the allegations raised in relation to the legality or otherwise </w:t>
      </w:r>
      <w:r w:rsidR="00AD2DB6">
        <w:rPr>
          <w:sz w:val="22"/>
          <w:szCs w:val="22"/>
        </w:rPr>
        <w:t xml:space="preserve">of [Operation Polo] are as irrelevant </w:t>
      </w:r>
      <w:r w:rsidR="00F24DF7">
        <w:rPr>
          <w:sz w:val="22"/>
          <w:szCs w:val="22"/>
        </w:rPr>
        <w:t>to the claim advanced by India as they are to the claims advanced by the [Princes]</w:t>
      </w:r>
      <w:r w:rsidR="0082555D">
        <w:rPr>
          <w:sz w:val="22"/>
          <w:szCs w:val="22"/>
        </w:rPr>
        <w:t xml:space="preserve">. Pakistan has never advanced such allegations in defence to the claims brought by the Princes </w:t>
      </w:r>
      <w:r w:rsidR="00C1178B">
        <w:rPr>
          <w:sz w:val="22"/>
          <w:szCs w:val="22"/>
        </w:rPr>
        <w:t>and would have no basis for doing so</w:t>
      </w:r>
      <w:r w:rsidR="0009341A">
        <w:rPr>
          <w:sz w:val="22"/>
          <w:szCs w:val="22"/>
        </w:rPr>
        <w:t>.</w:t>
      </w:r>
      <w:r w:rsidR="00C1178B">
        <w:rPr>
          <w:sz w:val="22"/>
          <w:szCs w:val="22"/>
        </w:rPr>
        <w:t>”</w:t>
      </w:r>
    </w:p>
    <w:p w14:paraId="51EB2838" w14:textId="77777777" w:rsidR="00383A56" w:rsidRDefault="00383A56" w:rsidP="00431F9F">
      <w:pPr>
        <w:numPr>
          <w:ilvl w:val="0"/>
          <w:numId w:val="2"/>
        </w:numPr>
        <w:autoSpaceDE w:val="0"/>
        <w:spacing w:before="240" w:after="240"/>
        <w:jc w:val="both"/>
      </w:pPr>
      <w:r>
        <w:t>Pakistan’s illegality contention raises a number of questions:</w:t>
      </w:r>
    </w:p>
    <w:p w14:paraId="4572BF4A" w14:textId="77777777" w:rsidR="00383A56" w:rsidRDefault="004D2134" w:rsidP="00383A56">
      <w:pPr>
        <w:numPr>
          <w:ilvl w:val="1"/>
          <w:numId w:val="2"/>
        </w:numPr>
        <w:autoSpaceDE w:val="0"/>
        <w:spacing w:before="240" w:after="240"/>
        <w:jc w:val="both"/>
      </w:pPr>
      <w:r>
        <w:t xml:space="preserve">The first question </w:t>
      </w:r>
      <w:r w:rsidR="001E0AF7">
        <w:t xml:space="preserve">is whether India is indeed correct in her assertion that </w:t>
      </w:r>
      <w:r w:rsidR="009E06A6">
        <w:t xml:space="preserve">the question of illegality is “analytically irrelevant” to </w:t>
      </w:r>
      <w:r w:rsidR="00FD2C3E">
        <w:t>the claim</w:t>
      </w:r>
      <w:r w:rsidR="00383A56">
        <w:t xml:space="preserve"> to the Fund</w:t>
      </w:r>
      <w:r w:rsidR="00FD2C3E">
        <w:t xml:space="preserve"> advanced by India. </w:t>
      </w:r>
    </w:p>
    <w:p w14:paraId="5E2156A4" w14:textId="77777777" w:rsidR="00373A2A" w:rsidRDefault="00AB70F1" w:rsidP="00383A56">
      <w:pPr>
        <w:numPr>
          <w:ilvl w:val="1"/>
          <w:numId w:val="2"/>
        </w:numPr>
        <w:autoSpaceDE w:val="0"/>
        <w:spacing w:before="240" w:after="240"/>
        <w:jc w:val="both"/>
      </w:pPr>
      <w:r>
        <w:t xml:space="preserve">The second question is whether, even if the question </w:t>
      </w:r>
      <w:r w:rsidR="00153856">
        <w:t xml:space="preserve">of illegality </w:t>
      </w:r>
      <w:r w:rsidRPr="00541D65">
        <w:rPr>
          <w:u w:val="single"/>
        </w:rPr>
        <w:t>were</w:t>
      </w:r>
      <w:r>
        <w:t xml:space="preserve"> relevant to India’s claims</w:t>
      </w:r>
      <w:r w:rsidR="00541D65">
        <w:t xml:space="preserve">, whether the </w:t>
      </w:r>
      <w:r w:rsidR="00F048EF">
        <w:t>S</w:t>
      </w:r>
      <w:r w:rsidR="00541D65">
        <w:t xml:space="preserve">ettlement that India has reached with the Princes </w:t>
      </w:r>
      <w:r w:rsidR="00356E54">
        <w:t>means that the Princes</w:t>
      </w:r>
      <w:r w:rsidR="00383A56">
        <w:t>’</w:t>
      </w:r>
      <w:r w:rsidR="00356E54">
        <w:t xml:space="preserve"> </w:t>
      </w:r>
      <w:r w:rsidR="00356E54">
        <w:rPr>
          <w:u w:val="single"/>
        </w:rPr>
        <w:t>own</w:t>
      </w:r>
      <w:r w:rsidR="00356E54">
        <w:t xml:space="preserve"> claims are rendered unenforceable</w:t>
      </w:r>
      <w:r w:rsidR="00E22034">
        <w:t>.</w:t>
      </w:r>
      <w:r w:rsidR="00386753">
        <w:t xml:space="preserve"> Pakistan accepted that, absent the </w:t>
      </w:r>
      <w:r w:rsidR="00F048EF">
        <w:t>S</w:t>
      </w:r>
      <w:r w:rsidR="00386753">
        <w:t xml:space="preserve">ettlement, there could be no question of the Princes’ claims being rendered unenforceable </w:t>
      </w:r>
      <w:r w:rsidR="00373A2A">
        <w:t>by India’s illegality.</w:t>
      </w:r>
    </w:p>
    <w:p w14:paraId="4005CCD6" w14:textId="77777777" w:rsidR="004D2134" w:rsidRDefault="00E22034" w:rsidP="00383A56">
      <w:pPr>
        <w:numPr>
          <w:ilvl w:val="1"/>
          <w:numId w:val="2"/>
        </w:numPr>
        <w:autoSpaceDE w:val="0"/>
        <w:spacing w:before="240" w:after="240"/>
        <w:jc w:val="both"/>
      </w:pPr>
      <w:r>
        <w:t>The third question</w:t>
      </w:r>
      <w:r w:rsidR="007D0825">
        <w:t xml:space="preserve">, which only arises if the first two questions are determined in Pakistan’s favour, is whether </w:t>
      </w:r>
      <w:r w:rsidR="00412D9A">
        <w:t>there has in fact been illegality</w:t>
      </w:r>
      <w:r w:rsidR="00373A2A">
        <w:t xml:space="preserve"> on the part of India</w:t>
      </w:r>
      <w:r w:rsidR="00412D9A">
        <w:t>.</w:t>
      </w:r>
    </w:p>
    <w:p w14:paraId="398FFFDD" w14:textId="77777777" w:rsidR="00373A2A" w:rsidRDefault="00373A2A" w:rsidP="00373A2A">
      <w:pPr>
        <w:autoSpaceDE w:val="0"/>
        <w:spacing w:before="240" w:after="240"/>
        <w:ind w:left="567"/>
        <w:jc w:val="both"/>
      </w:pPr>
      <w:r>
        <w:t>I consider these three questions in turn below.</w:t>
      </w:r>
    </w:p>
    <w:p w14:paraId="64579E1F" w14:textId="77777777" w:rsidR="00FE7971" w:rsidRPr="00FE7971" w:rsidRDefault="00FE7971" w:rsidP="00E32AE4">
      <w:pPr>
        <w:keepNext/>
        <w:tabs>
          <w:tab w:val="left" w:pos="567"/>
        </w:tabs>
        <w:autoSpaceDE w:val="0"/>
        <w:spacing w:before="240" w:after="240"/>
        <w:jc w:val="both"/>
        <w:rPr>
          <w:b/>
          <w:bCs/>
        </w:rPr>
      </w:pPr>
      <w:r>
        <w:rPr>
          <w:b/>
          <w:bCs/>
        </w:rPr>
        <w:t>(2)</w:t>
      </w:r>
      <w:r>
        <w:rPr>
          <w:b/>
          <w:bCs/>
        </w:rPr>
        <w:tab/>
      </w:r>
      <w:r w:rsidR="00762496">
        <w:rPr>
          <w:b/>
          <w:bCs/>
        </w:rPr>
        <w:t>Is illegality “analytically irrelevant”?</w:t>
      </w:r>
    </w:p>
    <w:p w14:paraId="1059E721" w14:textId="77777777" w:rsidR="00B70D57" w:rsidRDefault="00B70D57" w:rsidP="00431F9F">
      <w:pPr>
        <w:numPr>
          <w:ilvl w:val="0"/>
          <w:numId w:val="2"/>
        </w:numPr>
        <w:autoSpaceDE w:val="0"/>
        <w:spacing w:before="240" w:after="240"/>
        <w:jc w:val="both"/>
      </w:pPr>
      <w:r>
        <w:t xml:space="preserve">India’s point is that whereas Operation Polo took place in 1948, India’s interest in the </w:t>
      </w:r>
      <w:r w:rsidR="00256B6A">
        <w:t xml:space="preserve">Fund only arose after </w:t>
      </w:r>
      <w:r w:rsidR="00945774">
        <w:t xml:space="preserve">the </w:t>
      </w:r>
      <w:r w:rsidR="009E7BB2">
        <w:t>1965 Assignment.</w:t>
      </w:r>
      <w:r w:rsidR="009E7BB2">
        <w:rPr>
          <w:rStyle w:val="FootnoteReference"/>
        </w:rPr>
        <w:footnoteReference w:id="272"/>
      </w:r>
      <w:r w:rsidR="004F2F76">
        <w:t xml:space="preserve"> Thus, at the time of the alleged illegality </w:t>
      </w:r>
      <w:r w:rsidR="00A00F47">
        <w:t xml:space="preserve">– which, it must be stressed, was only alleged against India </w:t>
      </w:r>
      <w:r w:rsidR="00BB1655">
        <w:t>–</w:t>
      </w:r>
      <w:r w:rsidR="00A00F47">
        <w:t xml:space="preserve"> </w:t>
      </w:r>
      <w:r w:rsidR="00BB1655">
        <w:t xml:space="preserve">the person entitled to the fund (as I have found) was Nizam VII. </w:t>
      </w:r>
      <w:r w:rsidR="00CE4B68">
        <w:t>India’s point was that it was impossible</w:t>
      </w:r>
      <w:r w:rsidR="00BD7CC6">
        <w:t xml:space="preserve"> for </w:t>
      </w:r>
      <w:r w:rsidR="00C76BAD">
        <w:t xml:space="preserve">the </w:t>
      </w:r>
      <w:r w:rsidR="00BD7CC6">
        <w:t>illegal</w:t>
      </w:r>
      <w:r w:rsidR="00F5635D">
        <w:t>ity</w:t>
      </w:r>
      <w:r w:rsidR="00BD7CC6">
        <w:t xml:space="preserve"> </w:t>
      </w:r>
      <w:r w:rsidR="00C76BAD">
        <w:t xml:space="preserve">alleged by Pakistan </w:t>
      </w:r>
      <w:r w:rsidR="00F5635D">
        <w:t xml:space="preserve">to </w:t>
      </w:r>
      <w:r w:rsidR="00C76BAD">
        <w:t>affect an entitlement arising by virtue of an assignment occurring some 17 years later.</w:t>
      </w:r>
    </w:p>
    <w:p w14:paraId="640484A0" w14:textId="77777777" w:rsidR="00B70D57" w:rsidRDefault="00343740" w:rsidP="00431F9F">
      <w:pPr>
        <w:numPr>
          <w:ilvl w:val="0"/>
          <w:numId w:val="2"/>
        </w:numPr>
        <w:autoSpaceDE w:val="0"/>
        <w:spacing w:before="240" w:after="240"/>
        <w:jc w:val="both"/>
      </w:pPr>
      <w:r>
        <w:t xml:space="preserve">Mr Qureshi, QC had no real answer to this point. </w:t>
      </w:r>
      <w:r w:rsidR="00751032">
        <w:t xml:space="preserve">The closest he came was to suggest that </w:t>
      </w:r>
      <w:r w:rsidR="00674375">
        <w:t>the claims of Nizam VII and India could not really be disentangled. This point was well-expressed in an article cited by Mr Qureshi, QC</w:t>
      </w:r>
      <w:r w:rsidR="0081663B">
        <w:t xml:space="preserve"> by Clyde </w:t>
      </w:r>
      <w:r w:rsidR="006939CD">
        <w:t>Eagleton.</w:t>
      </w:r>
      <w:r w:rsidR="00A5769B">
        <w:rPr>
          <w:rStyle w:val="FootnoteReference"/>
        </w:rPr>
        <w:footnoteReference w:id="273"/>
      </w:r>
      <w:r w:rsidR="006939CD">
        <w:t xml:space="preserve"> Mr Qureshi very properly pointed out that Mr Eagleton </w:t>
      </w:r>
      <w:r w:rsidR="005F3607">
        <w:t xml:space="preserve">was an adviser to </w:t>
      </w:r>
      <w:r w:rsidR="002A6A12">
        <w:t xml:space="preserve">Moin, as the purported representative before the United Nations of </w:t>
      </w:r>
      <w:r w:rsidR="005F3607">
        <w:t xml:space="preserve">Hyderabad, and it is fair to say that </w:t>
      </w:r>
      <w:r w:rsidR="00AB4525">
        <w:t xml:space="preserve">his article puts matters very much from </w:t>
      </w:r>
      <w:r w:rsidR="002A6A12">
        <w:t>that</w:t>
      </w:r>
      <w:r w:rsidR="00AB4525">
        <w:t xml:space="preserve"> perspective, rather than </w:t>
      </w:r>
      <w:r w:rsidR="002A6A12">
        <w:t xml:space="preserve">the perspective of </w:t>
      </w:r>
      <w:r w:rsidR="00AB4525">
        <w:t>India.</w:t>
      </w:r>
      <w:r w:rsidR="00674375">
        <w:t xml:space="preserve"> </w:t>
      </w:r>
      <w:r w:rsidR="00426BA7">
        <w:t>In his article:</w:t>
      </w:r>
    </w:p>
    <w:p w14:paraId="1C60CB57" w14:textId="77777777" w:rsidR="00426BA7" w:rsidRDefault="00426BA7" w:rsidP="00426BA7">
      <w:pPr>
        <w:numPr>
          <w:ilvl w:val="1"/>
          <w:numId w:val="2"/>
        </w:numPr>
        <w:autoSpaceDE w:val="0"/>
        <w:spacing w:before="240" w:after="240"/>
        <w:jc w:val="both"/>
      </w:pPr>
      <w:r>
        <w:lastRenderedPageBreak/>
        <w:t xml:space="preserve">Mr Eagleton points out that </w:t>
      </w:r>
      <w:r w:rsidR="003230D2">
        <w:t xml:space="preserve">the Security Council permitted Moin to continue to represent Hyderabad </w:t>
      </w:r>
      <w:r w:rsidR="003230D2">
        <w:rPr>
          <w:u w:val="single"/>
        </w:rPr>
        <w:t>after</w:t>
      </w:r>
      <w:r w:rsidR="003230D2">
        <w:t xml:space="preserve"> Nizam VII </w:t>
      </w:r>
      <w:r w:rsidR="00534864">
        <w:t xml:space="preserve">had accepted the resignation of his </w:t>
      </w:r>
      <w:r w:rsidR="00096420">
        <w:t>G</w:t>
      </w:r>
      <w:r w:rsidR="00534864">
        <w:t>overnment.</w:t>
      </w:r>
      <w:r w:rsidR="00534864">
        <w:rPr>
          <w:rStyle w:val="FootnoteReference"/>
        </w:rPr>
        <w:footnoteReference w:id="274"/>
      </w:r>
      <w:r w:rsidR="00AD37D7">
        <w:t xml:space="preserve"> Mr Eagleton drew the following conclusion from this:</w:t>
      </w:r>
      <w:r w:rsidR="00AD37D7">
        <w:rPr>
          <w:rStyle w:val="FootnoteReference"/>
        </w:rPr>
        <w:footnoteReference w:id="275"/>
      </w:r>
    </w:p>
    <w:p w14:paraId="48657A95" w14:textId="77777777" w:rsidR="00C86064" w:rsidRDefault="00C86064" w:rsidP="00B019EE">
      <w:pPr>
        <w:autoSpaceDE w:val="0"/>
        <w:spacing w:before="240" w:after="240"/>
        <w:ind w:left="1134"/>
        <w:jc w:val="both"/>
      </w:pPr>
    </w:p>
    <w:p w14:paraId="781C85E2" w14:textId="77777777" w:rsidR="004532CE" w:rsidRPr="004532CE" w:rsidRDefault="004532CE" w:rsidP="004532CE">
      <w:pPr>
        <w:autoSpaceDE w:val="0"/>
        <w:spacing w:before="240" w:after="240"/>
        <w:ind w:left="1134"/>
        <w:jc w:val="both"/>
        <w:rPr>
          <w:sz w:val="22"/>
          <w:szCs w:val="22"/>
        </w:rPr>
      </w:pPr>
      <w:r>
        <w:rPr>
          <w:sz w:val="22"/>
          <w:szCs w:val="22"/>
        </w:rPr>
        <w:t xml:space="preserve">“Such a communication [from Nizam VII rescinding Moin’s credentials at the United Nations] </w:t>
      </w:r>
      <w:r w:rsidR="00A64F86">
        <w:rPr>
          <w:sz w:val="22"/>
          <w:szCs w:val="22"/>
        </w:rPr>
        <w:t xml:space="preserve">would have, in ordinary circumstances, peremptorily ended the participation of the Hyderabad </w:t>
      </w:r>
      <w:r w:rsidR="004F645B">
        <w:rPr>
          <w:sz w:val="22"/>
          <w:szCs w:val="22"/>
        </w:rPr>
        <w:t>delegates;</w:t>
      </w:r>
      <w:r w:rsidR="00DE3C61">
        <w:rPr>
          <w:sz w:val="22"/>
          <w:szCs w:val="22"/>
        </w:rPr>
        <w:t xml:space="preserve"> </w:t>
      </w:r>
      <w:r w:rsidR="001A14AD">
        <w:rPr>
          <w:sz w:val="22"/>
          <w:szCs w:val="22"/>
        </w:rPr>
        <w:t>but, in the circumstances of this case</w:t>
      </w:r>
      <w:r w:rsidR="008354FF">
        <w:rPr>
          <w:sz w:val="22"/>
          <w:szCs w:val="22"/>
        </w:rPr>
        <w:t xml:space="preserve">, acceptance of the Nizam’s message </w:t>
      </w:r>
      <w:r w:rsidR="001E3826">
        <w:rPr>
          <w:sz w:val="22"/>
          <w:szCs w:val="22"/>
        </w:rPr>
        <w:t xml:space="preserve">would have meant acceptance by the Council of the fact of conquest by India and also </w:t>
      </w:r>
      <w:r w:rsidR="007E1602">
        <w:rPr>
          <w:sz w:val="22"/>
          <w:szCs w:val="22"/>
        </w:rPr>
        <w:t>would have assumed that the Nizam was not acting under duress. These assumptions, as we have seen</w:t>
      </w:r>
      <w:r w:rsidR="00981ABD">
        <w:rPr>
          <w:sz w:val="22"/>
          <w:szCs w:val="22"/>
        </w:rPr>
        <w:t xml:space="preserve">, the Security Council was unwilling to make, and the matter was kept upon the agenda [of the Security Council]. </w:t>
      </w:r>
      <w:r w:rsidR="00C61F3C">
        <w:rPr>
          <w:sz w:val="22"/>
          <w:szCs w:val="22"/>
        </w:rPr>
        <w:t xml:space="preserve">This action – retention of the matter on the agenda – can be construed </w:t>
      </w:r>
      <w:r w:rsidR="00D1188D">
        <w:rPr>
          <w:sz w:val="22"/>
          <w:szCs w:val="22"/>
        </w:rPr>
        <w:t>in no other way than to mean that the Security Council is not satisfied as to the legality of the action taken by India.</w:t>
      </w:r>
      <w:r w:rsidR="008A172E">
        <w:rPr>
          <w:sz w:val="22"/>
          <w:szCs w:val="22"/>
        </w:rPr>
        <w:t xml:space="preserve"> If it were satisfied, and willing to accept as legitimate the conquest </w:t>
      </w:r>
      <w:r w:rsidR="00160584">
        <w:rPr>
          <w:sz w:val="22"/>
          <w:szCs w:val="22"/>
        </w:rPr>
        <w:t>and absor</w:t>
      </w:r>
      <w:r w:rsidR="0008112F">
        <w:rPr>
          <w:sz w:val="22"/>
          <w:szCs w:val="22"/>
        </w:rPr>
        <w:t xml:space="preserve">ption by India, it would have to accept the message withdrawing the credentials </w:t>
      </w:r>
      <w:r w:rsidR="00FB77B7">
        <w:rPr>
          <w:sz w:val="22"/>
          <w:szCs w:val="22"/>
        </w:rPr>
        <w:t>of the Hyderabad Delegation</w:t>
      </w:r>
      <w:r w:rsidR="0043000A">
        <w:rPr>
          <w:sz w:val="22"/>
          <w:szCs w:val="22"/>
        </w:rPr>
        <w:t>, whether written by the Nizam or not</w:t>
      </w:r>
      <w:r w:rsidR="00E52F8E">
        <w:rPr>
          <w:sz w:val="22"/>
          <w:szCs w:val="22"/>
        </w:rPr>
        <w:t xml:space="preserve">; but, until it does decide the question one way or the other, the validity of the credentials </w:t>
      </w:r>
      <w:r w:rsidR="000013D3">
        <w:rPr>
          <w:sz w:val="22"/>
          <w:szCs w:val="22"/>
        </w:rPr>
        <w:t>given to the Hyderabad Delegation must be respected.</w:t>
      </w:r>
      <w:r w:rsidR="00FD1A04">
        <w:rPr>
          <w:sz w:val="22"/>
          <w:szCs w:val="22"/>
        </w:rPr>
        <w:t>”</w:t>
      </w:r>
      <w:r w:rsidR="00E52F8E">
        <w:rPr>
          <w:sz w:val="22"/>
          <w:szCs w:val="22"/>
        </w:rPr>
        <w:t xml:space="preserve"> </w:t>
      </w:r>
    </w:p>
    <w:p w14:paraId="7949348C" w14:textId="77777777" w:rsidR="004532CE" w:rsidRDefault="004A22FD" w:rsidP="00426BA7">
      <w:pPr>
        <w:numPr>
          <w:ilvl w:val="1"/>
          <w:numId w:val="2"/>
        </w:numPr>
        <w:autoSpaceDE w:val="0"/>
        <w:spacing w:before="240" w:after="240"/>
        <w:jc w:val="both"/>
      </w:pPr>
      <w:r>
        <w:t xml:space="preserve">Mr Eagleton then noted that, with </w:t>
      </w:r>
      <w:r w:rsidRPr="00751778">
        <w:t>the absor</w:t>
      </w:r>
      <w:r w:rsidR="000B7169" w:rsidRPr="00751778">
        <w:t>p</w:t>
      </w:r>
      <w:r w:rsidR="00DB144E" w:rsidRPr="00751778">
        <w:t>ti</w:t>
      </w:r>
      <w:r w:rsidRPr="00751778">
        <w:t>on of Hyderabad into India,</w:t>
      </w:r>
      <w:r w:rsidR="00253FFA" w:rsidRPr="00751778">
        <w:t xml:space="preserve"> “[p]ractically speaking, the case of Hyderabad is finished. Under the new </w:t>
      </w:r>
      <w:r w:rsidR="00783855" w:rsidRPr="00751778">
        <w:t xml:space="preserve">Indian Constitution Hyderabad has been incorporated into the state of India, and the Nizam submissively participated </w:t>
      </w:r>
      <w:r w:rsidR="00FC087C" w:rsidRPr="00751778">
        <w:t>in the ceremony by which</w:t>
      </w:r>
      <w:r w:rsidR="00FC087C">
        <w:t xml:space="preserve"> it was done. The item remains upon the agenda of the Security Council,</w:t>
      </w:r>
      <w:r w:rsidR="00482079">
        <w:rPr>
          <w:rStyle w:val="FootnoteReference"/>
        </w:rPr>
        <w:footnoteReference w:id="276"/>
      </w:r>
      <w:r w:rsidR="00253FFA">
        <w:t xml:space="preserve"> </w:t>
      </w:r>
      <w:r w:rsidR="00482079">
        <w:t>but there is no indication of interest in that body.</w:t>
      </w:r>
      <w:r w:rsidR="00A7597F">
        <w:t xml:space="preserve"> States could refuse to recognise as legal this change broug</w:t>
      </w:r>
      <w:r w:rsidR="00A7597F" w:rsidRPr="001D2022">
        <w:t>h</w:t>
      </w:r>
      <w:r w:rsidR="00CB0D2E" w:rsidRPr="001D2022">
        <w:t>t</w:t>
      </w:r>
      <w:r w:rsidR="00A7597F">
        <w:t xml:space="preserve"> about by </w:t>
      </w:r>
      <w:r w:rsidR="00E7211B">
        <w:t>the use of force contrary to treaty; the Security Council could still take action</w:t>
      </w:r>
      <w:r w:rsidR="004327B5">
        <w:t xml:space="preserve">, though it would be difficult to undo a </w:t>
      </w:r>
      <w:r w:rsidR="004327B5">
        <w:rPr>
          <w:i/>
          <w:iCs/>
        </w:rPr>
        <w:t>fait accompli</w:t>
      </w:r>
      <w:r w:rsidR="004327B5">
        <w:t xml:space="preserve">. Possibly, a British court will be called upon to give the decision </w:t>
      </w:r>
      <w:r w:rsidR="00B05C04">
        <w:t>which the Security Council failed to render”.</w:t>
      </w:r>
      <w:r w:rsidR="00B05C04">
        <w:rPr>
          <w:rStyle w:val="FootnoteReference"/>
        </w:rPr>
        <w:footnoteReference w:id="277"/>
      </w:r>
    </w:p>
    <w:p w14:paraId="0871CC09" w14:textId="77777777" w:rsidR="00B05C04" w:rsidRDefault="00B05C04" w:rsidP="00426BA7">
      <w:pPr>
        <w:numPr>
          <w:ilvl w:val="1"/>
          <w:numId w:val="2"/>
        </w:numPr>
        <w:autoSpaceDE w:val="0"/>
        <w:spacing w:before="240" w:after="240"/>
        <w:jc w:val="both"/>
      </w:pPr>
      <w:r>
        <w:t>This pa</w:t>
      </w:r>
      <w:r w:rsidR="00E16D3B">
        <w:t>ssage concludes with footnote 70, which states:</w:t>
      </w:r>
      <w:r w:rsidR="00B36C6B">
        <w:rPr>
          <w:rStyle w:val="FootnoteReference"/>
        </w:rPr>
        <w:footnoteReference w:id="278"/>
      </w:r>
    </w:p>
    <w:p w14:paraId="10AD1B69" w14:textId="77777777" w:rsidR="00B36C6B" w:rsidRPr="00B36C6B" w:rsidRDefault="00B36C6B" w:rsidP="00B36C6B">
      <w:pPr>
        <w:autoSpaceDE w:val="0"/>
        <w:spacing w:before="240" w:after="240"/>
        <w:ind w:left="1134"/>
        <w:jc w:val="both"/>
        <w:rPr>
          <w:sz w:val="22"/>
          <w:szCs w:val="22"/>
        </w:rPr>
      </w:pPr>
      <w:r>
        <w:rPr>
          <w:sz w:val="22"/>
          <w:szCs w:val="22"/>
        </w:rPr>
        <w:t>“</w:t>
      </w:r>
      <w:r w:rsidR="00B512BD">
        <w:rPr>
          <w:sz w:val="22"/>
          <w:szCs w:val="22"/>
        </w:rPr>
        <w:t>When [Moin] found that Hyderabad was in danger of being conquered</w:t>
      </w:r>
      <w:r w:rsidR="008C678D">
        <w:rPr>
          <w:sz w:val="22"/>
          <w:szCs w:val="22"/>
        </w:rPr>
        <w:t xml:space="preserve">, he transferred a large part of Hyderabad State money into a special fund in a British </w:t>
      </w:r>
      <w:r w:rsidR="003767CD">
        <w:rPr>
          <w:sz w:val="22"/>
          <w:szCs w:val="22"/>
        </w:rPr>
        <w:t>b</w:t>
      </w:r>
      <w:r w:rsidR="008C678D">
        <w:rPr>
          <w:sz w:val="22"/>
          <w:szCs w:val="22"/>
        </w:rPr>
        <w:t>ank.</w:t>
      </w:r>
      <w:r w:rsidR="00B512BD">
        <w:rPr>
          <w:sz w:val="22"/>
          <w:szCs w:val="22"/>
        </w:rPr>
        <w:t xml:space="preserve"> </w:t>
      </w:r>
      <w:r w:rsidR="003767CD">
        <w:rPr>
          <w:sz w:val="22"/>
          <w:szCs w:val="22"/>
        </w:rPr>
        <w:t xml:space="preserve">This was done in his capacity as Finance </w:t>
      </w:r>
      <w:r w:rsidR="003767CD" w:rsidRPr="00751778">
        <w:rPr>
          <w:sz w:val="22"/>
          <w:szCs w:val="22"/>
        </w:rPr>
        <w:t>Minister and, as a result of his foresight</w:t>
      </w:r>
      <w:r w:rsidR="00AC1402" w:rsidRPr="00751778">
        <w:rPr>
          <w:sz w:val="22"/>
          <w:szCs w:val="22"/>
        </w:rPr>
        <w:t>, India was unable to take over this money. According to new</w:t>
      </w:r>
      <w:r w:rsidR="000B7169" w:rsidRPr="00751778">
        <w:rPr>
          <w:sz w:val="22"/>
          <w:szCs w:val="22"/>
        </w:rPr>
        <w:t>s</w:t>
      </w:r>
      <w:r w:rsidR="00AC1402" w:rsidRPr="00751778">
        <w:rPr>
          <w:sz w:val="22"/>
          <w:szCs w:val="22"/>
        </w:rPr>
        <w:t>paper reports, India has now instituted suit</w:t>
      </w:r>
      <w:r w:rsidR="0092267C" w:rsidRPr="00751778">
        <w:rPr>
          <w:sz w:val="22"/>
          <w:szCs w:val="22"/>
        </w:rPr>
        <w:t xml:space="preserve"> (in the name of the Government of Hyderabad) in a British court </w:t>
      </w:r>
      <w:r w:rsidR="00E6512F" w:rsidRPr="00751778">
        <w:rPr>
          <w:sz w:val="22"/>
          <w:szCs w:val="22"/>
        </w:rPr>
        <w:t>to obtain money. The claim must be based upon the premise that conquest gives title, for title has been acquired in no other way</w:t>
      </w:r>
      <w:r w:rsidR="00BF566B" w:rsidRPr="00751778">
        <w:rPr>
          <w:sz w:val="22"/>
          <w:szCs w:val="22"/>
        </w:rPr>
        <w:t>…In any case, a decision to turn the money</w:t>
      </w:r>
      <w:r w:rsidR="00BF566B">
        <w:rPr>
          <w:sz w:val="22"/>
          <w:szCs w:val="22"/>
        </w:rPr>
        <w:t xml:space="preserve"> over to India would give legal effect </w:t>
      </w:r>
      <w:r w:rsidR="00604FE3">
        <w:rPr>
          <w:sz w:val="22"/>
          <w:szCs w:val="22"/>
        </w:rPr>
        <w:t>to a transfer of title accomplished by the use of force contrary to the Charter of the United Nations.”</w:t>
      </w:r>
    </w:p>
    <w:p w14:paraId="5C015014" w14:textId="77777777" w:rsidR="00AC0972" w:rsidRDefault="009A3D00" w:rsidP="00604FE3">
      <w:pPr>
        <w:numPr>
          <w:ilvl w:val="0"/>
          <w:numId w:val="2"/>
        </w:numPr>
        <w:autoSpaceDE w:val="0"/>
        <w:spacing w:before="240" w:after="240"/>
        <w:jc w:val="both"/>
      </w:pPr>
      <w:r>
        <w:t xml:space="preserve">The point is that the claim by </w:t>
      </w:r>
      <w:r w:rsidR="009F7EE1">
        <w:t xml:space="preserve">Nizam VII and </w:t>
      </w:r>
      <w:r>
        <w:t xml:space="preserve">Hyderabad </w:t>
      </w:r>
      <w:r w:rsidR="009F7EE1">
        <w:t xml:space="preserve">in the 1954 Proceedings </w:t>
      </w:r>
      <w:r w:rsidR="002E3501">
        <w:t xml:space="preserve">was – by virtue of the “conquest” of Hyderabad and the </w:t>
      </w:r>
      <w:r w:rsidR="004A502A">
        <w:t>“</w:t>
      </w:r>
      <w:r w:rsidR="002E3501">
        <w:t>duress</w:t>
      </w:r>
      <w:r w:rsidR="004A502A">
        <w:t>”</w:t>
      </w:r>
      <w:r w:rsidR="002E3501">
        <w:t xml:space="preserve"> over Nizam VII – in effect India’s claim</w:t>
      </w:r>
      <w:r w:rsidR="00DF556F">
        <w:t xml:space="preserve">, and that </w:t>
      </w:r>
      <w:r w:rsidR="007A6A3B">
        <w:t xml:space="preserve">this was </w:t>
      </w:r>
      <w:r w:rsidR="007A6A3B" w:rsidRPr="007A6A3B">
        <w:rPr>
          <w:u w:val="single"/>
        </w:rPr>
        <w:t>not</w:t>
      </w:r>
      <w:r w:rsidR="007A6A3B">
        <w:t xml:space="preserve"> a case where India’s alleged illegality was irrelevant, </w:t>
      </w:r>
      <w:r w:rsidR="007A6A3B">
        <w:lastRenderedPageBreak/>
        <w:t xml:space="preserve">but where it was central </w:t>
      </w:r>
      <w:r w:rsidR="00B42ABB">
        <w:t xml:space="preserve">to the claim in the 1954 Proceedings and so central to the present claims of </w:t>
      </w:r>
      <w:r w:rsidR="00AC0972">
        <w:t>the Princes and India.</w:t>
      </w:r>
      <w:r w:rsidR="006D5F46">
        <w:t xml:space="preserve"> The essence of the point is that</w:t>
      </w:r>
      <w:r w:rsidR="00905DCE">
        <w:t xml:space="preserve"> this was </w:t>
      </w:r>
      <w:r w:rsidR="00905DCE">
        <w:rPr>
          <w:u w:val="single"/>
        </w:rPr>
        <w:t>India’s</w:t>
      </w:r>
      <w:r w:rsidR="00905DCE">
        <w:t xml:space="preserve"> claim “in the name of the Government of Hyderabad”. </w:t>
      </w:r>
      <w:r w:rsidR="008115F4">
        <w:t xml:space="preserve">Mr Eagleton puts the matter tendentiously, because the primary claimant was Nizam VII </w:t>
      </w:r>
      <w:r w:rsidR="008115F4">
        <w:rPr>
          <w:u w:val="single"/>
        </w:rPr>
        <w:t>not</w:t>
      </w:r>
      <w:r w:rsidR="008115F4">
        <w:t xml:space="preserve"> </w:t>
      </w:r>
      <w:r w:rsidR="00124352">
        <w:t>Hyderabad.</w:t>
      </w:r>
    </w:p>
    <w:p w14:paraId="3969ED4D" w14:textId="77777777" w:rsidR="005536F8" w:rsidRDefault="00AC0972" w:rsidP="00604FE3">
      <w:pPr>
        <w:numPr>
          <w:ilvl w:val="0"/>
          <w:numId w:val="2"/>
        </w:numPr>
        <w:autoSpaceDE w:val="0"/>
        <w:spacing w:before="240" w:after="240"/>
        <w:jc w:val="both"/>
      </w:pPr>
      <w:r>
        <w:t xml:space="preserve">Put this way, </w:t>
      </w:r>
      <w:r w:rsidR="005536F8">
        <w:t>one can see how it might be said that</w:t>
      </w:r>
      <w:r w:rsidR="005536F8" w:rsidRPr="005536F8">
        <w:t xml:space="preserve"> </w:t>
      </w:r>
      <w:r w:rsidR="005536F8">
        <w:t>the claims of Nizam VII and India could not really be disentangled</w:t>
      </w:r>
      <w:r w:rsidR="005279D7">
        <w:t xml:space="preserve"> and that India’s interest in the Fund arose independently of </w:t>
      </w:r>
      <w:r w:rsidR="00124352">
        <w:t xml:space="preserve">and prior to </w:t>
      </w:r>
      <w:r w:rsidR="005279D7">
        <w:t xml:space="preserve">the 1965 Assignment. </w:t>
      </w:r>
      <w:r w:rsidR="00C4689B">
        <w:t>Nevertheless, I consider this argument to be misconceived:</w:t>
      </w:r>
    </w:p>
    <w:p w14:paraId="2FC17B3D" w14:textId="77777777" w:rsidR="00E66A44" w:rsidRDefault="007E5694" w:rsidP="00FD7815">
      <w:pPr>
        <w:numPr>
          <w:ilvl w:val="1"/>
          <w:numId w:val="2"/>
        </w:numPr>
        <w:autoSpaceDE w:val="0"/>
        <w:spacing w:before="240" w:after="240"/>
        <w:jc w:val="both"/>
      </w:pPr>
      <w:r>
        <w:t xml:space="preserve">Even accepting that Mr Eagleton was </w:t>
      </w:r>
      <w:r w:rsidR="00D22D8B">
        <w:t>properly putting the position in public international law,</w:t>
      </w:r>
      <w:r w:rsidR="00D22D8B">
        <w:rPr>
          <w:rStyle w:val="FootnoteReference"/>
        </w:rPr>
        <w:footnoteReference w:id="279"/>
      </w:r>
      <w:r w:rsidR="00B42ABB">
        <w:t xml:space="preserve"> </w:t>
      </w:r>
      <w:r w:rsidR="001A1AFB">
        <w:t>the</w:t>
      </w:r>
      <w:r w:rsidR="00B67694">
        <w:t xml:space="preserve"> question of Hyderabad’s accession to India is </w:t>
      </w:r>
      <w:r w:rsidR="00E87A0F">
        <w:t xml:space="preserve">a “fact of state” being considered before an </w:t>
      </w:r>
      <w:r w:rsidR="001A1AFB">
        <w:t>English court</w:t>
      </w:r>
      <w:r w:rsidR="00E87A0F">
        <w:t xml:space="preserve"> which I have already determined</w:t>
      </w:r>
      <w:r w:rsidR="001A1AFB">
        <w:t xml:space="preserve">. </w:t>
      </w:r>
      <w:r w:rsidR="004E349C">
        <w:t xml:space="preserve">I have found that </w:t>
      </w:r>
      <w:r w:rsidR="00B41203">
        <w:t xml:space="preserve">prior to </w:t>
      </w:r>
      <w:r w:rsidR="00935A40">
        <w:t>her</w:t>
      </w:r>
      <w:r w:rsidR="00B41203">
        <w:t xml:space="preserve"> accession to India, Hyderabad was a sovereign state</w:t>
      </w:r>
      <w:r w:rsidR="000230AD">
        <w:t xml:space="preserve"> and that the accession of Hyderabad to India is </w:t>
      </w:r>
      <w:r w:rsidR="00123417">
        <w:t xml:space="preserve">a matter that has been recognised by the </w:t>
      </w:r>
      <w:r w:rsidR="00935A40">
        <w:t>G</w:t>
      </w:r>
      <w:r w:rsidR="00123417">
        <w:t>overnment of the United Kingdom.</w:t>
      </w:r>
      <w:r w:rsidR="00FD7815">
        <w:t xml:space="preserve"> </w:t>
      </w:r>
      <w:r w:rsidR="00DC4A1A">
        <w:t xml:space="preserve">In these circumstances, </w:t>
      </w:r>
      <w:r w:rsidR="00FD7815">
        <w:t xml:space="preserve">it is not open to me to question </w:t>
      </w:r>
      <w:r w:rsidR="000B0DF8">
        <w:t xml:space="preserve">the accession of Hyderabad to India. Even if it was clear that </w:t>
      </w:r>
      <w:r w:rsidR="009A7C21">
        <w:t>India was the direct or indirect beneficiary of the 1954 Proceedings</w:t>
      </w:r>
      <w:r w:rsidR="001237A6">
        <w:t xml:space="preserve"> (e.g. by virtue of the </w:t>
      </w:r>
      <w:r w:rsidR="00AF2989">
        <w:t>position of Hyderabad as a claimant in those proceedings)</w:t>
      </w:r>
      <w:r w:rsidR="009A7C21">
        <w:t xml:space="preserve">, it would not be open to me to conclude that </w:t>
      </w:r>
      <w:r w:rsidR="001237A6">
        <w:t>this was giving legal effect to a transfer of title accomplished by the use of force.</w:t>
      </w:r>
    </w:p>
    <w:p w14:paraId="2CA1ABF4" w14:textId="77777777" w:rsidR="00AF2989" w:rsidRDefault="00AF2989" w:rsidP="00FD7815">
      <w:pPr>
        <w:numPr>
          <w:ilvl w:val="1"/>
          <w:numId w:val="2"/>
        </w:numPr>
        <w:autoSpaceDE w:val="0"/>
        <w:spacing w:before="240" w:after="240"/>
        <w:jc w:val="both"/>
      </w:pPr>
      <w:r>
        <w:t xml:space="preserve">But India was not the direct or indirect beneficiary of the 1954 Proceedings. </w:t>
      </w:r>
      <w:r w:rsidR="0049149C">
        <w:t xml:space="preserve">It is quite clear that the primary claimant was Nizam VII in his own right. </w:t>
      </w:r>
      <w:r w:rsidR="0060048A">
        <w:t xml:space="preserve">Hyderabad was joined as a claimant to </w:t>
      </w:r>
      <w:r w:rsidR="00FB3AEC">
        <w:t xml:space="preserve">deal with the potential </w:t>
      </w:r>
      <w:r w:rsidR="0060048A">
        <w:t xml:space="preserve">argument that the Nizam was not the proper claimant, following </w:t>
      </w:r>
      <w:r w:rsidR="00384D89">
        <w:t>Hyderabad’s accession to the Indian Union</w:t>
      </w:r>
      <w:r w:rsidR="00FB3AEC">
        <w:t xml:space="preserve">. It is clear that Nizam VII was the primary claimant because – when Hyderabad itself </w:t>
      </w:r>
      <w:r w:rsidR="00F9066C">
        <w:t xml:space="preserve">was about to </w:t>
      </w:r>
      <w:r w:rsidR="00FB3AEC">
        <w:t xml:space="preserve">cease to be a state within the Indian Union – </w:t>
      </w:r>
      <w:r w:rsidR="00470099">
        <w:t>a precautionary assignment was taken by Nizam VII from Hyderabad to ensure that the claim to the Fund did not vanish in a legal “black hole”</w:t>
      </w:r>
      <w:r w:rsidR="002A0B21">
        <w:t xml:space="preserve"> and that no challenge could be made to Nizam VII’s title to sue. It is thus clear that the person interested as claimant in the 1954 Proceedings was </w:t>
      </w:r>
      <w:r w:rsidR="002A0B21">
        <w:rPr>
          <w:u w:val="single"/>
        </w:rPr>
        <w:t>not</w:t>
      </w:r>
      <w:r w:rsidR="002A0B21">
        <w:t xml:space="preserve"> India by virtue of her “conquest” of Hyderabad,</w:t>
      </w:r>
      <w:r w:rsidR="002A0B21">
        <w:rPr>
          <w:rStyle w:val="FootnoteReference"/>
        </w:rPr>
        <w:footnoteReference w:id="280"/>
      </w:r>
      <w:r w:rsidR="002A0B21">
        <w:t xml:space="preserve"> but Nizam VII in his personal capacity. </w:t>
      </w:r>
    </w:p>
    <w:p w14:paraId="514E6C7B" w14:textId="77777777" w:rsidR="00F20A91" w:rsidRDefault="00F20A91" w:rsidP="00FD7815">
      <w:pPr>
        <w:numPr>
          <w:ilvl w:val="1"/>
          <w:numId w:val="2"/>
        </w:numPr>
        <w:autoSpaceDE w:val="0"/>
        <w:spacing w:before="240" w:after="240"/>
        <w:jc w:val="both"/>
      </w:pPr>
      <w:r>
        <w:t>It follows from this, that any question of “duress” of Nizam VII is something of a red herring.</w:t>
      </w:r>
      <w:r w:rsidR="00BC33C1">
        <w:t xml:space="preserve"> The claim of Nizam VII to have the Fund restored to him was not </w:t>
      </w:r>
      <w:r w:rsidR="00D03971">
        <w:t>in order to benefit Hyderabad as a state in the Indian Union nor even India herself, but simply to ensure that the Nizam’s personal fortune – which he had sought to put out of India’s grasp</w:t>
      </w:r>
      <w:r w:rsidR="002E7116">
        <w:t xml:space="preserve"> in 1948</w:t>
      </w:r>
      <w:r w:rsidR="00D03971">
        <w:t xml:space="preserve"> – was restored to him. </w:t>
      </w:r>
    </w:p>
    <w:p w14:paraId="48A49768" w14:textId="77777777" w:rsidR="00BC6FE1" w:rsidRDefault="00BC6FE1" w:rsidP="00431F9F">
      <w:pPr>
        <w:numPr>
          <w:ilvl w:val="0"/>
          <w:numId w:val="2"/>
        </w:numPr>
        <w:autoSpaceDE w:val="0"/>
        <w:spacing w:before="240" w:after="240"/>
        <w:jc w:val="both"/>
      </w:pPr>
      <w:r>
        <w:t>I conclude, therefore, that India’s primary submission</w:t>
      </w:r>
      <w:r w:rsidR="007B5620">
        <w:t xml:space="preserve"> is well-founded, and that even if there were illegality of the nature alleged by Pakistan, that illegality is irrelevant to the present claim.</w:t>
      </w:r>
      <w:r w:rsidR="00765D5A">
        <w:t xml:space="preserve"> The </w:t>
      </w:r>
      <w:r w:rsidR="00BB576A">
        <w:t xml:space="preserve">claim to the </w:t>
      </w:r>
      <w:r w:rsidR="005025C3">
        <w:t>F</w:t>
      </w:r>
      <w:r w:rsidR="00BB576A">
        <w:t>und was originally Nizam VII’s claim: that claim has passed to the Princes and/or to India</w:t>
      </w:r>
      <w:r w:rsidR="00D3386C">
        <w:t xml:space="preserve"> by virtue of the 1963 Settlement, the 1965 </w:t>
      </w:r>
      <w:r w:rsidR="00D3386C">
        <w:lastRenderedPageBreak/>
        <w:t xml:space="preserve">Appointment and the 1965 Assignment. </w:t>
      </w:r>
      <w:r w:rsidR="00E85CD5">
        <w:t xml:space="preserve">Because of the </w:t>
      </w:r>
      <w:r w:rsidR="00F048EF">
        <w:t>S</w:t>
      </w:r>
      <w:r w:rsidR="00E85CD5">
        <w:t>ettlement between the Princes and India, it has been unnecessary for me to decide who is properly the Nizam’s successor in title</w:t>
      </w:r>
      <w:r w:rsidR="00062459">
        <w:t xml:space="preserve">. The </w:t>
      </w:r>
      <w:r w:rsidR="001A348C">
        <w:t>Settlement</w:t>
      </w:r>
      <w:r w:rsidR="00062459">
        <w:t xml:space="preserve"> has rendered that issue academic.</w:t>
      </w:r>
    </w:p>
    <w:p w14:paraId="6D5139C2" w14:textId="77777777" w:rsidR="00D30F39" w:rsidRPr="00D30F39" w:rsidRDefault="00D30F39" w:rsidP="0079136A">
      <w:pPr>
        <w:keepNext/>
        <w:tabs>
          <w:tab w:val="left" w:pos="567"/>
        </w:tabs>
        <w:autoSpaceDE w:val="0"/>
        <w:spacing w:before="240" w:after="240"/>
        <w:jc w:val="both"/>
        <w:rPr>
          <w:b/>
          <w:bCs/>
        </w:rPr>
      </w:pPr>
      <w:r>
        <w:rPr>
          <w:b/>
          <w:bCs/>
        </w:rPr>
        <w:t>(3)</w:t>
      </w:r>
      <w:r>
        <w:rPr>
          <w:b/>
          <w:bCs/>
        </w:rPr>
        <w:tab/>
        <w:t xml:space="preserve">The significance of the </w:t>
      </w:r>
      <w:r w:rsidR="001A348C">
        <w:rPr>
          <w:b/>
          <w:bCs/>
        </w:rPr>
        <w:t>S</w:t>
      </w:r>
      <w:r>
        <w:rPr>
          <w:b/>
          <w:bCs/>
        </w:rPr>
        <w:t>ettlement</w:t>
      </w:r>
    </w:p>
    <w:p w14:paraId="6021C488" w14:textId="77777777" w:rsidR="00DE1BF5" w:rsidRDefault="00DE1BF5" w:rsidP="00431F9F">
      <w:pPr>
        <w:numPr>
          <w:ilvl w:val="0"/>
          <w:numId w:val="2"/>
        </w:numPr>
        <w:autoSpaceDE w:val="0"/>
        <w:spacing w:before="240" w:after="240"/>
        <w:jc w:val="both"/>
      </w:pPr>
      <w:r>
        <w:t xml:space="preserve">It is clear that </w:t>
      </w:r>
      <w:r w:rsidR="002A5944">
        <w:t xml:space="preserve">Pakistan’s illegality argument could only operate as against India. </w:t>
      </w:r>
      <w:r w:rsidR="00827F74">
        <w:t>It could not – as Pakistan accepted – serve to defeat the Princes’ claims.</w:t>
      </w:r>
      <w:r w:rsidR="00CB2E6D">
        <w:t xml:space="preserve"> </w:t>
      </w:r>
      <w:r w:rsidR="00351136">
        <w:t xml:space="preserve">Pakistan contended that if India’s claim was </w:t>
      </w:r>
      <w:r w:rsidR="00E8601C">
        <w:t>tainted by illegality (contrary to my finding</w:t>
      </w:r>
      <w:r w:rsidR="00E22BC2">
        <w:t xml:space="preserve"> above</w:t>
      </w:r>
      <w:r w:rsidR="00E8601C">
        <w:t>)</w:t>
      </w:r>
      <w:r w:rsidR="00621822">
        <w:t xml:space="preserve">, then </w:t>
      </w:r>
      <w:r w:rsidR="004E5BDF">
        <w:t xml:space="preserve">– because of the </w:t>
      </w:r>
      <w:r w:rsidR="00074BF2">
        <w:t>S</w:t>
      </w:r>
      <w:r w:rsidR="004E5BDF">
        <w:t xml:space="preserve">ettlement </w:t>
      </w:r>
      <w:r w:rsidR="000C4428">
        <w:t>that had been reached between the Princes and India</w:t>
      </w:r>
      <w:r w:rsidR="000C4428">
        <w:rPr>
          <w:rStyle w:val="FootnoteReference"/>
        </w:rPr>
        <w:footnoteReference w:id="281"/>
      </w:r>
      <w:r w:rsidR="000C4428">
        <w:t xml:space="preserve"> – this </w:t>
      </w:r>
      <w:r w:rsidR="004E5BDF">
        <w:t>illegality served to defeat not only India’s claim, but also</w:t>
      </w:r>
      <w:r w:rsidR="00554005">
        <w:t xml:space="preserve"> that of the Princes. In short, </w:t>
      </w:r>
      <w:r w:rsidR="00B70FB2">
        <w:t xml:space="preserve">because the Princes had effected a compromise with a party whose claim was tainted by illegality, </w:t>
      </w:r>
      <w:r w:rsidR="00684DA6">
        <w:t xml:space="preserve">the Princes’ own claims – which were otherwise good and entirely </w:t>
      </w:r>
      <w:r w:rsidR="00684DA6">
        <w:rPr>
          <w:u w:val="single"/>
        </w:rPr>
        <w:t>un</w:t>
      </w:r>
      <w:r w:rsidR="00684DA6">
        <w:t xml:space="preserve">tainted by illegality </w:t>
      </w:r>
      <w:r w:rsidR="00384ACE">
        <w:t>–</w:t>
      </w:r>
      <w:r w:rsidR="00684DA6">
        <w:t xml:space="preserve"> </w:t>
      </w:r>
      <w:r w:rsidR="00384ACE">
        <w:t>would themselves fail.</w:t>
      </w:r>
    </w:p>
    <w:p w14:paraId="0A7D7565" w14:textId="77777777" w:rsidR="0003173F" w:rsidRDefault="000341A9" w:rsidP="00431F9F">
      <w:pPr>
        <w:numPr>
          <w:ilvl w:val="0"/>
          <w:numId w:val="2"/>
        </w:numPr>
        <w:autoSpaceDE w:val="0"/>
        <w:spacing w:before="240" w:after="240"/>
        <w:jc w:val="both"/>
      </w:pPr>
      <w:r>
        <w:t xml:space="preserve">It is difficult to see how </w:t>
      </w:r>
      <w:r w:rsidR="00813037">
        <w:t xml:space="preserve">this argument can possibly be correct. Essentially, it means that </w:t>
      </w:r>
      <w:r w:rsidR="00A53D04">
        <w:t>any person reaching a settlement with another person, whose claim is potentially tainted by illegality</w:t>
      </w:r>
      <w:r w:rsidR="00E60DF7">
        <w:t>, would be ill-advised to reach any settlement</w:t>
      </w:r>
      <w:r w:rsidR="00E5786E">
        <w:t xml:space="preserve"> with such a person</w:t>
      </w:r>
      <w:r w:rsidR="00E60DF7">
        <w:t xml:space="preserve">, because the illegality would </w:t>
      </w:r>
      <w:r w:rsidR="009A75BB">
        <w:t xml:space="preserve">infect </w:t>
      </w:r>
      <w:r w:rsidR="004C0B74">
        <w:t>an otherwise lawful claim</w:t>
      </w:r>
      <w:r w:rsidR="00E60DF7">
        <w:t>.</w:t>
      </w:r>
      <w:r w:rsidR="00BC3FFC">
        <w:t xml:space="preserve"> In this case, the effect of the settlement would </w:t>
      </w:r>
      <w:r w:rsidR="0046226D">
        <w:t xml:space="preserve">– according to Pakistan – at one and the same time have the effect of depriving the Princes of their claims, whilst </w:t>
      </w:r>
      <w:r w:rsidR="00992FD5">
        <w:t>permitting Pakistan to claim the Fund which I have found does not beneficially belong to her.</w:t>
      </w:r>
    </w:p>
    <w:p w14:paraId="0A0D4AF5" w14:textId="77777777" w:rsidR="00DE1BF5" w:rsidRDefault="00F0585C" w:rsidP="00431F9F">
      <w:pPr>
        <w:numPr>
          <w:ilvl w:val="0"/>
          <w:numId w:val="2"/>
        </w:numPr>
        <w:autoSpaceDE w:val="0"/>
        <w:spacing w:before="240" w:after="240"/>
        <w:jc w:val="both"/>
      </w:pPr>
      <w:r>
        <w:t>Assuming</w:t>
      </w:r>
      <w:r w:rsidR="008021B9">
        <w:t xml:space="preserve"> – contrary to my conclusion – that India’s claim </w:t>
      </w:r>
      <w:r w:rsidR="008021B9">
        <w:rPr>
          <w:u w:val="single"/>
        </w:rPr>
        <w:t>was</w:t>
      </w:r>
      <w:r w:rsidR="008021B9">
        <w:t xml:space="preserve"> tainted by illegality, so as to preclude India from claiming the </w:t>
      </w:r>
      <w:r w:rsidR="00BA5C2F">
        <w:t>F</w:t>
      </w:r>
      <w:r w:rsidR="008021B9">
        <w:t>und</w:t>
      </w:r>
      <w:r w:rsidR="000F54BF">
        <w:t xml:space="preserve">, I find that </w:t>
      </w:r>
      <w:r w:rsidR="001B1D7A">
        <w:t xml:space="preserve">the </w:t>
      </w:r>
      <w:r w:rsidR="00816720">
        <w:t xml:space="preserve">taint affecting India’s claim would </w:t>
      </w:r>
      <w:r w:rsidR="00CB0D2E" w:rsidRPr="001D2022">
        <w:t>be</w:t>
      </w:r>
      <w:r w:rsidR="00CB0D2E">
        <w:t xml:space="preserve"> </w:t>
      </w:r>
      <w:r w:rsidR="00816720">
        <w:t xml:space="preserve">insufficient to prevent </w:t>
      </w:r>
      <w:r w:rsidR="00EB1972">
        <w:t>the payment of the Fund to the Princes and/or India for th</w:t>
      </w:r>
      <w:r w:rsidR="007E5928">
        <w:t xml:space="preserve">e receiving party </w:t>
      </w:r>
      <w:r w:rsidR="0043617C">
        <w:t xml:space="preserve">then </w:t>
      </w:r>
      <w:r w:rsidR="00EB1972">
        <w:t xml:space="preserve">to distribute amongst </w:t>
      </w:r>
      <w:r w:rsidR="007E5928">
        <w:t xml:space="preserve">the other parties </w:t>
      </w:r>
      <w:r w:rsidR="00450B03">
        <w:t xml:space="preserve">in accordance with the </w:t>
      </w:r>
      <w:r w:rsidR="006849A7">
        <w:t>S</w:t>
      </w:r>
      <w:r w:rsidR="00450B03">
        <w:t>ettlement reached by them. I have reached this conclusion for the following reasons:</w:t>
      </w:r>
    </w:p>
    <w:p w14:paraId="3B015360" w14:textId="77777777" w:rsidR="00450B03" w:rsidRDefault="0024159B" w:rsidP="00450B03">
      <w:pPr>
        <w:numPr>
          <w:ilvl w:val="1"/>
          <w:numId w:val="2"/>
        </w:numPr>
        <w:autoSpaceDE w:val="0"/>
        <w:spacing w:before="240" w:after="240"/>
        <w:jc w:val="both"/>
      </w:pPr>
      <w:r>
        <w:t>As I have described,</w:t>
      </w:r>
      <w:r w:rsidR="00775F6B">
        <w:rPr>
          <w:rStyle w:val="FootnoteReference"/>
        </w:rPr>
        <w:footnoteReference w:id="282"/>
      </w:r>
      <w:r>
        <w:t xml:space="preserve"> </w:t>
      </w:r>
      <w:r w:rsidR="00775F6B">
        <w:t>the claims to the Fund operate a</w:t>
      </w:r>
      <w:r w:rsidR="00773097">
        <w:t>t</w:t>
      </w:r>
      <w:r w:rsidR="00775F6B">
        <w:t xml:space="preserve"> two levels: </w:t>
      </w:r>
      <w:r w:rsidR="00EB6FA6">
        <w:t xml:space="preserve">Stage 1 being the </w:t>
      </w:r>
      <w:r w:rsidR="008B0C5D">
        <w:t>question as to whether the Transfer caused the Fund to be transferred beneficially to Pakistan</w:t>
      </w:r>
      <w:r w:rsidR="007248B8">
        <w:t xml:space="preserve"> or whether the Fund was transferred on trust for Nizam VII</w:t>
      </w:r>
      <w:r w:rsidR="00EF7DFE">
        <w:t>;</w:t>
      </w:r>
      <w:r w:rsidR="00043426">
        <w:t xml:space="preserve"> and Stage 2 dealing with the contingent claims of the Princes and India to the Fund </w:t>
      </w:r>
      <w:r w:rsidR="00043426">
        <w:rPr>
          <w:u w:val="single"/>
        </w:rPr>
        <w:t>assuming</w:t>
      </w:r>
      <w:r w:rsidR="00043426">
        <w:t xml:space="preserve"> </w:t>
      </w:r>
      <w:r w:rsidR="00773097">
        <w:t>Pakistan los</w:t>
      </w:r>
      <w:r w:rsidR="003462B2">
        <w:t>t</w:t>
      </w:r>
      <w:r w:rsidR="00773097">
        <w:t xml:space="preserve"> at Stage 1.</w:t>
      </w:r>
    </w:p>
    <w:p w14:paraId="3CE85075" w14:textId="77777777" w:rsidR="00C17033" w:rsidRDefault="00D819C4" w:rsidP="00450B03">
      <w:pPr>
        <w:numPr>
          <w:ilvl w:val="1"/>
          <w:numId w:val="2"/>
        </w:numPr>
        <w:autoSpaceDE w:val="0"/>
        <w:spacing w:before="240" w:after="240"/>
        <w:jc w:val="both"/>
      </w:pPr>
      <w:r>
        <w:t>These Stages involve very different questions</w:t>
      </w:r>
      <w:r w:rsidR="00BB424F">
        <w:t xml:space="preserve">. Stage 1 concerns the rival claims to the Fund of Pakistan and Nizam VII, whereas Stage 2 concerns </w:t>
      </w:r>
      <w:r w:rsidR="00894E22">
        <w:t xml:space="preserve">the rival claims of the Princes and India. Pakistan has no </w:t>
      </w:r>
      <w:r w:rsidR="00894E22">
        <w:rPr>
          <w:i/>
          <w:iCs/>
        </w:rPr>
        <w:t>lis</w:t>
      </w:r>
      <w:r w:rsidR="00894E22">
        <w:t xml:space="preserve"> in relation to Stage 2</w:t>
      </w:r>
      <w:r w:rsidR="00F61859">
        <w:t xml:space="preserve">. Her entitlement is determined </w:t>
      </w:r>
      <w:r w:rsidR="00C17033">
        <w:t>– on</w:t>
      </w:r>
      <w:r w:rsidR="00EF7DFE">
        <w:t>e</w:t>
      </w:r>
      <w:r w:rsidR="00C17033">
        <w:t xml:space="preserve"> way or the other – </w:t>
      </w:r>
      <w:r w:rsidR="00F61859">
        <w:t xml:space="preserve">at the conclusion of Stage 1. </w:t>
      </w:r>
    </w:p>
    <w:p w14:paraId="37637664" w14:textId="77777777" w:rsidR="00D819C4" w:rsidRDefault="00C17033" w:rsidP="00450B03">
      <w:pPr>
        <w:numPr>
          <w:ilvl w:val="1"/>
          <w:numId w:val="2"/>
        </w:numPr>
        <w:autoSpaceDE w:val="0"/>
        <w:spacing w:before="240" w:after="240"/>
        <w:jc w:val="both"/>
      </w:pPr>
      <w:r>
        <w:t>I have determined Stage 1 against Pakistan</w:t>
      </w:r>
      <w:r w:rsidR="004265A9">
        <w:t xml:space="preserve">, and – but for the </w:t>
      </w:r>
      <w:r w:rsidR="00EF7DFE">
        <w:t>S</w:t>
      </w:r>
      <w:r w:rsidR="004265A9">
        <w:t xml:space="preserve">ettlement – would </w:t>
      </w:r>
      <w:r w:rsidR="00EF7DFE">
        <w:t xml:space="preserve">now </w:t>
      </w:r>
      <w:r w:rsidR="004265A9">
        <w:t xml:space="preserve">proceed to determine the rival claims of the Princes and India. </w:t>
      </w:r>
      <w:r w:rsidR="008E59E5">
        <w:t xml:space="preserve">It is difficult to see how, in this hypothetical case, </w:t>
      </w:r>
      <w:r w:rsidR="008E59E5" w:rsidRPr="00EF7DFE">
        <w:rPr>
          <w:u w:val="single"/>
        </w:rPr>
        <w:t>Pakistan</w:t>
      </w:r>
      <w:r w:rsidR="008E59E5">
        <w:t xml:space="preserve"> could properly </w:t>
      </w:r>
      <w:r w:rsidR="00632C88">
        <w:t>raise any point</w:t>
      </w:r>
      <w:r w:rsidR="002A1667">
        <w:t xml:space="preserve"> at Stage 2</w:t>
      </w:r>
      <w:r w:rsidR="00632C88">
        <w:t>, including a question of illegality.</w:t>
      </w:r>
    </w:p>
    <w:p w14:paraId="7DC1A4A7" w14:textId="77777777" w:rsidR="00EC00E6" w:rsidRDefault="00F61859" w:rsidP="0022669F">
      <w:pPr>
        <w:numPr>
          <w:ilvl w:val="1"/>
          <w:numId w:val="2"/>
        </w:numPr>
        <w:autoSpaceDE w:val="0"/>
        <w:spacing w:before="240" w:after="240"/>
        <w:jc w:val="both"/>
      </w:pPr>
      <w:r>
        <w:t xml:space="preserve">Of course, I appreciate that </w:t>
      </w:r>
      <w:r w:rsidR="00386CD5">
        <w:t xml:space="preserve">a </w:t>
      </w:r>
      <w:r w:rsidR="00EF7DFE">
        <w:t>C</w:t>
      </w:r>
      <w:r w:rsidR="00386CD5">
        <w:t xml:space="preserve">ourt cannot </w:t>
      </w:r>
      <w:r w:rsidR="0095494E">
        <w:t xml:space="preserve">simply disregard a question of illegality, but must consider it (if appropriate) of its own motion. </w:t>
      </w:r>
      <w:r w:rsidR="004622F7">
        <w:t xml:space="preserve">That said, Pakistan’s point </w:t>
      </w:r>
      <w:r w:rsidR="004622F7">
        <w:lastRenderedPageBreak/>
        <w:t xml:space="preserve">can, at best, be said to be an arguable point and one which I have – for the reasons given above – rejected. </w:t>
      </w:r>
      <w:r w:rsidR="00C377F0">
        <w:t xml:space="preserve">There is no reason why </w:t>
      </w:r>
      <w:r w:rsidR="00636827">
        <w:t xml:space="preserve">a dispute </w:t>
      </w:r>
      <w:r w:rsidR="00FF47D8">
        <w:t>which gives rise to questions of illegality cannot properly be compromised</w:t>
      </w:r>
      <w:r w:rsidR="002E2AA3">
        <w:t>, provided the compromise itself is not tainted by illegality.</w:t>
      </w:r>
      <w:r w:rsidR="00897300">
        <w:rPr>
          <w:rStyle w:val="FootnoteReference"/>
        </w:rPr>
        <w:footnoteReference w:id="283"/>
      </w:r>
      <w:r w:rsidR="00FF47D8">
        <w:t xml:space="preserve"> Even if Pakistan’s </w:t>
      </w:r>
      <w:r w:rsidR="00897300">
        <w:t xml:space="preserve">contention of illegality had been arguable, I find that the </w:t>
      </w:r>
      <w:r w:rsidR="00F048EF">
        <w:t>S</w:t>
      </w:r>
      <w:r w:rsidR="00897300">
        <w:t xml:space="preserve">ettlement between </w:t>
      </w:r>
      <w:r w:rsidR="009125CC">
        <w:t>India and the Princes to be one that it was open to them to make</w:t>
      </w:r>
      <w:r w:rsidR="00CD522D">
        <w:t xml:space="preserve">, and that one of the effects of the </w:t>
      </w:r>
      <w:r w:rsidR="00F048EF">
        <w:t>S</w:t>
      </w:r>
      <w:r w:rsidR="00CD522D">
        <w:t>ettlement is to render further i</w:t>
      </w:r>
      <w:r w:rsidR="002E2AA3">
        <w:t>rre</w:t>
      </w:r>
      <w:r w:rsidR="00CD522D">
        <w:t>levant the question of illegality raised by Pakistan.</w:t>
      </w:r>
    </w:p>
    <w:p w14:paraId="08D6A211" w14:textId="77777777" w:rsidR="002B02C8" w:rsidRPr="00743192" w:rsidRDefault="00743192" w:rsidP="005C6AED">
      <w:pPr>
        <w:keepNext/>
        <w:tabs>
          <w:tab w:val="left" w:pos="567"/>
        </w:tabs>
        <w:autoSpaceDE w:val="0"/>
        <w:spacing w:before="240" w:after="240"/>
        <w:jc w:val="both"/>
        <w:rPr>
          <w:b/>
          <w:bCs/>
        </w:rPr>
      </w:pPr>
      <w:r w:rsidRPr="00743192">
        <w:rPr>
          <w:b/>
          <w:bCs/>
        </w:rPr>
        <w:t>(</w:t>
      </w:r>
      <w:r w:rsidR="00CD522D">
        <w:rPr>
          <w:b/>
          <w:bCs/>
        </w:rPr>
        <w:t>4</w:t>
      </w:r>
      <w:r w:rsidRPr="00743192">
        <w:rPr>
          <w:b/>
          <w:bCs/>
        </w:rPr>
        <w:t>)</w:t>
      </w:r>
      <w:r w:rsidRPr="00743192">
        <w:rPr>
          <w:b/>
          <w:bCs/>
        </w:rPr>
        <w:tab/>
        <w:t>Different types of illegality</w:t>
      </w:r>
      <w:r w:rsidR="0062552B">
        <w:rPr>
          <w:b/>
          <w:bCs/>
        </w:rPr>
        <w:t xml:space="preserve"> alleged by Pakistan</w:t>
      </w:r>
    </w:p>
    <w:p w14:paraId="2D142258" w14:textId="77777777" w:rsidR="00375E67" w:rsidRPr="00571032" w:rsidRDefault="00571032" w:rsidP="005C6AED">
      <w:pPr>
        <w:keepNext/>
        <w:tabs>
          <w:tab w:val="left" w:pos="567"/>
        </w:tabs>
        <w:autoSpaceDE w:val="0"/>
        <w:spacing w:before="240" w:after="240"/>
        <w:jc w:val="both"/>
        <w:rPr>
          <w:b/>
          <w:bCs/>
          <w:i/>
          <w:iCs/>
        </w:rPr>
      </w:pPr>
      <w:r>
        <w:rPr>
          <w:b/>
          <w:bCs/>
          <w:i/>
          <w:iCs/>
        </w:rPr>
        <w:t>(a)</w:t>
      </w:r>
      <w:r>
        <w:rPr>
          <w:b/>
          <w:bCs/>
          <w:i/>
          <w:iCs/>
        </w:rPr>
        <w:tab/>
        <w:t>Introduction</w:t>
      </w:r>
    </w:p>
    <w:p w14:paraId="78765E56" w14:textId="77777777" w:rsidR="00CD522D" w:rsidRDefault="00A8497D" w:rsidP="009769EE">
      <w:pPr>
        <w:numPr>
          <w:ilvl w:val="0"/>
          <w:numId w:val="2"/>
        </w:numPr>
        <w:autoSpaceDE w:val="0"/>
        <w:spacing w:before="240" w:after="240"/>
        <w:jc w:val="both"/>
      </w:pPr>
      <w:r>
        <w:t>In light of my find</w:t>
      </w:r>
      <w:r w:rsidR="0062552B">
        <w:t>ing</w:t>
      </w:r>
      <w:r>
        <w:t>s, it is strictly unnecessary for me to address the substance of Pakistan’s contentions regarding illegality</w:t>
      </w:r>
      <w:r w:rsidR="00F83082">
        <w:t xml:space="preserve">. I have found the illegality argument to be irrelevant to this dispute </w:t>
      </w:r>
      <w:r w:rsidR="00D74228">
        <w:t xml:space="preserve">and in any event compromised by the </w:t>
      </w:r>
      <w:r w:rsidR="00F048EF">
        <w:t>S</w:t>
      </w:r>
      <w:r w:rsidR="00D74228">
        <w:t>ettlement between the Princes and India.</w:t>
      </w:r>
    </w:p>
    <w:p w14:paraId="700DF74F" w14:textId="77777777" w:rsidR="00D74228" w:rsidRDefault="00D74228" w:rsidP="009769EE">
      <w:pPr>
        <w:numPr>
          <w:ilvl w:val="0"/>
          <w:numId w:val="2"/>
        </w:numPr>
        <w:autoSpaceDE w:val="0"/>
        <w:spacing w:before="240" w:after="240"/>
        <w:jc w:val="both"/>
      </w:pPr>
      <w:r>
        <w:t xml:space="preserve">Nevertheless, Pakistan pleaded her case on illegality in some detail and although India (as well as the Princes) </w:t>
      </w:r>
      <w:r w:rsidR="00145CA3">
        <w:t xml:space="preserve">declined to engage with these points, it is appropriate that I briefly deal with </w:t>
      </w:r>
      <w:r w:rsidR="003F1496">
        <w:t xml:space="preserve">Pakistan’s substantive case on illegality, given the emphasis Mr Qureshi, QC placed </w:t>
      </w:r>
      <w:r w:rsidR="00D808EC">
        <w:t>on this.</w:t>
      </w:r>
    </w:p>
    <w:p w14:paraId="62D58B75" w14:textId="77777777" w:rsidR="00DD0A59" w:rsidRDefault="00B37105" w:rsidP="009769EE">
      <w:pPr>
        <w:numPr>
          <w:ilvl w:val="0"/>
          <w:numId w:val="2"/>
        </w:numPr>
        <w:autoSpaceDE w:val="0"/>
        <w:spacing w:before="240" w:after="240"/>
        <w:jc w:val="both"/>
      </w:pPr>
      <w:r>
        <w:t xml:space="preserve">As I have noted, Pakistan relied upon three, very different, </w:t>
      </w:r>
      <w:r w:rsidR="00F10AC8">
        <w:t>allegations of illegality. It is necessary to consider them in turn.</w:t>
      </w:r>
    </w:p>
    <w:p w14:paraId="3553E7CA" w14:textId="77777777" w:rsidR="00E4170F" w:rsidRPr="00E4170F" w:rsidRDefault="00E4170F" w:rsidP="001F5D51">
      <w:pPr>
        <w:keepNext/>
        <w:tabs>
          <w:tab w:val="left" w:pos="567"/>
        </w:tabs>
        <w:autoSpaceDE w:val="0"/>
        <w:spacing w:before="240" w:after="240"/>
        <w:jc w:val="both"/>
        <w:rPr>
          <w:b/>
          <w:bCs/>
          <w:i/>
          <w:iCs/>
        </w:rPr>
      </w:pPr>
      <w:r>
        <w:rPr>
          <w:b/>
          <w:bCs/>
          <w:i/>
          <w:iCs/>
        </w:rPr>
        <w:t>(b)</w:t>
      </w:r>
      <w:r>
        <w:rPr>
          <w:b/>
          <w:bCs/>
          <w:i/>
          <w:iCs/>
        </w:rPr>
        <w:tab/>
        <w:t>The India</w:t>
      </w:r>
      <w:r w:rsidR="00F665BA">
        <w:rPr>
          <w:b/>
          <w:bCs/>
          <w:i/>
          <w:iCs/>
        </w:rPr>
        <w:t>n</w:t>
      </w:r>
      <w:r>
        <w:rPr>
          <w:b/>
          <w:bCs/>
          <w:i/>
          <w:iCs/>
        </w:rPr>
        <w:t xml:space="preserve"> Independence Act 1947</w:t>
      </w:r>
    </w:p>
    <w:p w14:paraId="6EEFF384" w14:textId="77777777" w:rsidR="00B54ABA" w:rsidRDefault="00B45485" w:rsidP="009769EE">
      <w:pPr>
        <w:numPr>
          <w:ilvl w:val="0"/>
          <w:numId w:val="2"/>
        </w:numPr>
        <w:autoSpaceDE w:val="0"/>
        <w:spacing w:before="240" w:after="240"/>
        <w:jc w:val="both"/>
      </w:pPr>
      <w:r>
        <w:t xml:space="preserve">In </w:t>
      </w:r>
      <w:r w:rsidR="001A762C">
        <w:t>Pakistan’s Pleading</w:t>
      </w:r>
      <w:r>
        <w:t xml:space="preserve">, Pakistan contended that </w:t>
      </w:r>
      <w:r w:rsidR="00183704">
        <w:t xml:space="preserve">India’s conduct in relation to Operation Polo was in violation of section 7(1) of the Indian Independence Act 1947, the text of which is set out in paragraph </w:t>
      </w:r>
      <w:r w:rsidR="009B74DA">
        <w:t>66</w:t>
      </w:r>
      <w:r w:rsidR="00183704">
        <w:t xml:space="preserve"> above.</w:t>
      </w:r>
      <w:r w:rsidR="00644D09">
        <w:rPr>
          <w:rStyle w:val="FootnoteReference"/>
        </w:rPr>
        <w:footnoteReference w:id="284"/>
      </w:r>
      <w:r w:rsidR="00183704">
        <w:t xml:space="preserve"> </w:t>
      </w:r>
      <w:r w:rsidR="00644D09">
        <w:t>Specifically, Pakistan contended that:</w:t>
      </w:r>
    </w:p>
    <w:p w14:paraId="065E0592" w14:textId="77777777" w:rsidR="00644D09" w:rsidRDefault="00B62753" w:rsidP="00C161A0">
      <w:pPr>
        <w:autoSpaceDE w:val="0"/>
        <w:spacing w:before="240" w:after="240"/>
        <w:ind w:left="1287" w:hanging="720"/>
        <w:jc w:val="both"/>
        <w:rPr>
          <w:sz w:val="22"/>
          <w:szCs w:val="22"/>
        </w:rPr>
      </w:pPr>
      <w:r>
        <w:rPr>
          <w:sz w:val="22"/>
          <w:szCs w:val="22"/>
        </w:rPr>
        <w:t>“21.3</w:t>
      </w:r>
      <w:r>
        <w:rPr>
          <w:sz w:val="22"/>
          <w:szCs w:val="22"/>
        </w:rPr>
        <w:tab/>
      </w:r>
      <w:r w:rsidR="00592B99">
        <w:rPr>
          <w:sz w:val="22"/>
          <w:szCs w:val="22"/>
        </w:rPr>
        <w:t>The State of Hyderabad was an Indian State</w:t>
      </w:r>
      <w:r w:rsidR="00C161A0">
        <w:rPr>
          <w:sz w:val="22"/>
          <w:szCs w:val="22"/>
        </w:rPr>
        <w:t xml:space="preserve"> within section 7 of the Indian Independence Act</w:t>
      </w:r>
      <w:r w:rsidR="00436912">
        <w:rPr>
          <w:sz w:val="22"/>
          <w:szCs w:val="22"/>
        </w:rPr>
        <w:t>…It is apparent from the terms of section 7(1) of the 1947 Act that the Ruler of Hyderabad</w:t>
      </w:r>
      <w:r w:rsidR="008024C8">
        <w:rPr>
          <w:sz w:val="22"/>
          <w:szCs w:val="22"/>
        </w:rPr>
        <w:t xml:space="preserve">, the Nizam, was able to denounce any agreement relating to customs, etc, continued under section 7(1). This provision is only consistent </w:t>
      </w:r>
      <w:r w:rsidR="00064256">
        <w:rPr>
          <w:sz w:val="22"/>
          <w:szCs w:val="22"/>
        </w:rPr>
        <w:t xml:space="preserve">with the Nizam’s continuing sovereignty and political independence; and wholly inconsistent with any suggestion that the new Dominion of India had any </w:t>
      </w:r>
      <w:r w:rsidR="00037BA1">
        <w:rPr>
          <w:sz w:val="22"/>
          <w:szCs w:val="22"/>
        </w:rPr>
        <w:t>right to interfere with the Nizam’s sovereignty and political independence in relation to any matters.</w:t>
      </w:r>
    </w:p>
    <w:p w14:paraId="600853D5" w14:textId="77777777" w:rsidR="00037BA1" w:rsidRPr="00B62753" w:rsidRDefault="00037BA1" w:rsidP="00C161A0">
      <w:pPr>
        <w:autoSpaceDE w:val="0"/>
        <w:spacing w:before="240" w:after="240"/>
        <w:ind w:left="1287" w:hanging="720"/>
        <w:jc w:val="both"/>
        <w:rPr>
          <w:sz w:val="22"/>
          <w:szCs w:val="22"/>
        </w:rPr>
      </w:pPr>
      <w:r>
        <w:rPr>
          <w:sz w:val="22"/>
          <w:szCs w:val="22"/>
        </w:rPr>
        <w:t>21.4</w:t>
      </w:r>
      <w:r>
        <w:rPr>
          <w:sz w:val="22"/>
          <w:szCs w:val="22"/>
        </w:rPr>
        <w:tab/>
      </w:r>
      <w:r w:rsidR="008D5A55">
        <w:rPr>
          <w:sz w:val="22"/>
          <w:szCs w:val="22"/>
        </w:rPr>
        <w:t xml:space="preserve">India’s violation of the Nizam’s sovereignty and political independence, by threatening to use, and using, </w:t>
      </w:r>
      <w:r w:rsidR="00D4545C">
        <w:rPr>
          <w:sz w:val="22"/>
          <w:szCs w:val="22"/>
        </w:rPr>
        <w:t xml:space="preserve">force against the State of Hyderabad, was contrary to the terms of the Indian Independence Act 1947, from which it was clear </w:t>
      </w:r>
      <w:r w:rsidR="007F0D9D">
        <w:rPr>
          <w:sz w:val="22"/>
          <w:szCs w:val="22"/>
        </w:rPr>
        <w:t>that Nizam was to remain sovereign following the lapse of His Majesty’s suzerainty.”</w:t>
      </w:r>
    </w:p>
    <w:p w14:paraId="3A84E926" w14:textId="77777777" w:rsidR="003C1C09" w:rsidRDefault="00E4170F" w:rsidP="00D16CE7">
      <w:pPr>
        <w:numPr>
          <w:ilvl w:val="0"/>
          <w:numId w:val="2"/>
        </w:numPr>
        <w:autoSpaceDE w:val="0"/>
        <w:spacing w:before="240" w:after="240"/>
        <w:jc w:val="both"/>
      </w:pPr>
      <w:r>
        <w:t xml:space="preserve">Since </w:t>
      </w:r>
      <w:r w:rsidR="0000190E">
        <w:t xml:space="preserve">the 1947 Act is a part of English law, </w:t>
      </w:r>
      <w:r w:rsidR="00255C9B">
        <w:t xml:space="preserve">it follows that </w:t>
      </w:r>
      <w:r w:rsidR="00B54ABA">
        <w:t xml:space="preserve">any </w:t>
      </w:r>
      <w:r w:rsidR="00F535CD">
        <w:t xml:space="preserve">illegality under this Act is a matter that I </w:t>
      </w:r>
      <w:r w:rsidR="00623319">
        <w:t xml:space="preserve">would have to </w:t>
      </w:r>
      <w:r w:rsidR="00F535CD">
        <w:t>take into account</w:t>
      </w:r>
      <w:r w:rsidR="00623319">
        <w:t xml:space="preserve"> if </w:t>
      </w:r>
      <w:r w:rsidR="00257CF9">
        <w:t xml:space="preserve">the illegality were </w:t>
      </w:r>
      <w:r w:rsidR="00623319">
        <w:t>related to the claims before me</w:t>
      </w:r>
      <w:r w:rsidR="00F535CD">
        <w:t>.</w:t>
      </w:r>
      <w:r w:rsidR="00D16CE7">
        <w:t xml:space="preserve"> </w:t>
      </w:r>
      <w:r w:rsidR="00EA7138">
        <w:t xml:space="preserve">However, </w:t>
      </w:r>
      <w:r w:rsidR="00257CF9">
        <w:t xml:space="preserve">not only is the illegality unrelated to the claims before me, </w:t>
      </w:r>
      <w:r w:rsidR="00457983">
        <w:t>but there has also been no</w:t>
      </w:r>
      <w:r w:rsidR="00413D01">
        <w:t xml:space="preserve"> infringement or violation of or illegality under the 1947 Act.</w:t>
      </w:r>
      <w:r w:rsidR="00C26D55">
        <w:t xml:space="preserve"> The 1947 Act – as I have described – established the Dominions of India and Pakistan as </w:t>
      </w:r>
      <w:r w:rsidR="00C26D55">
        <w:lastRenderedPageBreak/>
        <w:t>independent sovereign states</w:t>
      </w:r>
      <w:r w:rsidR="004C2B70">
        <w:t xml:space="preserve"> and cut free the Princely States or Indian States from the suzerainty of the Crown. </w:t>
      </w:r>
      <w:r w:rsidR="00D56C12">
        <w:t xml:space="preserve">It did not, however, impose obligations as to future conduct on any </w:t>
      </w:r>
      <w:r w:rsidR="00E00B40">
        <w:t>of these parties</w:t>
      </w:r>
      <w:r w:rsidR="00D16CE7">
        <w:t xml:space="preserve">, still less did it guarantee the </w:t>
      </w:r>
      <w:r w:rsidR="00D4715E">
        <w:t xml:space="preserve">future </w:t>
      </w:r>
      <w:r w:rsidR="00D16CE7">
        <w:t xml:space="preserve">status of </w:t>
      </w:r>
      <w:r w:rsidR="00D4715E">
        <w:t>these (now) sovereign states</w:t>
      </w:r>
      <w:r w:rsidR="00E00B40">
        <w:t xml:space="preserve">: </w:t>
      </w:r>
      <w:r w:rsidR="00874515">
        <w:t xml:space="preserve">there is nothing in the 1947 Act itself to render India’s conduct as against Hyderabad unlawful. </w:t>
      </w:r>
      <w:r w:rsidR="009A22C4">
        <w:t>I find that there has been no breach of the 1947 Act.</w:t>
      </w:r>
    </w:p>
    <w:p w14:paraId="17F11752" w14:textId="77777777" w:rsidR="000F5DBB" w:rsidRPr="000F5DBB" w:rsidRDefault="000F5DBB" w:rsidP="00457983">
      <w:pPr>
        <w:keepNext/>
        <w:tabs>
          <w:tab w:val="left" w:pos="567"/>
        </w:tabs>
        <w:autoSpaceDE w:val="0"/>
        <w:spacing w:before="240" w:after="240"/>
        <w:jc w:val="both"/>
        <w:rPr>
          <w:b/>
          <w:bCs/>
          <w:i/>
          <w:iCs/>
        </w:rPr>
      </w:pPr>
      <w:r>
        <w:rPr>
          <w:b/>
          <w:bCs/>
          <w:i/>
          <w:iCs/>
        </w:rPr>
        <w:t>(c)</w:t>
      </w:r>
      <w:r>
        <w:rPr>
          <w:b/>
          <w:bCs/>
          <w:i/>
          <w:iCs/>
        </w:rPr>
        <w:tab/>
        <w:t>The Standstill Agreement</w:t>
      </w:r>
    </w:p>
    <w:p w14:paraId="17186754" w14:textId="77777777" w:rsidR="000448EB" w:rsidRDefault="000448EB" w:rsidP="009769EE">
      <w:pPr>
        <w:numPr>
          <w:ilvl w:val="0"/>
          <w:numId w:val="2"/>
        </w:numPr>
        <w:autoSpaceDE w:val="0"/>
        <w:spacing w:before="240" w:after="240"/>
        <w:jc w:val="both"/>
      </w:pPr>
      <w:r>
        <w:t xml:space="preserve">Pakistan contended that Operation Polo </w:t>
      </w:r>
      <w:r w:rsidR="0031433E">
        <w:t>violated the terms of the Standstill Agreement.</w:t>
      </w:r>
      <w:r w:rsidR="0031433E">
        <w:rPr>
          <w:rStyle w:val="FootnoteReference"/>
        </w:rPr>
        <w:footnoteReference w:id="285"/>
      </w:r>
    </w:p>
    <w:p w14:paraId="1E40C062" w14:textId="77777777" w:rsidR="000F5DBB" w:rsidRDefault="000F5DBB" w:rsidP="009769EE">
      <w:pPr>
        <w:numPr>
          <w:ilvl w:val="0"/>
          <w:numId w:val="2"/>
        </w:numPr>
        <w:autoSpaceDE w:val="0"/>
        <w:spacing w:before="240" w:after="240"/>
        <w:jc w:val="both"/>
      </w:pPr>
      <w:r>
        <w:t xml:space="preserve">The Standstill Agreement is </w:t>
      </w:r>
      <w:r w:rsidR="00CF4565">
        <w:t xml:space="preserve">a treaty between India and Hyderabad. I have found that it is a treaty between two sovereign states, but even if it were not (if, for example, I were wrong in my conclusion </w:t>
      </w:r>
      <w:r w:rsidR="00D60B3C">
        <w:t xml:space="preserve">that Hyderabad was, at this time, a sovereign state) the fact that the Standstill Agreement may have been infringed by </w:t>
      </w:r>
      <w:r w:rsidR="001F5D51">
        <w:t xml:space="preserve">India is irrelevant for the purposes of English law. </w:t>
      </w:r>
      <w:r w:rsidR="00044457">
        <w:t xml:space="preserve">The Standstill Agreement </w:t>
      </w:r>
      <w:r w:rsidR="00C80A8A">
        <w:t xml:space="preserve">is not governed by </w:t>
      </w:r>
      <w:r w:rsidR="00F94891">
        <w:t xml:space="preserve">nor is it a part of </w:t>
      </w:r>
      <w:r w:rsidR="00C80A8A">
        <w:t>English law and involves no performance in England. Indeed, beyond the historical, it has no connection with England at all</w:t>
      </w:r>
      <w:r w:rsidR="003B574F">
        <w:t xml:space="preserve">. Accordingly, even if it has been breached – as to which I make no finding </w:t>
      </w:r>
      <w:r w:rsidR="006D6F15">
        <w:t>–</w:t>
      </w:r>
      <w:r w:rsidR="003B574F">
        <w:t xml:space="preserve"> </w:t>
      </w:r>
      <w:r w:rsidR="006D6F15">
        <w:t>that breach cannot sustain Pakistan’s illegality argument</w:t>
      </w:r>
      <w:r w:rsidR="005A1C64">
        <w:t>.</w:t>
      </w:r>
      <w:r w:rsidR="00B87B56">
        <w:rPr>
          <w:rStyle w:val="FootnoteReference"/>
        </w:rPr>
        <w:footnoteReference w:id="286"/>
      </w:r>
    </w:p>
    <w:p w14:paraId="3521324A" w14:textId="77777777" w:rsidR="005A1C64" w:rsidRPr="005A1C64" w:rsidRDefault="005A1C64" w:rsidP="00025C95">
      <w:pPr>
        <w:keepNext/>
        <w:tabs>
          <w:tab w:val="left" w:pos="567"/>
        </w:tabs>
        <w:autoSpaceDE w:val="0"/>
        <w:spacing w:before="240" w:after="240"/>
        <w:jc w:val="both"/>
        <w:rPr>
          <w:b/>
          <w:bCs/>
          <w:i/>
          <w:iCs/>
        </w:rPr>
      </w:pPr>
      <w:r>
        <w:rPr>
          <w:b/>
          <w:bCs/>
          <w:i/>
          <w:iCs/>
        </w:rPr>
        <w:t>(d)</w:t>
      </w:r>
      <w:r>
        <w:rPr>
          <w:b/>
          <w:bCs/>
          <w:i/>
          <w:iCs/>
        </w:rPr>
        <w:tab/>
        <w:t>The Charter of the United Nations</w:t>
      </w:r>
    </w:p>
    <w:p w14:paraId="55930DAF" w14:textId="77777777" w:rsidR="005A1C64" w:rsidRDefault="008676A3" w:rsidP="009769EE">
      <w:pPr>
        <w:numPr>
          <w:ilvl w:val="0"/>
          <w:numId w:val="2"/>
        </w:numPr>
        <w:autoSpaceDE w:val="0"/>
        <w:spacing w:before="240" w:after="240"/>
        <w:jc w:val="both"/>
      </w:pPr>
      <w:r>
        <w:t xml:space="preserve">Paragraph 21.1 of Pakistan’s </w:t>
      </w:r>
      <w:r w:rsidR="00891A49">
        <w:t>Pleading states:</w:t>
      </w:r>
    </w:p>
    <w:p w14:paraId="0580D363" w14:textId="77777777" w:rsidR="00891A49" w:rsidRPr="00891A49" w:rsidRDefault="00891A49" w:rsidP="00891A49">
      <w:pPr>
        <w:autoSpaceDE w:val="0"/>
        <w:spacing w:before="240" w:after="240"/>
        <w:ind w:left="567"/>
        <w:jc w:val="both"/>
        <w:rPr>
          <w:sz w:val="22"/>
          <w:szCs w:val="22"/>
        </w:rPr>
      </w:pPr>
      <w:r>
        <w:rPr>
          <w:sz w:val="22"/>
          <w:szCs w:val="22"/>
        </w:rPr>
        <w:t xml:space="preserve">“India violated </w:t>
      </w:r>
      <w:r w:rsidR="00350A8B">
        <w:rPr>
          <w:sz w:val="22"/>
          <w:szCs w:val="22"/>
        </w:rPr>
        <w:t xml:space="preserve">Article 2(4) and/or Article 2(3) of the UN Charter </w:t>
      </w:r>
      <w:r w:rsidR="003334D3">
        <w:rPr>
          <w:sz w:val="22"/>
          <w:szCs w:val="22"/>
        </w:rPr>
        <w:t>and/or customary international law by its use of force, and earlier threats to use force</w:t>
      </w:r>
      <w:r w:rsidR="00C55D0F">
        <w:rPr>
          <w:sz w:val="22"/>
          <w:szCs w:val="22"/>
        </w:rPr>
        <w:t xml:space="preserve">, against the territorial integrity and/or political independence of the State of Hyderabad. India’s use of force </w:t>
      </w:r>
      <w:r w:rsidR="00A201F0">
        <w:rPr>
          <w:sz w:val="22"/>
          <w:szCs w:val="22"/>
        </w:rPr>
        <w:t>against the territorial integrity and political independence of the State of Hyderabad commenced on (or about) 13 September 1948</w:t>
      </w:r>
      <w:r w:rsidR="007F45BA">
        <w:rPr>
          <w:sz w:val="22"/>
          <w:szCs w:val="22"/>
        </w:rPr>
        <w:t>. The Army of the State of Hyderabad surrendered to the Indian army on (or about) 18 September 1948</w:t>
      </w:r>
      <w:r w:rsidR="00527B56">
        <w:rPr>
          <w:sz w:val="22"/>
          <w:szCs w:val="22"/>
        </w:rPr>
        <w:t>. The State of Hyderabad lost her political independence and it was subsequently formally annexed by India.”</w:t>
      </w:r>
    </w:p>
    <w:p w14:paraId="3A3A2427" w14:textId="77777777" w:rsidR="00AC0D54" w:rsidRDefault="00674165" w:rsidP="00E83DAC">
      <w:pPr>
        <w:numPr>
          <w:ilvl w:val="0"/>
          <w:numId w:val="2"/>
        </w:numPr>
        <w:autoSpaceDE w:val="0"/>
        <w:spacing w:before="240" w:after="240"/>
        <w:jc w:val="both"/>
      </w:pPr>
      <w:r>
        <w:t>Articles 2(3) and 2(4) of the Charter of the United Nations provide:</w:t>
      </w:r>
    </w:p>
    <w:p w14:paraId="6389C5EE" w14:textId="77777777" w:rsidR="00674165" w:rsidRDefault="00674165" w:rsidP="00674165">
      <w:pPr>
        <w:autoSpaceDE w:val="0"/>
        <w:spacing w:before="240" w:after="240"/>
        <w:ind w:left="567"/>
        <w:jc w:val="both"/>
        <w:rPr>
          <w:sz w:val="22"/>
          <w:szCs w:val="22"/>
        </w:rPr>
      </w:pPr>
      <w:r>
        <w:rPr>
          <w:sz w:val="22"/>
          <w:szCs w:val="22"/>
        </w:rPr>
        <w:t>“</w:t>
      </w:r>
      <w:r w:rsidR="00307C01">
        <w:rPr>
          <w:sz w:val="22"/>
          <w:szCs w:val="22"/>
        </w:rPr>
        <w:t>The Organisation and its Members, in pursuit of the Purposes stated in Article 1</w:t>
      </w:r>
      <w:r w:rsidR="0024596A">
        <w:rPr>
          <w:sz w:val="22"/>
          <w:szCs w:val="22"/>
        </w:rPr>
        <w:t>, shall act in accordance with the following Principles:</w:t>
      </w:r>
    </w:p>
    <w:p w14:paraId="377B2C87" w14:textId="77777777" w:rsidR="00634F2F" w:rsidRDefault="0024596A" w:rsidP="0024596A">
      <w:pPr>
        <w:autoSpaceDE w:val="0"/>
        <w:spacing w:before="240" w:after="240"/>
        <w:ind w:left="1287" w:hanging="720"/>
        <w:jc w:val="both"/>
        <w:rPr>
          <w:sz w:val="22"/>
          <w:szCs w:val="22"/>
        </w:rPr>
      </w:pPr>
      <w:r>
        <w:rPr>
          <w:sz w:val="22"/>
          <w:szCs w:val="22"/>
        </w:rPr>
        <w:t>(3)</w:t>
      </w:r>
      <w:r>
        <w:rPr>
          <w:sz w:val="22"/>
          <w:szCs w:val="22"/>
        </w:rPr>
        <w:tab/>
      </w:r>
      <w:r w:rsidR="0097496D">
        <w:rPr>
          <w:sz w:val="22"/>
          <w:szCs w:val="22"/>
        </w:rPr>
        <w:t xml:space="preserve">All Members shall settle their international disputes by peaceful means in such manner </w:t>
      </w:r>
      <w:r w:rsidR="00634F2F">
        <w:rPr>
          <w:sz w:val="22"/>
          <w:szCs w:val="22"/>
        </w:rPr>
        <w:t>that international peace and security, and justice, are not endangered.</w:t>
      </w:r>
    </w:p>
    <w:p w14:paraId="0B68148F" w14:textId="77777777" w:rsidR="0024596A" w:rsidRPr="00674165" w:rsidRDefault="00634F2F" w:rsidP="0024596A">
      <w:pPr>
        <w:autoSpaceDE w:val="0"/>
        <w:spacing w:before="240" w:after="240"/>
        <w:ind w:left="1287" w:hanging="720"/>
        <w:jc w:val="both"/>
        <w:rPr>
          <w:sz w:val="22"/>
          <w:szCs w:val="22"/>
        </w:rPr>
      </w:pPr>
      <w:r>
        <w:rPr>
          <w:sz w:val="22"/>
          <w:szCs w:val="22"/>
        </w:rPr>
        <w:t>(4)</w:t>
      </w:r>
      <w:r>
        <w:rPr>
          <w:sz w:val="22"/>
          <w:szCs w:val="22"/>
        </w:rPr>
        <w:tab/>
      </w:r>
      <w:r w:rsidR="00DB4DAB">
        <w:rPr>
          <w:sz w:val="22"/>
          <w:szCs w:val="22"/>
        </w:rPr>
        <w:t>All Members shall refrain</w:t>
      </w:r>
      <w:r w:rsidR="00512AC6">
        <w:rPr>
          <w:sz w:val="22"/>
          <w:szCs w:val="22"/>
        </w:rPr>
        <w:t xml:space="preserve"> in their international relations </w:t>
      </w:r>
      <w:r w:rsidR="001E5176">
        <w:rPr>
          <w:sz w:val="22"/>
          <w:szCs w:val="22"/>
        </w:rPr>
        <w:t xml:space="preserve">from the threat or use of force against the territorial integrity or political independence </w:t>
      </w:r>
      <w:r w:rsidR="00660251">
        <w:rPr>
          <w:sz w:val="22"/>
          <w:szCs w:val="22"/>
        </w:rPr>
        <w:t xml:space="preserve">of any state, or in any other manner inconsistent with the Purposes of the </w:t>
      </w:r>
      <w:r w:rsidR="003622BA">
        <w:rPr>
          <w:sz w:val="22"/>
          <w:szCs w:val="22"/>
        </w:rPr>
        <w:t>United Nations.”</w:t>
      </w:r>
    </w:p>
    <w:p w14:paraId="32E95970" w14:textId="77777777" w:rsidR="003622BA" w:rsidRDefault="003175FF" w:rsidP="000C3721">
      <w:pPr>
        <w:numPr>
          <w:ilvl w:val="0"/>
          <w:numId w:val="2"/>
        </w:numPr>
        <w:autoSpaceDE w:val="0"/>
        <w:spacing w:before="240" w:after="240"/>
        <w:jc w:val="both"/>
      </w:pPr>
      <w:r>
        <w:t xml:space="preserve">India did not contend that an infringement of </w:t>
      </w:r>
      <w:r w:rsidR="002E3631">
        <w:t xml:space="preserve">the Charter of the United Nations </w:t>
      </w:r>
      <w:r w:rsidR="004D78C8">
        <w:t xml:space="preserve">was in all cases irrelevant for the purposes of an illegality argument. </w:t>
      </w:r>
      <w:r w:rsidR="00C769F4">
        <w:t xml:space="preserve">As Mr Otty, QC put it, </w:t>
      </w:r>
      <w:r w:rsidR="00CB0D2E">
        <w:t xml:space="preserve">there might be grounds for international law to </w:t>
      </w:r>
      <w:r w:rsidR="00A53104">
        <w:t>inform English public policy.</w:t>
      </w:r>
      <w:r w:rsidR="00A53104">
        <w:rPr>
          <w:rStyle w:val="FootnoteReference"/>
        </w:rPr>
        <w:footnoteReference w:id="287"/>
      </w:r>
      <w:r w:rsidR="00A53104">
        <w:t xml:space="preserve"> </w:t>
      </w:r>
      <w:r w:rsidR="005324FE">
        <w:t>I accept this</w:t>
      </w:r>
      <w:r w:rsidR="000C3721">
        <w:t xml:space="preserve">. However, </w:t>
      </w:r>
      <w:r w:rsidR="00452EAF">
        <w:t>i</w:t>
      </w:r>
      <w:r w:rsidR="003622BA">
        <w:t xml:space="preserve">t </w:t>
      </w:r>
      <w:r w:rsidR="000C3721">
        <w:t>i</w:t>
      </w:r>
      <w:r w:rsidR="003622BA">
        <w:t xml:space="preserve">s a matter of dispute between Pakistan </w:t>
      </w:r>
      <w:r w:rsidR="00DA46E0">
        <w:t>and India as to whether Operation Polo constituted an infringement of the United Nations Charter and/or customary international law.</w:t>
      </w:r>
      <w:r w:rsidR="00CC658E">
        <w:t xml:space="preserve"> Th</w:t>
      </w:r>
      <w:r w:rsidR="00452EAF">
        <w:t>is</w:t>
      </w:r>
      <w:r w:rsidR="00CC658E">
        <w:t xml:space="preserve"> question, as it seems to me, is </w:t>
      </w:r>
      <w:r w:rsidR="005B261F">
        <w:t>one falling squarely within Rule 3</w:t>
      </w:r>
      <w:r w:rsidR="00000901">
        <w:t xml:space="preserve"> </w:t>
      </w:r>
      <w:r w:rsidR="00000901">
        <w:lastRenderedPageBreak/>
        <w:t xml:space="preserve">of the Doctrine as being precisely </w:t>
      </w:r>
      <w:r w:rsidR="005B261F">
        <w:t xml:space="preserve">the sort of issue that is incapable of being determined </w:t>
      </w:r>
      <w:r w:rsidR="00027852">
        <w:t>in a domestic court.</w:t>
      </w:r>
    </w:p>
    <w:p w14:paraId="3D18ECF6" w14:textId="77777777" w:rsidR="002B36B3" w:rsidRDefault="00D02C38" w:rsidP="002B36B3">
      <w:pPr>
        <w:numPr>
          <w:ilvl w:val="0"/>
          <w:numId w:val="2"/>
        </w:numPr>
        <w:autoSpaceDE w:val="0"/>
        <w:spacing w:before="240" w:after="240"/>
        <w:jc w:val="both"/>
      </w:pPr>
      <w:r>
        <w:t xml:space="preserve">Because I have found that the illegality alleged by Pakistan is irrelevant to </w:t>
      </w:r>
      <w:r w:rsidR="00726852">
        <w:t xml:space="preserve">these proceedings, it is unnecessary for me to consider </w:t>
      </w:r>
      <w:r w:rsidR="00F514B8">
        <w:t>what order I should make in these proceedings</w:t>
      </w:r>
      <w:r w:rsidR="00E6290C">
        <w:t>, were I to conclude that Rule 3 of the Doctrine pertained</w:t>
      </w:r>
      <w:r w:rsidR="00F514B8">
        <w:t xml:space="preserve">. </w:t>
      </w:r>
      <w:r w:rsidR="00EB1462">
        <w:t xml:space="preserve">In the analogous </w:t>
      </w:r>
      <w:r w:rsidR="009B04DC">
        <w:t>situation</w:t>
      </w:r>
      <w:r w:rsidR="00EB1462">
        <w:t xml:space="preserve"> considered by the Court of Appeal in </w:t>
      </w:r>
      <w:r w:rsidR="00EB1462">
        <w:rPr>
          <w:i/>
          <w:iCs/>
        </w:rPr>
        <w:t xml:space="preserve">The Law Debenture </w:t>
      </w:r>
      <w:r w:rsidR="00EB1462">
        <w:t>case,</w:t>
      </w:r>
      <w:r w:rsidR="009B04DC">
        <w:t xml:space="preserve"> the Court of Appeal would have been minded to stay the entirety of the proceedings, because it would have been unfair to permit Russia, through Law Debenture, to assert a claim against Ukraine whilst Rule 3 </w:t>
      </w:r>
      <w:r w:rsidR="0075443E">
        <w:t xml:space="preserve">of the Doctrine prevented Ukraine from articulating what might be a complete defence to that claim. Pakistan could make a similar argument here: </w:t>
      </w:r>
      <w:r w:rsidR="00525AC6">
        <w:t>if Rule 3 of the Doctrine applies, then she is unable to put forward her illegality defence</w:t>
      </w:r>
      <w:r w:rsidR="002B36B3">
        <w:t>, which might be a complete defence to the claim.</w:t>
      </w:r>
    </w:p>
    <w:p w14:paraId="004779F4" w14:textId="77777777" w:rsidR="003622BA" w:rsidRDefault="002B36B3" w:rsidP="002143E9">
      <w:pPr>
        <w:numPr>
          <w:ilvl w:val="0"/>
          <w:numId w:val="2"/>
        </w:numPr>
        <w:autoSpaceDE w:val="0"/>
        <w:spacing w:before="240" w:after="240"/>
        <w:jc w:val="both"/>
      </w:pPr>
      <w:r>
        <w:t xml:space="preserve">For the reasons I have given, this question does not arise, but I should make clear that </w:t>
      </w:r>
      <w:r w:rsidR="00CB0F41">
        <w:t xml:space="preserve">if it did, I would have been disinclined to stay the proceedings. </w:t>
      </w:r>
      <w:r w:rsidR="002143E9">
        <w:t xml:space="preserve">That is because, </w:t>
      </w:r>
      <w:r w:rsidR="00027852">
        <w:t xml:space="preserve">following </w:t>
      </w:r>
      <w:r w:rsidR="004C7694">
        <w:t>Operation Polo</w:t>
      </w:r>
      <w:r w:rsidR="003879A9">
        <w:t>, as I have described, Hyderabad became a part of the Indian Union</w:t>
      </w:r>
      <w:r w:rsidR="00C57AD2">
        <w:t xml:space="preserve"> which is an accession that I have found to </w:t>
      </w:r>
      <w:r w:rsidR="002143E9">
        <w:t>have been</w:t>
      </w:r>
      <w:r w:rsidR="00C57AD2">
        <w:t xml:space="preserve"> recognised by the Government of the </w:t>
      </w:r>
      <w:r w:rsidR="00C57AD2" w:rsidRPr="00751778">
        <w:t>United Kingdom.</w:t>
      </w:r>
      <w:r w:rsidR="00BB0CC2" w:rsidRPr="00751778">
        <w:t xml:space="preserve"> In these circumstances, </w:t>
      </w:r>
      <w:r w:rsidR="002B78F5" w:rsidRPr="00751778">
        <w:t xml:space="preserve">even if </w:t>
      </w:r>
      <w:r w:rsidR="008833C9" w:rsidRPr="00751778">
        <w:t xml:space="preserve">Operation Polo </w:t>
      </w:r>
      <w:r w:rsidR="002B78F5" w:rsidRPr="00751778">
        <w:t>was</w:t>
      </w:r>
      <w:r w:rsidR="003A2C5F" w:rsidRPr="00751778">
        <w:t xml:space="preserve"> </w:t>
      </w:r>
      <w:r w:rsidR="008833C9" w:rsidRPr="00751778">
        <w:t xml:space="preserve">an unlawful usurpation of Hyderabad’s sovereignty, it is a fact of </w:t>
      </w:r>
      <w:r w:rsidR="006D7A95" w:rsidRPr="00751778">
        <w:t>S</w:t>
      </w:r>
      <w:r w:rsidR="008833C9" w:rsidRPr="00751778">
        <w:t xml:space="preserve">tate that Hyderabad is a part of </w:t>
      </w:r>
      <w:r w:rsidR="002D3D9B" w:rsidRPr="00751778">
        <w:t>India.</w:t>
      </w:r>
      <w:r w:rsidR="002D3D9B">
        <w:t xml:space="preserve"> </w:t>
      </w:r>
      <w:r w:rsidR="002B78F5">
        <w:t>G</w:t>
      </w:r>
      <w:r w:rsidR="00C17D24">
        <w:t xml:space="preserve">iven </w:t>
      </w:r>
      <w:r w:rsidR="00466C18">
        <w:t xml:space="preserve">that any illegal action by India against Hyderabad before 1950 appears (at least so far as the United Kingdom is concerned) </w:t>
      </w:r>
      <w:r w:rsidR="00784C6B">
        <w:t>to have merged into the acceptance by the United Kingdom of Hyderabad’s accession</w:t>
      </w:r>
      <w:r w:rsidR="008C291B">
        <w:t xml:space="preserve"> to India</w:t>
      </w:r>
      <w:r w:rsidR="00622D99">
        <w:t xml:space="preserve">, I would not have caused the proceedings to be stayed </w:t>
      </w:r>
      <w:r w:rsidR="00F64A75">
        <w:t xml:space="preserve">by reason of </w:t>
      </w:r>
      <w:r w:rsidR="008C291B">
        <w:t xml:space="preserve">the operation of </w:t>
      </w:r>
      <w:r w:rsidR="00F64A75">
        <w:t>Rule 3</w:t>
      </w:r>
      <w:r w:rsidR="00162D0D">
        <w:t xml:space="preserve">, because </w:t>
      </w:r>
      <w:r w:rsidR="00F232B4">
        <w:t xml:space="preserve">that would have been inconsistent with the United Kingdom’s </w:t>
      </w:r>
      <w:r w:rsidR="0074729A">
        <w:t>position regarding the status within India of the former State of Hyderabad</w:t>
      </w:r>
      <w:r w:rsidR="00025160">
        <w:t>, which status began in 1950</w:t>
      </w:r>
      <w:r w:rsidR="00F64A75">
        <w:t xml:space="preserve">. </w:t>
      </w:r>
    </w:p>
    <w:p w14:paraId="511E3E49" w14:textId="77777777" w:rsidR="00E83DAC" w:rsidRPr="005B3227" w:rsidRDefault="00E83DAC" w:rsidP="0074729A">
      <w:pPr>
        <w:keepNext/>
        <w:tabs>
          <w:tab w:val="left" w:pos="567"/>
        </w:tabs>
        <w:autoSpaceDE w:val="0"/>
        <w:spacing w:before="240" w:after="240"/>
        <w:jc w:val="both"/>
        <w:rPr>
          <w:b/>
          <w:bCs/>
        </w:rPr>
      </w:pPr>
      <w:r>
        <w:rPr>
          <w:b/>
          <w:bCs/>
        </w:rPr>
        <w:t>(</w:t>
      </w:r>
      <w:r w:rsidR="00F64A75">
        <w:rPr>
          <w:b/>
          <w:bCs/>
        </w:rPr>
        <w:t>5</w:t>
      </w:r>
      <w:r>
        <w:rPr>
          <w:b/>
          <w:bCs/>
        </w:rPr>
        <w:t>)</w:t>
      </w:r>
      <w:r>
        <w:rPr>
          <w:b/>
          <w:bCs/>
        </w:rPr>
        <w:tab/>
        <w:t>Overall conclusion</w:t>
      </w:r>
    </w:p>
    <w:p w14:paraId="10485CA7" w14:textId="77777777" w:rsidR="00E83DAC" w:rsidRDefault="0074729A" w:rsidP="00E83DAC">
      <w:pPr>
        <w:numPr>
          <w:ilvl w:val="0"/>
          <w:numId w:val="2"/>
        </w:numPr>
        <w:autoSpaceDE w:val="0"/>
        <w:spacing w:before="240" w:after="240"/>
        <w:jc w:val="both"/>
      </w:pPr>
      <w:r>
        <w:t xml:space="preserve">I conclude that </w:t>
      </w:r>
      <w:r w:rsidR="00436427">
        <w:t>Pakistan’s illegality argument fails for the following reasons</w:t>
      </w:r>
    </w:p>
    <w:p w14:paraId="43172445" w14:textId="77777777" w:rsidR="00436427" w:rsidRDefault="00436427" w:rsidP="00436427">
      <w:pPr>
        <w:numPr>
          <w:ilvl w:val="1"/>
          <w:numId w:val="2"/>
        </w:numPr>
        <w:autoSpaceDE w:val="0"/>
        <w:spacing w:before="240" w:after="240"/>
        <w:jc w:val="both"/>
      </w:pPr>
      <w:r>
        <w:t xml:space="preserve">First, India is indeed correct in her assertion that the question of illegality is “analytically irrelevant” to the claim to the Fund advanced by India. </w:t>
      </w:r>
    </w:p>
    <w:p w14:paraId="69D74E58" w14:textId="77777777" w:rsidR="00436427" w:rsidRDefault="00436427" w:rsidP="00436427">
      <w:pPr>
        <w:numPr>
          <w:ilvl w:val="1"/>
          <w:numId w:val="2"/>
        </w:numPr>
        <w:autoSpaceDE w:val="0"/>
        <w:spacing w:before="240" w:after="240"/>
        <w:jc w:val="both"/>
      </w:pPr>
      <w:r>
        <w:t xml:space="preserve">Secondly, even if the question of illegality </w:t>
      </w:r>
      <w:r w:rsidRPr="00541D65">
        <w:rPr>
          <w:u w:val="single"/>
        </w:rPr>
        <w:t>were</w:t>
      </w:r>
      <w:r>
        <w:t xml:space="preserve"> relevant to India’s claims, </w:t>
      </w:r>
      <w:r w:rsidR="006E5A0E">
        <w:t xml:space="preserve">the </w:t>
      </w:r>
      <w:r w:rsidR="00025160">
        <w:t>S</w:t>
      </w:r>
      <w:r w:rsidR="006E5A0E">
        <w:t xml:space="preserve">ettlement between the Princes and India </w:t>
      </w:r>
      <w:r w:rsidR="00763937">
        <w:t xml:space="preserve">has rendered the issue irrelevant because the rival claims to the Fund of the Princes and India have </w:t>
      </w:r>
      <w:r w:rsidR="008E01D8">
        <w:t xml:space="preserve">validly </w:t>
      </w:r>
      <w:r w:rsidR="00763937">
        <w:t>been compromised</w:t>
      </w:r>
      <w:r w:rsidR="008E01D8">
        <w:t>, such that the question of illegality is no longer before the Court.</w:t>
      </w:r>
    </w:p>
    <w:p w14:paraId="03E579A9" w14:textId="77777777" w:rsidR="00E83DAC" w:rsidRDefault="008E01D8" w:rsidP="00AA15AF">
      <w:pPr>
        <w:numPr>
          <w:ilvl w:val="1"/>
          <w:numId w:val="2"/>
        </w:numPr>
        <w:autoSpaceDE w:val="0"/>
        <w:spacing w:before="240" w:after="240"/>
        <w:jc w:val="both"/>
      </w:pPr>
      <w:r>
        <w:t xml:space="preserve">Thirdly, </w:t>
      </w:r>
      <w:r w:rsidR="00AA15AF">
        <w:t>there is no illegality alleged that is sufficient to cause this Court to prevent the Princes and India – specifically, India – from asserting her claim to the Fund.</w:t>
      </w:r>
    </w:p>
    <w:p w14:paraId="15790D42" w14:textId="77777777" w:rsidR="00A57EF8" w:rsidRPr="00A57EF8" w:rsidRDefault="00A57EF8" w:rsidP="00AF56CC">
      <w:pPr>
        <w:keepNext/>
        <w:tabs>
          <w:tab w:val="left" w:pos="567"/>
        </w:tabs>
        <w:autoSpaceDE w:val="0"/>
        <w:spacing w:before="240" w:after="240"/>
        <w:jc w:val="both"/>
        <w:rPr>
          <w:b/>
          <w:bCs/>
        </w:rPr>
      </w:pPr>
      <w:r w:rsidRPr="00A57EF8">
        <w:rPr>
          <w:b/>
          <w:bCs/>
        </w:rPr>
        <w:t>L.</w:t>
      </w:r>
      <w:r w:rsidRPr="00A57EF8">
        <w:rPr>
          <w:b/>
          <w:bCs/>
        </w:rPr>
        <w:tab/>
        <w:t>CONCLUSIONS AND DISPOSITION</w:t>
      </w:r>
    </w:p>
    <w:p w14:paraId="5FFE4DAE" w14:textId="77777777" w:rsidR="00DD6138" w:rsidRDefault="00DD6138" w:rsidP="00E83E96">
      <w:pPr>
        <w:numPr>
          <w:ilvl w:val="0"/>
          <w:numId w:val="2"/>
        </w:numPr>
        <w:autoSpaceDE w:val="0"/>
        <w:spacing w:before="240" w:after="240"/>
        <w:jc w:val="both"/>
      </w:pPr>
      <w:r>
        <w:t>I conclude that:</w:t>
      </w:r>
    </w:p>
    <w:p w14:paraId="39F6E899" w14:textId="77777777" w:rsidR="00DD6138" w:rsidRDefault="006B46FE" w:rsidP="00DD6138">
      <w:pPr>
        <w:numPr>
          <w:ilvl w:val="1"/>
          <w:numId w:val="2"/>
        </w:numPr>
        <w:autoSpaceDE w:val="0"/>
        <w:spacing w:before="240" w:after="240"/>
        <w:jc w:val="both"/>
      </w:pPr>
      <w:r>
        <w:t xml:space="preserve">The Fund was held by Pakistan </w:t>
      </w:r>
      <w:r w:rsidR="00C63C63">
        <w:t>through her High Commissioner in the United Kingdom on trust for Nizam VII</w:t>
      </w:r>
      <w:r w:rsidR="005923A2">
        <w:t xml:space="preserve"> and his successors in title. The Fund was not held by Rahimtoola personally, nor did either </w:t>
      </w:r>
      <w:r w:rsidR="001823DC">
        <w:t>Pakistan or Rahimtoola have any beneficial interest in the Fund.</w:t>
      </w:r>
    </w:p>
    <w:p w14:paraId="50460DFF" w14:textId="77777777" w:rsidR="002255AC" w:rsidRDefault="001823DC" w:rsidP="00DD6138">
      <w:pPr>
        <w:numPr>
          <w:ilvl w:val="1"/>
          <w:numId w:val="2"/>
        </w:numPr>
        <w:autoSpaceDE w:val="0"/>
        <w:spacing w:before="240" w:after="240"/>
        <w:jc w:val="both"/>
      </w:pPr>
      <w:r>
        <w:lastRenderedPageBreak/>
        <w:t xml:space="preserve">The trust was either a constructive trust </w:t>
      </w:r>
      <w:r w:rsidR="004036F6">
        <w:t xml:space="preserve">in favour of Nizam VII or a </w:t>
      </w:r>
      <w:r>
        <w:t>resulting</w:t>
      </w:r>
      <w:r w:rsidR="004036F6">
        <w:t xml:space="preserve"> trust in favour of Nizam VII. It was not, as I have found, an express trust because I find that </w:t>
      </w:r>
      <w:r w:rsidR="00F14AE1">
        <w:t>Nizam VII did not communicate to Moin any authority to effect the Transfer and create a trust.</w:t>
      </w:r>
      <w:r w:rsidR="00CA3461">
        <w:t xml:space="preserve"> However, Moin’s conduct was consistent with the unexpressed wishes of Nizam VII</w:t>
      </w:r>
      <w:r w:rsidR="00A12D19">
        <w:t xml:space="preserve">. Both Moin and Rahimtoola intended that an express trust should arise and </w:t>
      </w:r>
      <w:r w:rsidR="002255AC">
        <w:t>–</w:t>
      </w:r>
      <w:r w:rsidR="00A12D19">
        <w:t xml:space="preserve"> </w:t>
      </w:r>
      <w:r w:rsidR="002255AC">
        <w:t>had there been a communication of authority by Nizam VII to Moin – an express trust would have arisen.</w:t>
      </w:r>
    </w:p>
    <w:p w14:paraId="2A93D65D" w14:textId="77777777" w:rsidR="002B7867" w:rsidRDefault="002255AC" w:rsidP="00DD6138">
      <w:pPr>
        <w:numPr>
          <w:ilvl w:val="1"/>
          <w:numId w:val="2"/>
        </w:numPr>
        <w:autoSpaceDE w:val="0"/>
        <w:spacing w:before="240" w:after="240"/>
        <w:jc w:val="both"/>
      </w:pPr>
      <w:r>
        <w:t xml:space="preserve">There is nothing in the involvement of </w:t>
      </w:r>
      <w:r w:rsidR="00A7174E">
        <w:t xml:space="preserve">Pakistan, India, Hyderabad or Nizam VII as sovereign states or rulers of sovereign states to prevent </w:t>
      </w:r>
      <w:r w:rsidR="002B7867">
        <w:t>a trust (whether express, constructive or resulting) from arising.</w:t>
      </w:r>
    </w:p>
    <w:p w14:paraId="049388C1" w14:textId="77777777" w:rsidR="001823DC" w:rsidRDefault="004749A4" w:rsidP="00DD6138">
      <w:pPr>
        <w:numPr>
          <w:ilvl w:val="1"/>
          <w:numId w:val="2"/>
        </w:numPr>
        <w:autoSpaceDE w:val="0"/>
        <w:spacing w:before="240" w:after="240"/>
        <w:jc w:val="both"/>
      </w:pPr>
      <w:r>
        <w:t xml:space="preserve">It is unnecessary, given the </w:t>
      </w:r>
      <w:r w:rsidR="00160706">
        <w:t>S</w:t>
      </w:r>
      <w:r>
        <w:t xml:space="preserve">ettlement reached as between the Princes and </w:t>
      </w:r>
      <w:r w:rsidR="005C31DD">
        <w:t>India, for me to determine whether it is the Princes or India that is Nizam VII’s successor in title, whether by virtue of the 1963 Settlement and 1965 Appointment</w:t>
      </w:r>
      <w:r w:rsidR="00033FB7">
        <w:t xml:space="preserve"> (in the case of the Princes) or the 1965 Assignment (in the case of India). However, it is appropriate to record that </w:t>
      </w:r>
      <w:r w:rsidR="00F87504">
        <w:t>the Nizam’s successor in title can be no-one other than the Princes or India. The administrator of Nizam VII’s estate</w:t>
      </w:r>
      <w:r w:rsidR="0016216B">
        <w:t xml:space="preserve"> (Mr Lintott) was a</w:t>
      </w:r>
      <w:r w:rsidR="004036F6">
        <w:t xml:space="preserve"> </w:t>
      </w:r>
      <w:r w:rsidR="0016216B">
        <w:t>party to these proceedings</w:t>
      </w:r>
      <w:r w:rsidR="000438EA">
        <w:t xml:space="preserve"> and was given every opportunity to bring a rival claim to those of the Princes and India: he did not do </w:t>
      </w:r>
      <w:r w:rsidR="00096A13">
        <w:t xml:space="preserve">and is bound by the outcome of these proceedings. It is also appropriate to record that </w:t>
      </w:r>
      <w:r w:rsidR="00483B37">
        <w:t>during the course of these proceedings, I have seen no hint of the possibility of any further claimant to the Fund, beyond the Princes and India.</w:t>
      </w:r>
    </w:p>
    <w:p w14:paraId="2AF1F4DC" w14:textId="77777777" w:rsidR="00483B37" w:rsidRDefault="00483B37" w:rsidP="00DD6138">
      <w:pPr>
        <w:numPr>
          <w:ilvl w:val="1"/>
          <w:numId w:val="2"/>
        </w:numPr>
        <w:autoSpaceDE w:val="0"/>
        <w:spacing w:before="240" w:after="240"/>
        <w:jc w:val="both"/>
      </w:pPr>
      <w:r>
        <w:t xml:space="preserve">The Princes’ and India’s alternative claims in restitution succeed against </w:t>
      </w:r>
      <w:r>
        <w:rPr>
          <w:i/>
          <w:iCs/>
        </w:rPr>
        <w:t>(i)</w:t>
      </w:r>
      <w:r>
        <w:t xml:space="preserve"> Pakistan and </w:t>
      </w:r>
      <w:r>
        <w:rPr>
          <w:i/>
          <w:iCs/>
        </w:rPr>
        <w:t>(ii)</w:t>
      </w:r>
      <w:r>
        <w:t xml:space="preserve"> in the alternative, the Bank. </w:t>
      </w:r>
      <w:r w:rsidR="000A1533">
        <w:t xml:space="preserve">I find that Pakistan’s assertion of a defence of limitation </w:t>
      </w:r>
      <w:r w:rsidR="00066AA2" w:rsidRPr="00A411C3">
        <w:t>is</w:t>
      </w:r>
      <w:r w:rsidR="000A1533">
        <w:t xml:space="preserve"> an abuse of the process of the court</w:t>
      </w:r>
      <w:r w:rsidR="006B6407">
        <w:t xml:space="preserve"> and order that the paragraphs in Pakistan’s statements of case asserting this defence be struck out. </w:t>
      </w:r>
      <w:r w:rsidR="001F59F9">
        <w:t>The Bank never pleaded a defence of limitation, and I find that a claim in restitution is properly maintainable against the Bank.</w:t>
      </w:r>
    </w:p>
    <w:p w14:paraId="1F4B5DDC" w14:textId="77777777" w:rsidR="001F59F9" w:rsidRDefault="001C24A2" w:rsidP="00DD6138">
      <w:pPr>
        <w:numPr>
          <w:ilvl w:val="1"/>
          <w:numId w:val="2"/>
        </w:numPr>
        <w:autoSpaceDE w:val="0"/>
        <w:spacing w:before="240" w:after="240"/>
        <w:jc w:val="both"/>
      </w:pPr>
      <w:r>
        <w:t>Pakistan’s contentions of non-justiciability by reason of the foreign act of state doctrine and non-enforceability on grounds of illegality both fail.</w:t>
      </w:r>
    </w:p>
    <w:p w14:paraId="295C94C5" w14:textId="77777777" w:rsidR="007D7AC9" w:rsidRDefault="00867C1F" w:rsidP="00E83E96">
      <w:pPr>
        <w:numPr>
          <w:ilvl w:val="0"/>
          <w:numId w:val="2"/>
        </w:numPr>
        <w:autoSpaceDE w:val="0"/>
        <w:spacing w:before="240" w:after="240"/>
        <w:jc w:val="both"/>
      </w:pPr>
      <w:r>
        <w:t>In these circumstances, Nizam VII was beneficially entitled to the Fund</w:t>
      </w:r>
      <w:r w:rsidR="00FA1A08">
        <w:t xml:space="preserve"> and </w:t>
      </w:r>
      <w:r w:rsidR="003B7752">
        <w:t xml:space="preserve">those claiming in right of Nizam VII – the Princes and India – are entitled to have the sum paid out to their order. </w:t>
      </w:r>
      <w:r w:rsidR="00AA2129">
        <w:t xml:space="preserve">I will leave it to the parties to frame an appropriate form of order </w:t>
      </w:r>
      <w:r w:rsidR="008662B6">
        <w:t>for my approval.</w:t>
      </w:r>
    </w:p>
    <w:p w14:paraId="5FC406DB" w14:textId="77777777" w:rsidR="008662B6" w:rsidRPr="002659C6" w:rsidRDefault="008662B6" w:rsidP="00E83E96">
      <w:pPr>
        <w:numPr>
          <w:ilvl w:val="0"/>
          <w:numId w:val="2"/>
        </w:numPr>
        <w:autoSpaceDE w:val="0"/>
        <w:spacing w:before="240" w:after="240"/>
        <w:jc w:val="both"/>
      </w:pPr>
      <w:r>
        <w:t xml:space="preserve">I am very grateful to the parties for all their considerable assistance in this matter. </w:t>
      </w:r>
      <w:r w:rsidR="00B6714B">
        <w:t xml:space="preserve">I have no doubt that </w:t>
      </w:r>
      <w:r w:rsidR="00D44AF9">
        <w:t>the parties and their legal teams would wish to record their sadness</w:t>
      </w:r>
      <w:r w:rsidR="00B24780">
        <w:t>, which I share,</w:t>
      </w:r>
      <w:r w:rsidR="00D44AF9">
        <w:t xml:space="preserve"> at the passing of Mr Brettler</w:t>
      </w:r>
      <w:r w:rsidR="00873534">
        <w:t>, Pakistan’s junior counsel</w:t>
      </w:r>
      <w:r w:rsidR="00CF3B17">
        <w:t xml:space="preserve"> </w:t>
      </w:r>
      <w:r w:rsidR="00CB0D2E">
        <w:t xml:space="preserve">from 2015 onward in </w:t>
      </w:r>
      <w:r w:rsidR="00CF3B17">
        <w:t>these proceedings</w:t>
      </w:r>
      <w:r w:rsidR="001733AA">
        <w:t>, on 12 July 2019</w:t>
      </w:r>
      <w:r w:rsidR="00B24780">
        <w:t>.</w:t>
      </w:r>
      <w:r w:rsidR="000C4089">
        <w:t xml:space="preserve"> This was his last case, and his loss will be keenly felt.</w:t>
      </w:r>
    </w:p>
    <w:p w14:paraId="7E47EFB9" w14:textId="77777777" w:rsidR="007924BD" w:rsidRDefault="007924BD">
      <w:pPr>
        <w:suppressAutoHyphens w:val="0"/>
        <w:spacing w:after="160" w:line="249" w:lineRule="auto"/>
      </w:pPr>
    </w:p>
    <w:p w14:paraId="28C48930" w14:textId="77777777" w:rsidR="00CF3B17" w:rsidRDefault="00CF3B17">
      <w:pPr>
        <w:suppressAutoHyphens w:val="0"/>
        <w:spacing w:after="160" w:line="249" w:lineRule="auto"/>
        <w:rPr>
          <w:b/>
          <w:bCs/>
        </w:rPr>
      </w:pPr>
      <w:r>
        <w:rPr>
          <w:b/>
          <w:bCs/>
        </w:rPr>
        <w:br w:type="page"/>
      </w:r>
    </w:p>
    <w:p w14:paraId="16CFCF61" w14:textId="77777777" w:rsidR="007924BD" w:rsidRDefault="007924BD" w:rsidP="007924BD">
      <w:pPr>
        <w:autoSpaceDE w:val="0"/>
        <w:spacing w:before="240" w:after="240"/>
        <w:jc w:val="center"/>
        <w:rPr>
          <w:b/>
          <w:bCs/>
        </w:rPr>
      </w:pPr>
      <w:r>
        <w:rPr>
          <w:b/>
          <w:bCs/>
        </w:rPr>
        <w:lastRenderedPageBreak/>
        <w:t>ANNEX 1</w:t>
      </w:r>
    </w:p>
    <w:p w14:paraId="3D538704" w14:textId="77777777" w:rsidR="007924BD" w:rsidRDefault="00AE11C5" w:rsidP="007924BD">
      <w:pPr>
        <w:autoSpaceDE w:val="0"/>
        <w:spacing w:before="240" w:after="240"/>
        <w:jc w:val="center"/>
        <w:rPr>
          <w:b/>
          <w:bCs/>
        </w:rPr>
      </w:pPr>
      <w:r>
        <w:rPr>
          <w:b/>
          <w:bCs/>
        </w:rPr>
        <w:t xml:space="preserve">GLOSSARY OF </w:t>
      </w:r>
      <w:r w:rsidR="006A3C7B">
        <w:rPr>
          <w:b/>
          <w:bCs/>
        </w:rPr>
        <w:t xml:space="preserve">NAMES AND </w:t>
      </w:r>
      <w:r w:rsidR="00176448">
        <w:rPr>
          <w:b/>
          <w:bCs/>
        </w:rPr>
        <w:t>TERMS USED IN THE JUDGMENT</w:t>
      </w:r>
    </w:p>
    <w:p w14:paraId="486F88EF" w14:textId="77777777" w:rsidR="008479ED" w:rsidRDefault="008479ED" w:rsidP="007924BD">
      <w:pPr>
        <w:autoSpaceDE w:val="0"/>
        <w:spacing w:before="240" w:after="240"/>
        <w:jc w:val="center"/>
        <w:rPr>
          <w:b/>
          <w:bCs/>
        </w:rPr>
      </w:pPr>
    </w:p>
    <w:tbl>
      <w:tblPr>
        <w:tblStyle w:val="TableGrid"/>
        <w:tblW w:w="0" w:type="auto"/>
        <w:tblLook w:val="04A0" w:firstRow="1" w:lastRow="0" w:firstColumn="1" w:lastColumn="0" w:noHBand="0" w:noVBand="1"/>
      </w:tblPr>
      <w:tblGrid>
        <w:gridCol w:w="2689"/>
        <w:gridCol w:w="4394"/>
        <w:gridCol w:w="1933"/>
      </w:tblGrid>
      <w:tr w:rsidR="00176448" w14:paraId="4344ED32" w14:textId="77777777" w:rsidTr="0067601C">
        <w:tc>
          <w:tcPr>
            <w:tcW w:w="2689" w:type="dxa"/>
            <w:shd w:val="clear" w:color="auto" w:fill="D9D9D9" w:themeFill="background1" w:themeFillShade="D9"/>
          </w:tcPr>
          <w:p w14:paraId="79E5028D" w14:textId="77777777" w:rsidR="00176448" w:rsidRPr="008479ED" w:rsidRDefault="008479ED" w:rsidP="00176448">
            <w:pPr>
              <w:autoSpaceDE w:val="0"/>
              <w:spacing w:before="60" w:after="60"/>
              <w:rPr>
                <w:rFonts w:ascii="Arial" w:hAnsi="Arial" w:cs="Arial"/>
                <w:b/>
                <w:bCs/>
                <w:sz w:val="18"/>
                <w:szCs w:val="18"/>
              </w:rPr>
            </w:pPr>
            <w:r w:rsidRPr="008479ED">
              <w:rPr>
                <w:rFonts w:ascii="Arial" w:hAnsi="Arial" w:cs="Arial"/>
                <w:b/>
                <w:bCs/>
                <w:sz w:val="18"/>
                <w:szCs w:val="18"/>
              </w:rPr>
              <w:t>TERM</w:t>
            </w:r>
          </w:p>
        </w:tc>
        <w:tc>
          <w:tcPr>
            <w:tcW w:w="4394" w:type="dxa"/>
            <w:shd w:val="clear" w:color="auto" w:fill="D9D9D9" w:themeFill="background1" w:themeFillShade="D9"/>
          </w:tcPr>
          <w:p w14:paraId="619FD13C" w14:textId="77777777" w:rsidR="00176448" w:rsidRPr="008479ED" w:rsidRDefault="008479ED" w:rsidP="00176448">
            <w:pPr>
              <w:autoSpaceDE w:val="0"/>
              <w:spacing w:before="60" w:after="60"/>
              <w:rPr>
                <w:rFonts w:ascii="Arial" w:hAnsi="Arial" w:cs="Arial"/>
                <w:b/>
                <w:bCs/>
                <w:sz w:val="18"/>
                <w:szCs w:val="18"/>
              </w:rPr>
            </w:pPr>
            <w:r w:rsidRPr="008479ED">
              <w:rPr>
                <w:rFonts w:ascii="Arial" w:hAnsi="Arial" w:cs="Arial"/>
                <w:b/>
                <w:bCs/>
                <w:sz w:val="18"/>
                <w:szCs w:val="18"/>
              </w:rPr>
              <w:t>MEANING</w:t>
            </w:r>
          </w:p>
        </w:tc>
        <w:tc>
          <w:tcPr>
            <w:tcW w:w="1933" w:type="dxa"/>
            <w:shd w:val="clear" w:color="auto" w:fill="D9D9D9" w:themeFill="background1" w:themeFillShade="D9"/>
          </w:tcPr>
          <w:p w14:paraId="4B2AC7EF" w14:textId="77777777" w:rsidR="00176448" w:rsidRPr="008479ED" w:rsidRDefault="008479ED" w:rsidP="00176448">
            <w:pPr>
              <w:autoSpaceDE w:val="0"/>
              <w:spacing w:before="60" w:after="60"/>
              <w:rPr>
                <w:rFonts w:ascii="Arial" w:hAnsi="Arial" w:cs="Arial"/>
                <w:b/>
                <w:bCs/>
                <w:sz w:val="18"/>
                <w:szCs w:val="18"/>
              </w:rPr>
            </w:pPr>
            <w:r w:rsidRPr="008479ED">
              <w:rPr>
                <w:rFonts w:ascii="Arial" w:hAnsi="Arial" w:cs="Arial"/>
                <w:b/>
                <w:bCs/>
                <w:sz w:val="18"/>
                <w:szCs w:val="18"/>
              </w:rPr>
              <w:t>FIRST USE IN THE JUDGMENT</w:t>
            </w:r>
          </w:p>
        </w:tc>
      </w:tr>
      <w:tr w:rsidR="00341612" w14:paraId="57B933DD" w14:textId="77777777" w:rsidTr="0067601C">
        <w:tc>
          <w:tcPr>
            <w:tcW w:w="2689" w:type="dxa"/>
          </w:tcPr>
          <w:p w14:paraId="464C7B0B" w14:textId="77777777" w:rsidR="00341612" w:rsidRDefault="00B15256" w:rsidP="001204F8">
            <w:pPr>
              <w:tabs>
                <w:tab w:val="center" w:pos="1236"/>
              </w:tabs>
              <w:autoSpaceDE w:val="0"/>
              <w:spacing w:before="60" w:after="60"/>
              <w:rPr>
                <w:b/>
                <w:bCs/>
                <w:sz w:val="22"/>
                <w:szCs w:val="22"/>
              </w:rPr>
            </w:pPr>
            <w:r>
              <w:rPr>
                <w:b/>
                <w:bCs/>
                <w:sz w:val="22"/>
                <w:szCs w:val="22"/>
              </w:rPr>
              <w:t>Allan</w:t>
            </w:r>
          </w:p>
        </w:tc>
        <w:tc>
          <w:tcPr>
            <w:tcW w:w="4394" w:type="dxa"/>
          </w:tcPr>
          <w:p w14:paraId="7F1933B4" w14:textId="77777777" w:rsidR="00341612" w:rsidRDefault="00B15256" w:rsidP="00176448">
            <w:pPr>
              <w:autoSpaceDE w:val="0"/>
              <w:spacing w:before="60" w:after="60"/>
              <w:rPr>
                <w:sz w:val="22"/>
                <w:szCs w:val="22"/>
              </w:rPr>
            </w:pPr>
            <w:r>
              <w:rPr>
                <w:sz w:val="22"/>
                <w:szCs w:val="22"/>
              </w:rPr>
              <w:t>RAB Allan, Managing Director of the Hyderabad State Bank.</w:t>
            </w:r>
          </w:p>
        </w:tc>
        <w:tc>
          <w:tcPr>
            <w:tcW w:w="1933" w:type="dxa"/>
          </w:tcPr>
          <w:p w14:paraId="04E17103" w14:textId="77777777" w:rsidR="00341612" w:rsidRPr="00D3529E" w:rsidRDefault="00421497" w:rsidP="00176448">
            <w:pPr>
              <w:autoSpaceDE w:val="0"/>
              <w:spacing w:before="60" w:after="60"/>
              <w:rPr>
                <w:sz w:val="22"/>
                <w:szCs w:val="22"/>
              </w:rPr>
            </w:pPr>
            <w:r>
              <w:rPr>
                <w:sz w:val="22"/>
                <w:szCs w:val="22"/>
              </w:rPr>
              <w:t>Para 90</w:t>
            </w:r>
          </w:p>
        </w:tc>
      </w:tr>
      <w:tr w:rsidR="00504A90" w14:paraId="2F6CFC80" w14:textId="77777777" w:rsidTr="0067601C">
        <w:tc>
          <w:tcPr>
            <w:tcW w:w="2689" w:type="dxa"/>
          </w:tcPr>
          <w:p w14:paraId="770792D4" w14:textId="77777777" w:rsidR="00504A90" w:rsidRDefault="00504A90" w:rsidP="001204F8">
            <w:pPr>
              <w:tabs>
                <w:tab w:val="center" w:pos="1236"/>
              </w:tabs>
              <w:autoSpaceDE w:val="0"/>
              <w:spacing w:before="60" w:after="60"/>
              <w:rPr>
                <w:b/>
                <w:bCs/>
                <w:sz w:val="22"/>
                <w:szCs w:val="22"/>
              </w:rPr>
            </w:pPr>
            <w:r>
              <w:rPr>
                <w:b/>
                <w:bCs/>
                <w:sz w:val="22"/>
                <w:szCs w:val="22"/>
              </w:rPr>
              <w:t>appointed day</w:t>
            </w:r>
          </w:p>
        </w:tc>
        <w:tc>
          <w:tcPr>
            <w:tcW w:w="4394" w:type="dxa"/>
          </w:tcPr>
          <w:p w14:paraId="7898BE48" w14:textId="77777777" w:rsidR="00504A90" w:rsidRDefault="00504A90" w:rsidP="00176448">
            <w:pPr>
              <w:autoSpaceDE w:val="0"/>
              <w:spacing w:before="60" w:after="60"/>
              <w:rPr>
                <w:sz w:val="22"/>
                <w:szCs w:val="22"/>
              </w:rPr>
            </w:pPr>
            <w:r>
              <w:rPr>
                <w:sz w:val="22"/>
                <w:szCs w:val="22"/>
              </w:rPr>
              <w:t xml:space="preserve">The date specified in the Indian Independence Act 1947, being </w:t>
            </w:r>
            <w:r w:rsidR="002731BC">
              <w:rPr>
                <w:sz w:val="22"/>
                <w:szCs w:val="22"/>
              </w:rPr>
              <w:t>15 August 1947.</w:t>
            </w:r>
          </w:p>
        </w:tc>
        <w:tc>
          <w:tcPr>
            <w:tcW w:w="1933" w:type="dxa"/>
          </w:tcPr>
          <w:p w14:paraId="16C8C652" w14:textId="77777777" w:rsidR="00504A90" w:rsidRDefault="002731BC" w:rsidP="00176448">
            <w:pPr>
              <w:autoSpaceDE w:val="0"/>
              <w:spacing w:before="60" w:after="60"/>
              <w:rPr>
                <w:sz w:val="22"/>
                <w:szCs w:val="22"/>
              </w:rPr>
            </w:pPr>
            <w:r>
              <w:rPr>
                <w:sz w:val="22"/>
                <w:szCs w:val="22"/>
              </w:rPr>
              <w:t>Para 63</w:t>
            </w:r>
          </w:p>
        </w:tc>
      </w:tr>
      <w:tr w:rsidR="001204F8" w14:paraId="09EA532A" w14:textId="77777777" w:rsidTr="0067601C">
        <w:tc>
          <w:tcPr>
            <w:tcW w:w="2689" w:type="dxa"/>
          </w:tcPr>
          <w:p w14:paraId="031F83A2" w14:textId="77777777" w:rsidR="001204F8" w:rsidRDefault="001204F8" w:rsidP="001204F8">
            <w:pPr>
              <w:tabs>
                <w:tab w:val="center" w:pos="1236"/>
              </w:tabs>
              <w:autoSpaceDE w:val="0"/>
              <w:spacing w:before="60" w:after="60"/>
              <w:rPr>
                <w:b/>
                <w:bCs/>
                <w:sz w:val="22"/>
                <w:szCs w:val="22"/>
              </w:rPr>
            </w:pPr>
            <w:r>
              <w:rPr>
                <w:b/>
                <w:bCs/>
                <w:sz w:val="22"/>
                <w:szCs w:val="22"/>
              </w:rPr>
              <w:t>Arms for Money Argument</w:t>
            </w:r>
          </w:p>
        </w:tc>
        <w:tc>
          <w:tcPr>
            <w:tcW w:w="4394" w:type="dxa"/>
          </w:tcPr>
          <w:p w14:paraId="6B099C1D" w14:textId="77777777" w:rsidR="001204F8" w:rsidRDefault="00B3392B" w:rsidP="00176448">
            <w:pPr>
              <w:autoSpaceDE w:val="0"/>
              <w:spacing w:before="60" w:after="60"/>
              <w:rPr>
                <w:sz w:val="22"/>
                <w:szCs w:val="22"/>
              </w:rPr>
            </w:pPr>
            <w:r>
              <w:rPr>
                <w:sz w:val="22"/>
                <w:szCs w:val="22"/>
              </w:rPr>
              <w:t>Pakistan’s contention that she was absolutely entitled to the Fund on the basis described in paragraph 17(1) of the Judgment.</w:t>
            </w:r>
          </w:p>
        </w:tc>
        <w:tc>
          <w:tcPr>
            <w:tcW w:w="1933" w:type="dxa"/>
          </w:tcPr>
          <w:p w14:paraId="6AB70291" w14:textId="77777777" w:rsidR="001204F8" w:rsidRPr="00D3529E" w:rsidRDefault="00B3392B" w:rsidP="00176448">
            <w:pPr>
              <w:autoSpaceDE w:val="0"/>
              <w:spacing w:before="60" w:after="60"/>
              <w:rPr>
                <w:sz w:val="22"/>
                <w:szCs w:val="22"/>
              </w:rPr>
            </w:pPr>
            <w:r>
              <w:rPr>
                <w:sz w:val="22"/>
                <w:szCs w:val="22"/>
              </w:rPr>
              <w:t>Para 17(1)</w:t>
            </w:r>
          </w:p>
        </w:tc>
      </w:tr>
      <w:tr w:rsidR="003F06FB" w14:paraId="0BAC8D4A" w14:textId="77777777" w:rsidTr="0067601C">
        <w:tc>
          <w:tcPr>
            <w:tcW w:w="2689" w:type="dxa"/>
          </w:tcPr>
          <w:p w14:paraId="7D85279A" w14:textId="77777777" w:rsidR="003F06FB" w:rsidRDefault="003F06FB" w:rsidP="00176448">
            <w:pPr>
              <w:autoSpaceDE w:val="0"/>
              <w:spacing w:before="60" w:after="60"/>
              <w:rPr>
                <w:b/>
                <w:bCs/>
                <w:sz w:val="22"/>
                <w:szCs w:val="22"/>
              </w:rPr>
            </w:pPr>
            <w:r>
              <w:rPr>
                <w:b/>
                <w:bCs/>
                <w:sz w:val="22"/>
                <w:szCs w:val="22"/>
              </w:rPr>
              <w:t>Bank</w:t>
            </w:r>
          </w:p>
        </w:tc>
        <w:tc>
          <w:tcPr>
            <w:tcW w:w="4394" w:type="dxa"/>
          </w:tcPr>
          <w:p w14:paraId="784D4BBC" w14:textId="77777777" w:rsidR="003F06FB" w:rsidRDefault="00370D59" w:rsidP="00176448">
            <w:pPr>
              <w:autoSpaceDE w:val="0"/>
              <w:spacing w:before="60" w:after="60"/>
              <w:rPr>
                <w:sz w:val="22"/>
                <w:szCs w:val="22"/>
              </w:rPr>
            </w:pPr>
            <w:r>
              <w:rPr>
                <w:sz w:val="22"/>
                <w:szCs w:val="22"/>
              </w:rPr>
              <w:t xml:space="preserve">The Westminster Bank, as it was called in 1948, </w:t>
            </w:r>
            <w:r w:rsidR="00C5731F">
              <w:rPr>
                <w:sz w:val="22"/>
                <w:szCs w:val="22"/>
              </w:rPr>
              <w:t xml:space="preserve">including any subsequent name changes </w:t>
            </w:r>
            <w:r w:rsidR="009B3374">
              <w:rPr>
                <w:sz w:val="22"/>
                <w:szCs w:val="22"/>
              </w:rPr>
              <w:t>and/or re-organisations since 1948.</w:t>
            </w:r>
          </w:p>
        </w:tc>
        <w:tc>
          <w:tcPr>
            <w:tcW w:w="1933" w:type="dxa"/>
          </w:tcPr>
          <w:p w14:paraId="485F50D3" w14:textId="77777777" w:rsidR="003F06FB" w:rsidRPr="00D3529E" w:rsidRDefault="009B3374" w:rsidP="00176448">
            <w:pPr>
              <w:autoSpaceDE w:val="0"/>
              <w:spacing w:before="60" w:after="60"/>
              <w:rPr>
                <w:sz w:val="22"/>
                <w:szCs w:val="22"/>
              </w:rPr>
            </w:pPr>
            <w:r>
              <w:rPr>
                <w:sz w:val="22"/>
                <w:szCs w:val="22"/>
              </w:rPr>
              <w:t>Para 1</w:t>
            </w:r>
          </w:p>
        </w:tc>
      </w:tr>
      <w:tr w:rsidR="005F5D77" w14:paraId="5A13270D" w14:textId="77777777" w:rsidTr="0067601C">
        <w:tc>
          <w:tcPr>
            <w:tcW w:w="2689" w:type="dxa"/>
          </w:tcPr>
          <w:p w14:paraId="75B5132A" w14:textId="77777777" w:rsidR="005F5D77" w:rsidRDefault="005F5D77" w:rsidP="00176448">
            <w:pPr>
              <w:autoSpaceDE w:val="0"/>
              <w:spacing w:before="60" w:after="60"/>
              <w:rPr>
                <w:b/>
                <w:bCs/>
                <w:sz w:val="22"/>
                <w:szCs w:val="22"/>
              </w:rPr>
            </w:pPr>
            <w:r>
              <w:rPr>
                <w:b/>
                <w:bCs/>
                <w:sz w:val="22"/>
                <w:szCs w:val="22"/>
              </w:rPr>
              <w:t xml:space="preserve">Bank’s solicitors </w:t>
            </w:r>
          </w:p>
        </w:tc>
        <w:tc>
          <w:tcPr>
            <w:tcW w:w="4394" w:type="dxa"/>
          </w:tcPr>
          <w:p w14:paraId="3EAD36CE" w14:textId="77777777" w:rsidR="005F5D77" w:rsidRDefault="005F5D77" w:rsidP="00176448">
            <w:pPr>
              <w:autoSpaceDE w:val="0"/>
              <w:spacing w:before="60" w:after="60"/>
              <w:rPr>
                <w:sz w:val="22"/>
                <w:szCs w:val="22"/>
              </w:rPr>
            </w:pPr>
            <w:r>
              <w:rPr>
                <w:sz w:val="22"/>
                <w:szCs w:val="22"/>
              </w:rPr>
              <w:t>Messrs Freshfields.</w:t>
            </w:r>
          </w:p>
        </w:tc>
        <w:tc>
          <w:tcPr>
            <w:tcW w:w="1933" w:type="dxa"/>
          </w:tcPr>
          <w:p w14:paraId="161C631E" w14:textId="77777777" w:rsidR="005F5D77" w:rsidRDefault="005F5D77" w:rsidP="00176448">
            <w:pPr>
              <w:autoSpaceDE w:val="0"/>
              <w:spacing w:before="60" w:after="60"/>
              <w:rPr>
                <w:sz w:val="22"/>
                <w:szCs w:val="22"/>
              </w:rPr>
            </w:pPr>
            <w:r>
              <w:rPr>
                <w:sz w:val="22"/>
                <w:szCs w:val="22"/>
              </w:rPr>
              <w:t>Para 156</w:t>
            </w:r>
          </w:p>
        </w:tc>
      </w:tr>
      <w:tr w:rsidR="009E0B46" w14:paraId="6E24A1A2" w14:textId="77777777" w:rsidTr="0067601C">
        <w:tc>
          <w:tcPr>
            <w:tcW w:w="2689" w:type="dxa"/>
          </w:tcPr>
          <w:p w14:paraId="2BCDFD8F" w14:textId="77777777" w:rsidR="009E0B46" w:rsidRPr="009E0B46" w:rsidRDefault="009E0B46" w:rsidP="00176448">
            <w:pPr>
              <w:autoSpaceDE w:val="0"/>
              <w:spacing w:before="60" w:after="60"/>
              <w:rPr>
                <w:b/>
                <w:bCs/>
                <w:i/>
                <w:iCs/>
                <w:sz w:val="22"/>
                <w:szCs w:val="22"/>
              </w:rPr>
            </w:pPr>
            <w:r>
              <w:rPr>
                <w:b/>
                <w:bCs/>
                <w:i/>
                <w:iCs/>
                <w:sz w:val="22"/>
                <w:szCs w:val="22"/>
              </w:rPr>
              <w:t>Bowstead &amp; Reynolds</w:t>
            </w:r>
          </w:p>
        </w:tc>
        <w:tc>
          <w:tcPr>
            <w:tcW w:w="4394" w:type="dxa"/>
          </w:tcPr>
          <w:p w14:paraId="188516A4" w14:textId="77777777" w:rsidR="009E0B46" w:rsidRDefault="009E0B46" w:rsidP="00176448">
            <w:pPr>
              <w:autoSpaceDE w:val="0"/>
              <w:spacing w:before="60" w:after="60"/>
              <w:rPr>
                <w:sz w:val="22"/>
                <w:szCs w:val="22"/>
              </w:rPr>
            </w:pPr>
            <w:r>
              <w:t xml:space="preserve">Watts &amp; Reynolds, </w:t>
            </w:r>
            <w:r w:rsidRPr="008C50F7">
              <w:rPr>
                <w:i/>
                <w:iCs/>
              </w:rPr>
              <w:t>Bowstead &amp;</w:t>
            </w:r>
            <w:r>
              <w:rPr>
                <w:i/>
                <w:iCs/>
              </w:rPr>
              <w:t xml:space="preserve"> Reynolds on Agency</w:t>
            </w:r>
            <w:r>
              <w:t>, 21</w:t>
            </w:r>
            <w:r w:rsidRPr="008C50F7">
              <w:rPr>
                <w:vertAlign w:val="superscript"/>
              </w:rPr>
              <w:t>st</w:t>
            </w:r>
            <w:r>
              <w:t xml:space="preserve"> ed (2018).</w:t>
            </w:r>
          </w:p>
        </w:tc>
        <w:tc>
          <w:tcPr>
            <w:tcW w:w="1933" w:type="dxa"/>
          </w:tcPr>
          <w:p w14:paraId="44C25430" w14:textId="77777777" w:rsidR="009E0B46" w:rsidRDefault="006C7365" w:rsidP="00176448">
            <w:pPr>
              <w:autoSpaceDE w:val="0"/>
              <w:spacing w:before="60" w:after="60"/>
              <w:rPr>
                <w:sz w:val="22"/>
                <w:szCs w:val="22"/>
              </w:rPr>
            </w:pPr>
            <w:r>
              <w:rPr>
                <w:sz w:val="22"/>
                <w:szCs w:val="22"/>
              </w:rPr>
              <w:t>Para 286 fn 224</w:t>
            </w:r>
          </w:p>
        </w:tc>
      </w:tr>
      <w:tr w:rsidR="00192FF1" w14:paraId="3C675FF5" w14:textId="77777777" w:rsidTr="0067601C">
        <w:tc>
          <w:tcPr>
            <w:tcW w:w="2689" w:type="dxa"/>
          </w:tcPr>
          <w:p w14:paraId="0E59A8C9" w14:textId="77777777" w:rsidR="00192FF1" w:rsidRDefault="00192FF1" w:rsidP="00176448">
            <w:pPr>
              <w:autoSpaceDE w:val="0"/>
              <w:spacing w:before="60" w:after="60"/>
              <w:rPr>
                <w:b/>
                <w:bCs/>
                <w:sz w:val="22"/>
                <w:szCs w:val="22"/>
              </w:rPr>
            </w:pPr>
            <w:r>
              <w:rPr>
                <w:b/>
                <w:bCs/>
                <w:sz w:val="22"/>
                <w:szCs w:val="22"/>
              </w:rPr>
              <w:t>British India</w:t>
            </w:r>
          </w:p>
        </w:tc>
        <w:tc>
          <w:tcPr>
            <w:tcW w:w="4394" w:type="dxa"/>
          </w:tcPr>
          <w:p w14:paraId="20ACCDE9" w14:textId="77777777" w:rsidR="00192FF1" w:rsidRDefault="00CB2D8C" w:rsidP="00176448">
            <w:pPr>
              <w:autoSpaceDE w:val="0"/>
              <w:spacing w:before="60" w:after="60"/>
              <w:rPr>
                <w:sz w:val="22"/>
                <w:szCs w:val="22"/>
              </w:rPr>
            </w:pPr>
            <w:r>
              <w:rPr>
                <w:sz w:val="22"/>
                <w:szCs w:val="22"/>
              </w:rPr>
              <w:t xml:space="preserve">Prior to the appointed day, </w:t>
            </w:r>
            <w:r w:rsidR="004B5203">
              <w:rPr>
                <w:sz w:val="22"/>
                <w:szCs w:val="22"/>
              </w:rPr>
              <w:t>the territory now divided between India and Pakistan.</w:t>
            </w:r>
          </w:p>
        </w:tc>
        <w:tc>
          <w:tcPr>
            <w:tcW w:w="1933" w:type="dxa"/>
          </w:tcPr>
          <w:p w14:paraId="2064218A" w14:textId="77777777" w:rsidR="00192FF1" w:rsidRDefault="004B5203" w:rsidP="00176448">
            <w:pPr>
              <w:autoSpaceDE w:val="0"/>
              <w:spacing w:before="60" w:after="60"/>
              <w:rPr>
                <w:sz w:val="22"/>
                <w:szCs w:val="22"/>
              </w:rPr>
            </w:pPr>
            <w:r>
              <w:rPr>
                <w:sz w:val="22"/>
                <w:szCs w:val="22"/>
              </w:rPr>
              <w:t>Para 62</w:t>
            </w:r>
          </w:p>
        </w:tc>
      </w:tr>
      <w:tr w:rsidR="00B92AC8" w14:paraId="409874D9" w14:textId="77777777" w:rsidTr="0067601C">
        <w:tc>
          <w:tcPr>
            <w:tcW w:w="2689" w:type="dxa"/>
          </w:tcPr>
          <w:p w14:paraId="64D91604" w14:textId="77777777" w:rsidR="00B92AC8" w:rsidRDefault="00B92AC8" w:rsidP="00176448">
            <w:pPr>
              <w:autoSpaceDE w:val="0"/>
              <w:spacing w:before="60" w:after="60"/>
              <w:rPr>
                <w:b/>
                <w:bCs/>
                <w:sz w:val="22"/>
                <w:szCs w:val="22"/>
              </w:rPr>
            </w:pPr>
            <w:r>
              <w:rPr>
                <w:b/>
                <w:bCs/>
                <w:sz w:val="22"/>
                <w:szCs w:val="22"/>
              </w:rPr>
              <w:t>Cotton</w:t>
            </w:r>
          </w:p>
        </w:tc>
        <w:tc>
          <w:tcPr>
            <w:tcW w:w="4394" w:type="dxa"/>
          </w:tcPr>
          <w:p w14:paraId="772E7363" w14:textId="77777777" w:rsidR="00B92AC8" w:rsidRDefault="00B92AC8" w:rsidP="00176448">
            <w:pPr>
              <w:autoSpaceDE w:val="0"/>
              <w:spacing w:before="60" w:after="60"/>
              <w:rPr>
                <w:sz w:val="22"/>
                <w:szCs w:val="22"/>
              </w:rPr>
            </w:pPr>
            <w:r>
              <w:rPr>
                <w:sz w:val="22"/>
                <w:szCs w:val="22"/>
              </w:rPr>
              <w:t>Sidney Cotton</w:t>
            </w:r>
            <w:r w:rsidR="00923243">
              <w:rPr>
                <w:sz w:val="22"/>
                <w:szCs w:val="22"/>
              </w:rPr>
              <w:t>, an adventurer centrally involved in the provision of arms to Pakistan and Hyderabad.</w:t>
            </w:r>
          </w:p>
        </w:tc>
        <w:tc>
          <w:tcPr>
            <w:tcW w:w="1933" w:type="dxa"/>
          </w:tcPr>
          <w:p w14:paraId="4C0D984C" w14:textId="77777777" w:rsidR="00B92AC8" w:rsidRDefault="00606DC0" w:rsidP="00176448">
            <w:pPr>
              <w:autoSpaceDE w:val="0"/>
              <w:spacing w:before="60" w:after="60"/>
              <w:rPr>
                <w:sz w:val="22"/>
                <w:szCs w:val="22"/>
              </w:rPr>
            </w:pPr>
            <w:r>
              <w:rPr>
                <w:sz w:val="22"/>
                <w:szCs w:val="22"/>
              </w:rPr>
              <w:t>Para 54</w:t>
            </w:r>
          </w:p>
        </w:tc>
      </w:tr>
      <w:tr w:rsidR="005E5F5D" w14:paraId="2EE6BBA2" w14:textId="77777777" w:rsidTr="0067601C">
        <w:tc>
          <w:tcPr>
            <w:tcW w:w="2689" w:type="dxa"/>
          </w:tcPr>
          <w:p w14:paraId="33C78F7C" w14:textId="77777777" w:rsidR="005E5F5D" w:rsidRDefault="00877383" w:rsidP="00176448">
            <w:pPr>
              <w:autoSpaceDE w:val="0"/>
              <w:spacing w:before="60" w:after="60"/>
              <w:rPr>
                <w:b/>
                <w:bCs/>
                <w:sz w:val="22"/>
                <w:szCs w:val="22"/>
              </w:rPr>
            </w:pPr>
            <w:r>
              <w:rPr>
                <w:b/>
                <w:bCs/>
                <w:sz w:val="22"/>
                <w:szCs w:val="22"/>
              </w:rPr>
              <w:t>CPR</w:t>
            </w:r>
          </w:p>
        </w:tc>
        <w:tc>
          <w:tcPr>
            <w:tcW w:w="4394" w:type="dxa"/>
          </w:tcPr>
          <w:p w14:paraId="09D85C0C" w14:textId="77777777" w:rsidR="005E5F5D" w:rsidRDefault="00877383" w:rsidP="00176448">
            <w:pPr>
              <w:autoSpaceDE w:val="0"/>
              <w:spacing w:before="60" w:after="60"/>
              <w:rPr>
                <w:sz w:val="22"/>
                <w:szCs w:val="22"/>
              </w:rPr>
            </w:pPr>
            <w:r>
              <w:rPr>
                <w:sz w:val="22"/>
                <w:szCs w:val="22"/>
              </w:rPr>
              <w:t>The Civil Procedure Rules.</w:t>
            </w:r>
          </w:p>
        </w:tc>
        <w:tc>
          <w:tcPr>
            <w:tcW w:w="1933" w:type="dxa"/>
          </w:tcPr>
          <w:p w14:paraId="4C4FDD39" w14:textId="77777777" w:rsidR="005E5F5D" w:rsidRDefault="00877383" w:rsidP="00176448">
            <w:pPr>
              <w:autoSpaceDE w:val="0"/>
              <w:spacing w:before="60" w:after="60"/>
              <w:rPr>
                <w:sz w:val="22"/>
                <w:szCs w:val="22"/>
              </w:rPr>
            </w:pPr>
            <w:r>
              <w:rPr>
                <w:sz w:val="22"/>
                <w:szCs w:val="22"/>
              </w:rPr>
              <w:t>Para 26(2)</w:t>
            </w:r>
          </w:p>
        </w:tc>
      </w:tr>
      <w:tr w:rsidR="004A4891" w14:paraId="30197B5E" w14:textId="77777777" w:rsidTr="0067601C">
        <w:tc>
          <w:tcPr>
            <w:tcW w:w="2689" w:type="dxa"/>
          </w:tcPr>
          <w:p w14:paraId="64B90D37" w14:textId="77777777" w:rsidR="004A4891" w:rsidRPr="004A4891" w:rsidRDefault="004A4891" w:rsidP="00176448">
            <w:pPr>
              <w:autoSpaceDE w:val="0"/>
              <w:spacing w:before="60" w:after="60"/>
              <w:rPr>
                <w:b/>
                <w:bCs/>
                <w:i/>
                <w:iCs/>
                <w:sz w:val="22"/>
                <w:szCs w:val="22"/>
              </w:rPr>
            </w:pPr>
            <w:r>
              <w:rPr>
                <w:b/>
                <w:bCs/>
                <w:i/>
                <w:iCs/>
                <w:sz w:val="22"/>
                <w:szCs w:val="22"/>
              </w:rPr>
              <w:t>Dicey &amp; Morris</w:t>
            </w:r>
          </w:p>
        </w:tc>
        <w:tc>
          <w:tcPr>
            <w:tcW w:w="4394" w:type="dxa"/>
          </w:tcPr>
          <w:p w14:paraId="2A3CEF3E" w14:textId="77777777" w:rsidR="004A4891" w:rsidRPr="004A4891" w:rsidRDefault="004A4891" w:rsidP="00176448">
            <w:pPr>
              <w:autoSpaceDE w:val="0"/>
              <w:spacing w:before="60" w:after="60"/>
              <w:rPr>
                <w:sz w:val="22"/>
                <w:szCs w:val="22"/>
              </w:rPr>
            </w:pPr>
            <w:r>
              <w:rPr>
                <w:sz w:val="22"/>
                <w:szCs w:val="22"/>
              </w:rPr>
              <w:t xml:space="preserve">Collins (ed), </w:t>
            </w:r>
            <w:r>
              <w:rPr>
                <w:i/>
                <w:iCs/>
                <w:sz w:val="22"/>
                <w:szCs w:val="22"/>
              </w:rPr>
              <w:t>Dicey, Morris &amp; Collins: The Conflict of Laws</w:t>
            </w:r>
            <w:r>
              <w:rPr>
                <w:sz w:val="22"/>
                <w:szCs w:val="22"/>
              </w:rPr>
              <w:t>, 15</w:t>
            </w:r>
            <w:r w:rsidRPr="004A4891">
              <w:rPr>
                <w:sz w:val="22"/>
                <w:szCs w:val="22"/>
                <w:vertAlign w:val="superscript"/>
              </w:rPr>
              <w:t>th</w:t>
            </w:r>
            <w:r>
              <w:rPr>
                <w:sz w:val="22"/>
                <w:szCs w:val="22"/>
              </w:rPr>
              <w:t xml:space="preserve"> ed (2012)</w:t>
            </w:r>
          </w:p>
        </w:tc>
        <w:tc>
          <w:tcPr>
            <w:tcW w:w="1933" w:type="dxa"/>
          </w:tcPr>
          <w:p w14:paraId="7EB2E573" w14:textId="77777777" w:rsidR="004A4891" w:rsidRDefault="004A4891" w:rsidP="00176448">
            <w:pPr>
              <w:autoSpaceDE w:val="0"/>
              <w:spacing w:before="60" w:after="60"/>
              <w:rPr>
                <w:sz w:val="22"/>
                <w:szCs w:val="22"/>
              </w:rPr>
            </w:pPr>
            <w:r>
              <w:rPr>
                <w:sz w:val="22"/>
                <w:szCs w:val="22"/>
              </w:rPr>
              <w:t xml:space="preserve">Para 183(2) fn </w:t>
            </w:r>
            <w:r w:rsidR="0038188C">
              <w:rPr>
                <w:sz w:val="22"/>
                <w:szCs w:val="22"/>
              </w:rPr>
              <w:t>122</w:t>
            </w:r>
          </w:p>
        </w:tc>
      </w:tr>
      <w:tr w:rsidR="00172B44" w14:paraId="40BD1BAA" w14:textId="77777777" w:rsidTr="0067601C">
        <w:tc>
          <w:tcPr>
            <w:tcW w:w="2689" w:type="dxa"/>
          </w:tcPr>
          <w:p w14:paraId="5C9E9219" w14:textId="77777777" w:rsidR="00172B44" w:rsidRPr="00172B44" w:rsidRDefault="00172B44" w:rsidP="00176448">
            <w:pPr>
              <w:autoSpaceDE w:val="0"/>
              <w:spacing w:before="60" w:after="60"/>
              <w:rPr>
                <w:b/>
                <w:bCs/>
                <w:sz w:val="22"/>
                <w:szCs w:val="22"/>
              </w:rPr>
            </w:pPr>
            <w:r>
              <w:rPr>
                <w:b/>
                <w:bCs/>
                <w:sz w:val="22"/>
                <w:szCs w:val="22"/>
              </w:rPr>
              <w:t>Doctrine</w:t>
            </w:r>
          </w:p>
        </w:tc>
        <w:tc>
          <w:tcPr>
            <w:tcW w:w="4394" w:type="dxa"/>
          </w:tcPr>
          <w:p w14:paraId="4A57B7D3" w14:textId="77777777" w:rsidR="00172B44" w:rsidRDefault="00045E6E" w:rsidP="00176448">
            <w:pPr>
              <w:autoSpaceDE w:val="0"/>
              <w:spacing w:before="60" w:after="60"/>
              <w:rPr>
                <w:sz w:val="22"/>
                <w:szCs w:val="22"/>
              </w:rPr>
            </w:pPr>
            <w:r>
              <w:rPr>
                <w:sz w:val="22"/>
                <w:szCs w:val="22"/>
              </w:rPr>
              <w:t>Lord Neuberger’s shorthand term for referring to the foreign act of state doctrine.</w:t>
            </w:r>
          </w:p>
        </w:tc>
        <w:tc>
          <w:tcPr>
            <w:tcW w:w="1933" w:type="dxa"/>
          </w:tcPr>
          <w:p w14:paraId="22340554" w14:textId="77777777" w:rsidR="00172B44" w:rsidRDefault="008C0DD0" w:rsidP="00176448">
            <w:pPr>
              <w:autoSpaceDE w:val="0"/>
              <w:spacing w:before="60" w:after="60"/>
              <w:rPr>
                <w:sz w:val="22"/>
                <w:szCs w:val="22"/>
              </w:rPr>
            </w:pPr>
            <w:r>
              <w:rPr>
                <w:sz w:val="22"/>
                <w:szCs w:val="22"/>
              </w:rPr>
              <w:t>Para 293</w:t>
            </w:r>
          </w:p>
        </w:tc>
      </w:tr>
      <w:tr w:rsidR="00BC38D3" w14:paraId="7AFB1C62" w14:textId="77777777" w:rsidTr="0067601C">
        <w:tc>
          <w:tcPr>
            <w:tcW w:w="2689" w:type="dxa"/>
          </w:tcPr>
          <w:p w14:paraId="31DB32C8" w14:textId="77777777" w:rsidR="00BC38D3" w:rsidRPr="00BC38D3" w:rsidRDefault="00BC38D3" w:rsidP="00176448">
            <w:pPr>
              <w:autoSpaceDE w:val="0"/>
              <w:spacing w:before="60" w:after="60"/>
              <w:rPr>
                <w:b/>
                <w:bCs/>
                <w:sz w:val="22"/>
                <w:szCs w:val="22"/>
              </w:rPr>
            </w:pPr>
            <w:r>
              <w:rPr>
                <w:b/>
                <w:bCs/>
                <w:i/>
                <w:iCs/>
                <w:sz w:val="22"/>
                <w:szCs w:val="22"/>
              </w:rPr>
              <w:t>Eagleton</w:t>
            </w:r>
          </w:p>
        </w:tc>
        <w:tc>
          <w:tcPr>
            <w:tcW w:w="4394" w:type="dxa"/>
          </w:tcPr>
          <w:p w14:paraId="4137FD52" w14:textId="77777777" w:rsidR="00BC38D3" w:rsidRPr="00426BA7" w:rsidRDefault="00426BA7" w:rsidP="00176448">
            <w:pPr>
              <w:autoSpaceDE w:val="0"/>
              <w:spacing w:before="60" w:after="60"/>
              <w:rPr>
                <w:sz w:val="22"/>
                <w:szCs w:val="22"/>
              </w:rPr>
            </w:pPr>
            <w:r w:rsidRPr="00426BA7">
              <w:rPr>
                <w:sz w:val="22"/>
                <w:szCs w:val="22"/>
              </w:rPr>
              <w:t xml:space="preserve">Eagleton, </w:t>
            </w:r>
            <w:r w:rsidRPr="00426BA7">
              <w:rPr>
                <w:i/>
                <w:iCs/>
                <w:sz w:val="22"/>
                <w:szCs w:val="22"/>
              </w:rPr>
              <w:t>The Case of Hyderabad Before the Security Council</w:t>
            </w:r>
            <w:r w:rsidRPr="00426BA7">
              <w:rPr>
                <w:sz w:val="22"/>
                <w:szCs w:val="22"/>
              </w:rPr>
              <w:t>, (1950) 44 Am J Int Law 277</w:t>
            </w:r>
            <w:r>
              <w:rPr>
                <w:sz w:val="22"/>
                <w:szCs w:val="22"/>
              </w:rPr>
              <w:t>.</w:t>
            </w:r>
          </w:p>
        </w:tc>
        <w:tc>
          <w:tcPr>
            <w:tcW w:w="1933" w:type="dxa"/>
          </w:tcPr>
          <w:p w14:paraId="1BFE0463" w14:textId="77777777" w:rsidR="00BC38D3" w:rsidRDefault="00096420" w:rsidP="00176448">
            <w:pPr>
              <w:autoSpaceDE w:val="0"/>
              <w:spacing w:before="60" w:after="60"/>
              <w:rPr>
                <w:sz w:val="22"/>
                <w:szCs w:val="22"/>
              </w:rPr>
            </w:pPr>
            <w:r>
              <w:rPr>
                <w:sz w:val="22"/>
                <w:szCs w:val="22"/>
              </w:rPr>
              <w:t>Para 320 fn 27</w:t>
            </w:r>
            <w:r w:rsidR="00BD6D48">
              <w:rPr>
                <w:sz w:val="22"/>
                <w:szCs w:val="22"/>
              </w:rPr>
              <w:t>2</w:t>
            </w:r>
          </w:p>
        </w:tc>
      </w:tr>
      <w:tr w:rsidR="00AA70B2" w14:paraId="21978C3D" w14:textId="77777777" w:rsidTr="0067601C">
        <w:tc>
          <w:tcPr>
            <w:tcW w:w="2689" w:type="dxa"/>
          </w:tcPr>
          <w:p w14:paraId="0E7CD450" w14:textId="77777777" w:rsidR="00AA70B2" w:rsidRDefault="00AA70B2" w:rsidP="00176448">
            <w:pPr>
              <w:autoSpaceDE w:val="0"/>
              <w:spacing w:before="60" w:after="60"/>
              <w:rPr>
                <w:b/>
                <w:bCs/>
                <w:sz w:val="22"/>
                <w:szCs w:val="22"/>
              </w:rPr>
            </w:pPr>
            <w:r>
              <w:rPr>
                <w:b/>
                <w:bCs/>
                <w:sz w:val="22"/>
                <w:szCs w:val="22"/>
              </w:rPr>
              <w:t>Fordham 7</w:t>
            </w:r>
          </w:p>
        </w:tc>
        <w:tc>
          <w:tcPr>
            <w:tcW w:w="4394" w:type="dxa"/>
          </w:tcPr>
          <w:p w14:paraId="65E9CC83" w14:textId="77777777" w:rsidR="00AA70B2" w:rsidRDefault="00AA70B2" w:rsidP="00176448">
            <w:pPr>
              <w:autoSpaceDE w:val="0"/>
              <w:spacing w:before="60" w:after="60"/>
              <w:rPr>
                <w:sz w:val="22"/>
                <w:szCs w:val="22"/>
              </w:rPr>
            </w:pPr>
            <w:r>
              <w:rPr>
                <w:sz w:val="22"/>
                <w:szCs w:val="22"/>
              </w:rPr>
              <w:t xml:space="preserve">The seventh statement of Mr </w:t>
            </w:r>
            <w:r w:rsidR="001004ED">
              <w:rPr>
                <w:sz w:val="22"/>
                <w:szCs w:val="22"/>
              </w:rPr>
              <w:t>Fordham, on behalf of Pakistan.</w:t>
            </w:r>
          </w:p>
        </w:tc>
        <w:tc>
          <w:tcPr>
            <w:tcW w:w="1933" w:type="dxa"/>
          </w:tcPr>
          <w:p w14:paraId="5557BA6B" w14:textId="77777777" w:rsidR="00AA70B2" w:rsidRDefault="001004ED" w:rsidP="00176448">
            <w:pPr>
              <w:autoSpaceDE w:val="0"/>
              <w:spacing w:before="60" w:after="60"/>
              <w:rPr>
                <w:sz w:val="22"/>
                <w:szCs w:val="22"/>
              </w:rPr>
            </w:pPr>
            <w:r>
              <w:rPr>
                <w:sz w:val="22"/>
                <w:szCs w:val="22"/>
              </w:rPr>
              <w:t>Para 129(3)</w:t>
            </w:r>
          </w:p>
        </w:tc>
      </w:tr>
      <w:tr w:rsidR="00000BA8" w14:paraId="1FF7FB4D" w14:textId="77777777" w:rsidTr="0067601C">
        <w:tc>
          <w:tcPr>
            <w:tcW w:w="2689" w:type="dxa"/>
          </w:tcPr>
          <w:p w14:paraId="4DEBD32E" w14:textId="77777777" w:rsidR="00000BA8" w:rsidRDefault="00000BA8" w:rsidP="00176448">
            <w:pPr>
              <w:autoSpaceDE w:val="0"/>
              <w:spacing w:before="60" w:after="60"/>
              <w:rPr>
                <w:b/>
                <w:bCs/>
                <w:sz w:val="22"/>
                <w:szCs w:val="22"/>
              </w:rPr>
            </w:pPr>
            <w:r>
              <w:rPr>
                <w:b/>
                <w:bCs/>
                <w:sz w:val="22"/>
                <w:szCs w:val="22"/>
              </w:rPr>
              <w:t>Fund</w:t>
            </w:r>
          </w:p>
        </w:tc>
        <w:tc>
          <w:tcPr>
            <w:tcW w:w="4394" w:type="dxa"/>
          </w:tcPr>
          <w:p w14:paraId="6B116F70" w14:textId="77777777" w:rsidR="00000BA8" w:rsidRDefault="00000BA8" w:rsidP="00176448">
            <w:pPr>
              <w:autoSpaceDE w:val="0"/>
              <w:spacing w:before="60" w:after="60"/>
              <w:rPr>
                <w:sz w:val="22"/>
                <w:szCs w:val="22"/>
              </w:rPr>
            </w:pPr>
            <w:r>
              <w:rPr>
                <w:sz w:val="22"/>
                <w:szCs w:val="22"/>
              </w:rPr>
              <w:t xml:space="preserve">The monies standing to the credit </w:t>
            </w:r>
            <w:r w:rsidR="00ED3BB1">
              <w:rPr>
                <w:sz w:val="22"/>
                <w:szCs w:val="22"/>
              </w:rPr>
              <w:t>of the Rahimtoola Account.</w:t>
            </w:r>
          </w:p>
        </w:tc>
        <w:tc>
          <w:tcPr>
            <w:tcW w:w="1933" w:type="dxa"/>
          </w:tcPr>
          <w:p w14:paraId="16ED12D4" w14:textId="77777777" w:rsidR="00000BA8" w:rsidRPr="00D3529E" w:rsidRDefault="00ED3BB1" w:rsidP="00176448">
            <w:pPr>
              <w:autoSpaceDE w:val="0"/>
              <w:spacing w:before="60" w:after="60"/>
              <w:rPr>
                <w:sz w:val="22"/>
                <w:szCs w:val="22"/>
              </w:rPr>
            </w:pPr>
            <w:r>
              <w:rPr>
                <w:sz w:val="22"/>
                <w:szCs w:val="22"/>
              </w:rPr>
              <w:t>Para 5</w:t>
            </w:r>
          </w:p>
        </w:tc>
      </w:tr>
      <w:tr w:rsidR="00034BF3" w14:paraId="653E4624" w14:textId="77777777" w:rsidTr="0067601C">
        <w:tc>
          <w:tcPr>
            <w:tcW w:w="2689" w:type="dxa"/>
          </w:tcPr>
          <w:p w14:paraId="077079DD" w14:textId="77777777" w:rsidR="00034BF3" w:rsidRPr="00034BF3" w:rsidRDefault="00034BF3" w:rsidP="00176448">
            <w:pPr>
              <w:autoSpaceDE w:val="0"/>
              <w:spacing w:before="60" w:after="60"/>
              <w:rPr>
                <w:b/>
                <w:bCs/>
                <w:i/>
                <w:iCs/>
                <w:sz w:val="22"/>
                <w:szCs w:val="22"/>
              </w:rPr>
            </w:pPr>
            <w:r>
              <w:rPr>
                <w:b/>
                <w:bCs/>
                <w:i/>
                <w:iCs/>
                <w:sz w:val="22"/>
                <w:szCs w:val="22"/>
              </w:rPr>
              <w:t>Goff &amp; Jones</w:t>
            </w:r>
          </w:p>
        </w:tc>
        <w:tc>
          <w:tcPr>
            <w:tcW w:w="4394" w:type="dxa"/>
          </w:tcPr>
          <w:p w14:paraId="00FFD24E" w14:textId="77777777" w:rsidR="00034BF3" w:rsidRDefault="00034BF3" w:rsidP="00176448">
            <w:pPr>
              <w:autoSpaceDE w:val="0"/>
              <w:spacing w:before="60" w:after="60"/>
              <w:rPr>
                <w:sz w:val="22"/>
                <w:szCs w:val="22"/>
              </w:rPr>
            </w:pPr>
            <w:r>
              <w:t xml:space="preserve">Mitchell, Mitchell &amp; Watterson, </w:t>
            </w:r>
            <w:r>
              <w:rPr>
                <w:i/>
                <w:iCs/>
              </w:rPr>
              <w:t>Goff &amp; Jones: The Law of Unjust Enrichment</w:t>
            </w:r>
            <w:r>
              <w:t>, 9</w:t>
            </w:r>
            <w:r w:rsidRPr="00092D58">
              <w:rPr>
                <w:vertAlign w:val="superscript"/>
              </w:rPr>
              <w:t>th</w:t>
            </w:r>
            <w:r>
              <w:t xml:space="preserve"> ed (2016).</w:t>
            </w:r>
          </w:p>
        </w:tc>
        <w:tc>
          <w:tcPr>
            <w:tcW w:w="1933" w:type="dxa"/>
          </w:tcPr>
          <w:p w14:paraId="7133A498" w14:textId="77777777" w:rsidR="00034BF3" w:rsidRDefault="0002738B" w:rsidP="00176448">
            <w:pPr>
              <w:autoSpaceDE w:val="0"/>
              <w:spacing w:before="60" w:after="60"/>
              <w:rPr>
                <w:sz w:val="22"/>
                <w:szCs w:val="22"/>
              </w:rPr>
            </w:pPr>
            <w:r>
              <w:rPr>
                <w:sz w:val="22"/>
                <w:szCs w:val="22"/>
              </w:rPr>
              <w:t>Para 289 fn 2</w:t>
            </w:r>
            <w:r w:rsidR="0038188C">
              <w:rPr>
                <w:sz w:val="22"/>
                <w:szCs w:val="22"/>
              </w:rPr>
              <w:t>26</w:t>
            </w:r>
          </w:p>
        </w:tc>
      </w:tr>
      <w:tr w:rsidR="00176448" w14:paraId="474B0881" w14:textId="77777777" w:rsidTr="0067601C">
        <w:tc>
          <w:tcPr>
            <w:tcW w:w="2689" w:type="dxa"/>
          </w:tcPr>
          <w:p w14:paraId="2115C040" w14:textId="77777777" w:rsidR="00176448" w:rsidRPr="00732046" w:rsidRDefault="00732046" w:rsidP="00176448">
            <w:pPr>
              <w:autoSpaceDE w:val="0"/>
              <w:spacing w:before="60" w:after="60"/>
              <w:rPr>
                <w:b/>
                <w:bCs/>
                <w:sz w:val="22"/>
                <w:szCs w:val="22"/>
              </w:rPr>
            </w:pPr>
            <w:r>
              <w:rPr>
                <w:b/>
                <w:bCs/>
                <w:sz w:val="22"/>
                <w:szCs w:val="22"/>
              </w:rPr>
              <w:t xml:space="preserve">Gupta </w:t>
            </w:r>
          </w:p>
        </w:tc>
        <w:tc>
          <w:tcPr>
            <w:tcW w:w="4394" w:type="dxa"/>
          </w:tcPr>
          <w:p w14:paraId="5A7D23AD" w14:textId="77777777" w:rsidR="00176448" w:rsidRPr="00D3529E" w:rsidRDefault="00015142" w:rsidP="00176448">
            <w:pPr>
              <w:autoSpaceDE w:val="0"/>
              <w:spacing w:before="60" w:after="60"/>
              <w:rPr>
                <w:sz w:val="22"/>
                <w:szCs w:val="22"/>
              </w:rPr>
            </w:pPr>
            <w:r>
              <w:rPr>
                <w:sz w:val="22"/>
                <w:szCs w:val="22"/>
              </w:rPr>
              <w:t xml:space="preserve">Lakshmi Narayan </w:t>
            </w:r>
            <w:r w:rsidR="0064775E">
              <w:rPr>
                <w:sz w:val="22"/>
                <w:szCs w:val="22"/>
              </w:rPr>
              <w:t>Gupta, the Financial Secretary of Hyderabad at the time of Operation Polo</w:t>
            </w:r>
            <w:r w:rsidR="00AE11C5">
              <w:rPr>
                <w:sz w:val="22"/>
                <w:szCs w:val="22"/>
              </w:rPr>
              <w:t>, later an Indian civil servant.</w:t>
            </w:r>
            <w:r w:rsidR="0064775E">
              <w:rPr>
                <w:sz w:val="22"/>
                <w:szCs w:val="22"/>
              </w:rPr>
              <w:t xml:space="preserve"> </w:t>
            </w:r>
          </w:p>
        </w:tc>
        <w:tc>
          <w:tcPr>
            <w:tcW w:w="1933" w:type="dxa"/>
          </w:tcPr>
          <w:p w14:paraId="0DCE882E" w14:textId="77777777" w:rsidR="00176448" w:rsidRPr="00D3529E" w:rsidRDefault="003E5ADA" w:rsidP="00176448">
            <w:pPr>
              <w:autoSpaceDE w:val="0"/>
              <w:spacing w:before="60" w:after="60"/>
              <w:rPr>
                <w:sz w:val="22"/>
                <w:szCs w:val="22"/>
              </w:rPr>
            </w:pPr>
            <w:r>
              <w:rPr>
                <w:sz w:val="22"/>
                <w:szCs w:val="22"/>
              </w:rPr>
              <w:t>Para 40</w:t>
            </w:r>
          </w:p>
        </w:tc>
      </w:tr>
      <w:tr w:rsidR="003E5ADA" w14:paraId="7F6027D7" w14:textId="77777777" w:rsidTr="0067601C">
        <w:tc>
          <w:tcPr>
            <w:tcW w:w="2689" w:type="dxa"/>
          </w:tcPr>
          <w:p w14:paraId="249214C2" w14:textId="77777777" w:rsidR="003E5ADA" w:rsidRDefault="003E5ADA" w:rsidP="00176448">
            <w:pPr>
              <w:autoSpaceDE w:val="0"/>
              <w:spacing w:before="60" w:after="60"/>
              <w:rPr>
                <w:b/>
                <w:bCs/>
                <w:sz w:val="22"/>
                <w:szCs w:val="22"/>
              </w:rPr>
            </w:pPr>
            <w:r>
              <w:rPr>
                <w:b/>
                <w:bCs/>
                <w:sz w:val="22"/>
                <w:szCs w:val="22"/>
              </w:rPr>
              <w:t>Gupta 1</w:t>
            </w:r>
          </w:p>
        </w:tc>
        <w:tc>
          <w:tcPr>
            <w:tcW w:w="4394" w:type="dxa"/>
          </w:tcPr>
          <w:p w14:paraId="13330C6E" w14:textId="77777777" w:rsidR="003E5ADA" w:rsidRDefault="005544E1" w:rsidP="00176448">
            <w:pPr>
              <w:autoSpaceDE w:val="0"/>
              <w:spacing w:before="60" w:after="60"/>
              <w:rPr>
                <w:sz w:val="22"/>
                <w:szCs w:val="22"/>
              </w:rPr>
            </w:pPr>
            <w:r>
              <w:rPr>
                <w:sz w:val="22"/>
                <w:szCs w:val="22"/>
              </w:rPr>
              <w:t>Affidavit of Gupta</w:t>
            </w:r>
            <w:r w:rsidR="00213FDC">
              <w:rPr>
                <w:sz w:val="22"/>
                <w:szCs w:val="22"/>
              </w:rPr>
              <w:t xml:space="preserve"> in the 1954 Proceedings</w:t>
            </w:r>
            <w:r>
              <w:rPr>
                <w:sz w:val="22"/>
                <w:szCs w:val="22"/>
              </w:rPr>
              <w:t>, sworn 17 March 1956.</w:t>
            </w:r>
          </w:p>
        </w:tc>
        <w:tc>
          <w:tcPr>
            <w:tcW w:w="1933" w:type="dxa"/>
          </w:tcPr>
          <w:p w14:paraId="2870830C" w14:textId="77777777" w:rsidR="003E5ADA" w:rsidRDefault="005544E1" w:rsidP="00176448">
            <w:pPr>
              <w:autoSpaceDE w:val="0"/>
              <w:spacing w:before="60" w:after="60"/>
              <w:rPr>
                <w:sz w:val="22"/>
                <w:szCs w:val="22"/>
              </w:rPr>
            </w:pPr>
            <w:r>
              <w:rPr>
                <w:sz w:val="22"/>
                <w:szCs w:val="22"/>
              </w:rPr>
              <w:t>Para 40</w:t>
            </w:r>
          </w:p>
        </w:tc>
      </w:tr>
      <w:tr w:rsidR="00426EBD" w14:paraId="6B9C700F" w14:textId="77777777" w:rsidTr="0067601C">
        <w:tc>
          <w:tcPr>
            <w:tcW w:w="2689" w:type="dxa"/>
          </w:tcPr>
          <w:p w14:paraId="26E5640F" w14:textId="77777777" w:rsidR="00426EBD" w:rsidRDefault="00426EBD" w:rsidP="00176448">
            <w:pPr>
              <w:autoSpaceDE w:val="0"/>
              <w:spacing w:before="60" w:after="60"/>
              <w:rPr>
                <w:b/>
                <w:bCs/>
                <w:sz w:val="22"/>
                <w:szCs w:val="22"/>
              </w:rPr>
            </w:pPr>
            <w:r>
              <w:rPr>
                <w:b/>
                <w:bCs/>
                <w:sz w:val="22"/>
                <w:szCs w:val="22"/>
              </w:rPr>
              <w:lastRenderedPageBreak/>
              <w:t>Hillview</w:t>
            </w:r>
          </w:p>
        </w:tc>
        <w:tc>
          <w:tcPr>
            <w:tcW w:w="4394" w:type="dxa"/>
          </w:tcPr>
          <w:p w14:paraId="493C5E27" w14:textId="77777777" w:rsidR="00426EBD" w:rsidRDefault="002D440B" w:rsidP="00176448">
            <w:pPr>
              <w:autoSpaceDE w:val="0"/>
              <w:spacing w:before="60" w:after="60"/>
              <w:rPr>
                <w:sz w:val="22"/>
                <w:szCs w:val="22"/>
              </w:rPr>
            </w:pPr>
            <w:r>
              <w:rPr>
                <w:sz w:val="22"/>
                <w:szCs w:val="22"/>
              </w:rPr>
              <w:t>Hillview Assets Holdings Limited, the assignee of Nizam VIII’s interest in the Fund.</w:t>
            </w:r>
          </w:p>
        </w:tc>
        <w:tc>
          <w:tcPr>
            <w:tcW w:w="1933" w:type="dxa"/>
          </w:tcPr>
          <w:p w14:paraId="2BF4DBAE" w14:textId="77777777" w:rsidR="00426EBD" w:rsidRDefault="002D440B" w:rsidP="00176448">
            <w:pPr>
              <w:autoSpaceDE w:val="0"/>
              <w:spacing w:before="60" w:after="60"/>
              <w:rPr>
                <w:sz w:val="22"/>
                <w:szCs w:val="22"/>
              </w:rPr>
            </w:pPr>
            <w:r>
              <w:rPr>
                <w:sz w:val="22"/>
                <w:szCs w:val="22"/>
              </w:rPr>
              <w:t>Para 15(3)(a)</w:t>
            </w:r>
          </w:p>
        </w:tc>
      </w:tr>
      <w:tr w:rsidR="00D77F2A" w14:paraId="6927E8EC" w14:textId="77777777" w:rsidTr="0067601C">
        <w:tc>
          <w:tcPr>
            <w:tcW w:w="2689" w:type="dxa"/>
          </w:tcPr>
          <w:p w14:paraId="6B83E516" w14:textId="77777777" w:rsidR="00D77F2A" w:rsidRDefault="00D77F2A" w:rsidP="00176448">
            <w:pPr>
              <w:autoSpaceDE w:val="0"/>
              <w:spacing w:before="60" w:after="60"/>
              <w:rPr>
                <w:b/>
                <w:bCs/>
                <w:sz w:val="22"/>
                <w:szCs w:val="22"/>
              </w:rPr>
            </w:pPr>
            <w:r>
              <w:rPr>
                <w:b/>
                <w:bCs/>
                <w:sz w:val="22"/>
                <w:szCs w:val="22"/>
              </w:rPr>
              <w:t>Hyderabad</w:t>
            </w:r>
          </w:p>
        </w:tc>
        <w:tc>
          <w:tcPr>
            <w:tcW w:w="4394" w:type="dxa"/>
          </w:tcPr>
          <w:p w14:paraId="3DF85DBA" w14:textId="77777777" w:rsidR="00D77F2A" w:rsidRDefault="003C6438" w:rsidP="00176448">
            <w:pPr>
              <w:autoSpaceDE w:val="0"/>
              <w:spacing w:before="60" w:after="60"/>
              <w:rPr>
                <w:sz w:val="22"/>
                <w:szCs w:val="22"/>
              </w:rPr>
            </w:pPr>
            <w:r>
              <w:rPr>
                <w:sz w:val="22"/>
                <w:szCs w:val="22"/>
              </w:rPr>
              <w:t>The state of Hyderabad in all its emanations.</w:t>
            </w:r>
          </w:p>
        </w:tc>
        <w:tc>
          <w:tcPr>
            <w:tcW w:w="1933" w:type="dxa"/>
          </w:tcPr>
          <w:p w14:paraId="7C306F39" w14:textId="77777777" w:rsidR="00D77F2A" w:rsidRPr="00D3529E" w:rsidRDefault="003C6438" w:rsidP="00176448">
            <w:pPr>
              <w:autoSpaceDE w:val="0"/>
              <w:spacing w:before="60" w:after="60"/>
              <w:rPr>
                <w:sz w:val="22"/>
                <w:szCs w:val="22"/>
              </w:rPr>
            </w:pPr>
            <w:r>
              <w:rPr>
                <w:sz w:val="22"/>
                <w:szCs w:val="22"/>
              </w:rPr>
              <w:t>Para 2</w:t>
            </w:r>
          </w:p>
        </w:tc>
      </w:tr>
      <w:tr w:rsidR="007D093C" w14:paraId="62BD8491" w14:textId="77777777" w:rsidTr="0067601C">
        <w:tc>
          <w:tcPr>
            <w:tcW w:w="2689" w:type="dxa"/>
          </w:tcPr>
          <w:p w14:paraId="3B1F9275" w14:textId="77777777" w:rsidR="007D093C" w:rsidRDefault="007D093C" w:rsidP="007D093C">
            <w:pPr>
              <w:autoSpaceDE w:val="0"/>
              <w:spacing w:before="60" w:after="60"/>
              <w:rPr>
                <w:b/>
                <w:bCs/>
                <w:sz w:val="22"/>
                <w:szCs w:val="22"/>
              </w:rPr>
            </w:pPr>
            <w:r>
              <w:rPr>
                <w:b/>
                <w:bCs/>
                <w:sz w:val="22"/>
                <w:szCs w:val="22"/>
              </w:rPr>
              <w:t>Hyderabad State Bank</w:t>
            </w:r>
          </w:p>
        </w:tc>
        <w:tc>
          <w:tcPr>
            <w:tcW w:w="4394" w:type="dxa"/>
          </w:tcPr>
          <w:p w14:paraId="45425B7C" w14:textId="77777777" w:rsidR="007D093C" w:rsidRDefault="007D093C" w:rsidP="007D093C">
            <w:pPr>
              <w:autoSpaceDE w:val="0"/>
              <w:spacing w:before="60" w:after="60"/>
              <w:rPr>
                <w:sz w:val="22"/>
                <w:szCs w:val="22"/>
              </w:rPr>
            </w:pPr>
            <w:r>
              <w:rPr>
                <w:sz w:val="22"/>
                <w:szCs w:val="22"/>
              </w:rPr>
              <w:t>The central bank of Hyderabad.</w:t>
            </w:r>
          </w:p>
        </w:tc>
        <w:tc>
          <w:tcPr>
            <w:tcW w:w="1933" w:type="dxa"/>
          </w:tcPr>
          <w:p w14:paraId="1DBC7ABE" w14:textId="77777777" w:rsidR="007D093C" w:rsidRDefault="007D093C" w:rsidP="007D093C">
            <w:pPr>
              <w:autoSpaceDE w:val="0"/>
              <w:spacing w:before="60" w:after="60"/>
              <w:rPr>
                <w:sz w:val="22"/>
                <w:szCs w:val="22"/>
              </w:rPr>
            </w:pPr>
            <w:r>
              <w:rPr>
                <w:sz w:val="22"/>
                <w:szCs w:val="22"/>
              </w:rPr>
              <w:t>Para 90</w:t>
            </w:r>
          </w:p>
        </w:tc>
      </w:tr>
      <w:tr w:rsidR="007D093C" w14:paraId="23D23A17" w14:textId="77777777" w:rsidTr="0067601C">
        <w:tc>
          <w:tcPr>
            <w:tcW w:w="2689" w:type="dxa"/>
          </w:tcPr>
          <w:p w14:paraId="1B939BB3" w14:textId="77777777" w:rsidR="007D093C" w:rsidRDefault="007D093C" w:rsidP="007D093C">
            <w:pPr>
              <w:autoSpaceDE w:val="0"/>
              <w:spacing w:before="60" w:after="60"/>
              <w:rPr>
                <w:b/>
                <w:bCs/>
                <w:sz w:val="22"/>
                <w:szCs w:val="22"/>
              </w:rPr>
            </w:pPr>
            <w:r>
              <w:rPr>
                <w:b/>
                <w:bCs/>
                <w:sz w:val="22"/>
                <w:szCs w:val="22"/>
              </w:rPr>
              <w:t>Hyderabad State Bank Account</w:t>
            </w:r>
          </w:p>
        </w:tc>
        <w:tc>
          <w:tcPr>
            <w:tcW w:w="4394" w:type="dxa"/>
          </w:tcPr>
          <w:p w14:paraId="08C8E085" w14:textId="77777777" w:rsidR="007D093C" w:rsidRDefault="007D093C" w:rsidP="007D093C">
            <w:pPr>
              <w:autoSpaceDE w:val="0"/>
              <w:spacing w:before="60" w:after="60"/>
              <w:rPr>
                <w:sz w:val="22"/>
                <w:szCs w:val="22"/>
              </w:rPr>
            </w:pPr>
            <w:r>
              <w:rPr>
                <w:sz w:val="22"/>
                <w:szCs w:val="22"/>
              </w:rPr>
              <w:t xml:space="preserve">The account established by the Hyderabad State Bank with the Bank. </w:t>
            </w:r>
          </w:p>
        </w:tc>
        <w:tc>
          <w:tcPr>
            <w:tcW w:w="1933" w:type="dxa"/>
          </w:tcPr>
          <w:p w14:paraId="1D5A1487" w14:textId="77777777" w:rsidR="007D093C" w:rsidRPr="00D3529E" w:rsidRDefault="007D093C" w:rsidP="007D093C">
            <w:pPr>
              <w:autoSpaceDE w:val="0"/>
              <w:spacing w:before="60" w:after="60"/>
              <w:rPr>
                <w:sz w:val="22"/>
                <w:szCs w:val="22"/>
              </w:rPr>
            </w:pPr>
            <w:r>
              <w:rPr>
                <w:sz w:val="22"/>
                <w:szCs w:val="22"/>
              </w:rPr>
              <w:t>Para 90</w:t>
            </w:r>
          </w:p>
        </w:tc>
      </w:tr>
      <w:tr w:rsidR="007D093C" w14:paraId="19D808A0" w14:textId="77777777" w:rsidTr="0067601C">
        <w:tc>
          <w:tcPr>
            <w:tcW w:w="2689" w:type="dxa"/>
          </w:tcPr>
          <w:p w14:paraId="530B3CED" w14:textId="77777777" w:rsidR="007D093C" w:rsidRDefault="007D093C" w:rsidP="007D093C">
            <w:pPr>
              <w:autoSpaceDE w:val="0"/>
              <w:spacing w:before="60" w:after="60"/>
              <w:rPr>
                <w:b/>
                <w:bCs/>
                <w:sz w:val="22"/>
                <w:szCs w:val="22"/>
              </w:rPr>
            </w:pPr>
            <w:r>
              <w:rPr>
                <w:b/>
                <w:bCs/>
                <w:sz w:val="22"/>
                <w:szCs w:val="22"/>
              </w:rPr>
              <w:t>Ikramullah</w:t>
            </w:r>
          </w:p>
        </w:tc>
        <w:tc>
          <w:tcPr>
            <w:tcW w:w="4394" w:type="dxa"/>
          </w:tcPr>
          <w:p w14:paraId="712D2F41" w14:textId="77777777" w:rsidR="007D093C" w:rsidRDefault="007D093C" w:rsidP="007D093C">
            <w:pPr>
              <w:autoSpaceDE w:val="0"/>
              <w:spacing w:before="60" w:after="60"/>
              <w:rPr>
                <w:sz w:val="22"/>
                <w:szCs w:val="22"/>
              </w:rPr>
            </w:pPr>
            <w:r>
              <w:rPr>
                <w:sz w:val="22"/>
                <w:szCs w:val="22"/>
              </w:rPr>
              <w:t>Mohammad Ikramullah, one of Rahimtoola’s successors as High Commissioner.</w:t>
            </w:r>
          </w:p>
        </w:tc>
        <w:tc>
          <w:tcPr>
            <w:tcW w:w="1933" w:type="dxa"/>
          </w:tcPr>
          <w:p w14:paraId="6D7AC4AD" w14:textId="77777777" w:rsidR="007D093C" w:rsidRDefault="007D093C" w:rsidP="007D093C">
            <w:pPr>
              <w:autoSpaceDE w:val="0"/>
              <w:spacing w:before="60" w:after="60"/>
              <w:rPr>
                <w:sz w:val="22"/>
                <w:szCs w:val="22"/>
              </w:rPr>
            </w:pPr>
            <w:r>
              <w:rPr>
                <w:sz w:val="22"/>
                <w:szCs w:val="22"/>
              </w:rPr>
              <w:t>Para 36(3)</w:t>
            </w:r>
          </w:p>
        </w:tc>
      </w:tr>
      <w:tr w:rsidR="007D093C" w14:paraId="1AF5BDE9" w14:textId="77777777" w:rsidTr="0067601C">
        <w:tc>
          <w:tcPr>
            <w:tcW w:w="2689" w:type="dxa"/>
          </w:tcPr>
          <w:p w14:paraId="0FCFABA2" w14:textId="77777777" w:rsidR="007D093C" w:rsidRDefault="007D093C" w:rsidP="007D093C">
            <w:pPr>
              <w:tabs>
                <w:tab w:val="center" w:pos="1236"/>
              </w:tabs>
              <w:autoSpaceDE w:val="0"/>
              <w:spacing w:before="60" w:after="60"/>
              <w:rPr>
                <w:b/>
                <w:bCs/>
                <w:sz w:val="22"/>
                <w:szCs w:val="22"/>
              </w:rPr>
            </w:pPr>
            <w:r>
              <w:rPr>
                <w:b/>
                <w:bCs/>
                <w:sz w:val="22"/>
                <w:szCs w:val="22"/>
              </w:rPr>
              <w:t>India</w:t>
            </w:r>
            <w:r>
              <w:rPr>
                <w:b/>
                <w:bCs/>
                <w:sz w:val="22"/>
                <w:szCs w:val="22"/>
              </w:rPr>
              <w:tab/>
            </w:r>
          </w:p>
          <w:p w14:paraId="2CF82099" w14:textId="77777777" w:rsidR="007D093C" w:rsidRDefault="007D093C" w:rsidP="007D093C">
            <w:pPr>
              <w:tabs>
                <w:tab w:val="center" w:pos="1236"/>
              </w:tabs>
              <w:autoSpaceDE w:val="0"/>
              <w:spacing w:before="60" w:after="60"/>
              <w:rPr>
                <w:b/>
                <w:bCs/>
                <w:sz w:val="22"/>
                <w:szCs w:val="22"/>
              </w:rPr>
            </w:pPr>
            <w:r>
              <w:rPr>
                <w:b/>
                <w:bCs/>
                <w:sz w:val="22"/>
                <w:szCs w:val="22"/>
              </w:rPr>
              <w:t>Union of India</w:t>
            </w:r>
          </w:p>
        </w:tc>
        <w:tc>
          <w:tcPr>
            <w:tcW w:w="4394" w:type="dxa"/>
          </w:tcPr>
          <w:p w14:paraId="460750A5" w14:textId="77777777" w:rsidR="007D093C" w:rsidRDefault="007D093C" w:rsidP="007D093C">
            <w:pPr>
              <w:autoSpaceDE w:val="0"/>
              <w:spacing w:before="60" w:after="60"/>
              <w:rPr>
                <w:sz w:val="22"/>
                <w:szCs w:val="22"/>
              </w:rPr>
            </w:pPr>
            <w:r>
              <w:rPr>
                <w:sz w:val="22"/>
                <w:szCs w:val="22"/>
              </w:rPr>
              <w:t>The state of India as created by the Indian Independence Act 1947 on 15 August 1947 in all its emanations.</w:t>
            </w:r>
          </w:p>
        </w:tc>
        <w:tc>
          <w:tcPr>
            <w:tcW w:w="1933" w:type="dxa"/>
          </w:tcPr>
          <w:p w14:paraId="21AD9339" w14:textId="77777777" w:rsidR="007D093C" w:rsidRPr="00D3529E" w:rsidRDefault="007D093C" w:rsidP="007D093C">
            <w:pPr>
              <w:autoSpaceDE w:val="0"/>
              <w:spacing w:before="60" w:after="60"/>
              <w:rPr>
                <w:sz w:val="22"/>
                <w:szCs w:val="22"/>
              </w:rPr>
            </w:pPr>
            <w:r>
              <w:rPr>
                <w:sz w:val="22"/>
                <w:szCs w:val="22"/>
              </w:rPr>
              <w:t>Para 2</w:t>
            </w:r>
          </w:p>
        </w:tc>
      </w:tr>
      <w:tr w:rsidR="007D093C" w14:paraId="290BB2D7" w14:textId="77777777" w:rsidTr="0067601C">
        <w:tc>
          <w:tcPr>
            <w:tcW w:w="2689" w:type="dxa"/>
          </w:tcPr>
          <w:p w14:paraId="60836311" w14:textId="77777777" w:rsidR="007D093C" w:rsidRDefault="007D093C" w:rsidP="007D093C">
            <w:pPr>
              <w:autoSpaceDE w:val="0"/>
              <w:spacing w:before="60" w:after="60"/>
              <w:rPr>
                <w:b/>
                <w:bCs/>
                <w:sz w:val="22"/>
                <w:szCs w:val="22"/>
              </w:rPr>
            </w:pPr>
            <w:r>
              <w:rPr>
                <w:b/>
                <w:bCs/>
                <w:sz w:val="22"/>
                <w:szCs w:val="22"/>
              </w:rPr>
              <w:t>India’s Factual Narrative</w:t>
            </w:r>
          </w:p>
        </w:tc>
        <w:tc>
          <w:tcPr>
            <w:tcW w:w="4394" w:type="dxa"/>
          </w:tcPr>
          <w:p w14:paraId="2B7C71B2" w14:textId="77777777" w:rsidR="007D093C" w:rsidRDefault="007D093C" w:rsidP="007D093C">
            <w:pPr>
              <w:autoSpaceDE w:val="0"/>
              <w:spacing w:before="60" w:after="60"/>
              <w:rPr>
                <w:sz w:val="22"/>
                <w:szCs w:val="22"/>
              </w:rPr>
            </w:pPr>
            <w:r>
              <w:rPr>
                <w:sz w:val="22"/>
                <w:szCs w:val="22"/>
              </w:rPr>
              <w:t>The narrative produced by India pursuant to the permission granted by the court to adduce such a narrative.</w:t>
            </w:r>
          </w:p>
        </w:tc>
        <w:tc>
          <w:tcPr>
            <w:tcW w:w="1933" w:type="dxa"/>
          </w:tcPr>
          <w:p w14:paraId="6022906E" w14:textId="77777777" w:rsidR="007D093C" w:rsidRDefault="007D093C" w:rsidP="007D093C">
            <w:pPr>
              <w:autoSpaceDE w:val="0"/>
              <w:spacing w:before="60" w:after="60"/>
              <w:rPr>
                <w:sz w:val="22"/>
                <w:szCs w:val="22"/>
              </w:rPr>
            </w:pPr>
            <w:r>
              <w:rPr>
                <w:sz w:val="22"/>
                <w:szCs w:val="22"/>
              </w:rPr>
              <w:t>Para 33</w:t>
            </w:r>
          </w:p>
        </w:tc>
      </w:tr>
      <w:tr w:rsidR="007D093C" w14:paraId="2BFE8845" w14:textId="77777777" w:rsidTr="0067601C">
        <w:tc>
          <w:tcPr>
            <w:tcW w:w="2689" w:type="dxa"/>
          </w:tcPr>
          <w:p w14:paraId="40D8A4A4" w14:textId="77777777" w:rsidR="007D093C" w:rsidRDefault="007D093C" w:rsidP="007D093C">
            <w:pPr>
              <w:autoSpaceDE w:val="0"/>
              <w:spacing w:before="60" w:after="60"/>
              <w:rPr>
                <w:b/>
                <w:bCs/>
                <w:sz w:val="22"/>
                <w:szCs w:val="22"/>
              </w:rPr>
            </w:pPr>
            <w:r>
              <w:rPr>
                <w:b/>
                <w:bCs/>
                <w:sz w:val="22"/>
                <w:szCs w:val="22"/>
              </w:rPr>
              <w:t>India’s Pleading</w:t>
            </w:r>
          </w:p>
        </w:tc>
        <w:tc>
          <w:tcPr>
            <w:tcW w:w="4394" w:type="dxa"/>
          </w:tcPr>
          <w:p w14:paraId="52310CCE" w14:textId="77777777" w:rsidR="007D093C" w:rsidRDefault="007D093C" w:rsidP="007D093C">
            <w:pPr>
              <w:autoSpaceDE w:val="0"/>
              <w:spacing w:before="60" w:after="60"/>
              <w:rPr>
                <w:sz w:val="22"/>
                <w:szCs w:val="22"/>
              </w:rPr>
            </w:pPr>
            <w:r>
              <w:rPr>
                <w:sz w:val="22"/>
                <w:szCs w:val="22"/>
              </w:rPr>
              <w:t>Re-Re-Re-Amended Defence and Counterclaim on behalf of India and the President of India.</w:t>
            </w:r>
          </w:p>
        </w:tc>
        <w:tc>
          <w:tcPr>
            <w:tcW w:w="1933" w:type="dxa"/>
          </w:tcPr>
          <w:p w14:paraId="3EC523E3" w14:textId="77777777" w:rsidR="007D093C" w:rsidRDefault="007D093C" w:rsidP="007D093C">
            <w:pPr>
              <w:autoSpaceDE w:val="0"/>
              <w:spacing w:before="60" w:after="60"/>
              <w:rPr>
                <w:sz w:val="22"/>
                <w:szCs w:val="22"/>
              </w:rPr>
            </w:pPr>
            <w:r>
              <w:rPr>
                <w:sz w:val="22"/>
                <w:szCs w:val="22"/>
              </w:rPr>
              <w:t>Para 15(2) fn 11</w:t>
            </w:r>
          </w:p>
        </w:tc>
      </w:tr>
      <w:tr w:rsidR="007D093C" w14:paraId="18AC332D" w14:textId="77777777" w:rsidTr="0067601C">
        <w:tc>
          <w:tcPr>
            <w:tcW w:w="2689" w:type="dxa"/>
          </w:tcPr>
          <w:p w14:paraId="5EBE7982" w14:textId="77777777" w:rsidR="007D093C" w:rsidRDefault="007D093C" w:rsidP="007D093C">
            <w:pPr>
              <w:autoSpaceDE w:val="0"/>
              <w:spacing w:before="60" w:after="60"/>
              <w:rPr>
                <w:b/>
                <w:bCs/>
                <w:sz w:val="22"/>
                <w:szCs w:val="22"/>
              </w:rPr>
            </w:pPr>
            <w:r>
              <w:rPr>
                <w:b/>
                <w:bCs/>
                <w:sz w:val="22"/>
                <w:szCs w:val="22"/>
              </w:rPr>
              <w:t>Indian States</w:t>
            </w:r>
          </w:p>
        </w:tc>
        <w:tc>
          <w:tcPr>
            <w:tcW w:w="4394" w:type="dxa"/>
          </w:tcPr>
          <w:p w14:paraId="4C486424" w14:textId="77777777" w:rsidR="007D093C" w:rsidRDefault="007D093C" w:rsidP="007D093C">
            <w:pPr>
              <w:autoSpaceDE w:val="0"/>
              <w:spacing w:before="60" w:after="60"/>
              <w:rPr>
                <w:sz w:val="22"/>
                <w:szCs w:val="22"/>
              </w:rPr>
            </w:pPr>
            <w:r>
              <w:rPr>
                <w:sz w:val="22"/>
                <w:szCs w:val="22"/>
              </w:rPr>
              <w:t>The term used in the Indian Independence Act 1947 to refer to the princely states.</w:t>
            </w:r>
          </w:p>
        </w:tc>
        <w:tc>
          <w:tcPr>
            <w:tcW w:w="1933" w:type="dxa"/>
          </w:tcPr>
          <w:p w14:paraId="103692D8" w14:textId="77777777" w:rsidR="007D093C" w:rsidRPr="00D3529E" w:rsidRDefault="007D093C" w:rsidP="007D093C">
            <w:pPr>
              <w:autoSpaceDE w:val="0"/>
              <w:spacing w:before="60" w:after="60"/>
              <w:rPr>
                <w:sz w:val="22"/>
                <w:szCs w:val="22"/>
              </w:rPr>
            </w:pPr>
            <w:r>
              <w:rPr>
                <w:sz w:val="22"/>
                <w:szCs w:val="22"/>
              </w:rPr>
              <w:t>Para 64</w:t>
            </w:r>
          </w:p>
        </w:tc>
      </w:tr>
      <w:tr w:rsidR="007D093C" w14:paraId="321A49A8" w14:textId="77777777" w:rsidTr="0067601C">
        <w:tc>
          <w:tcPr>
            <w:tcW w:w="2689" w:type="dxa"/>
          </w:tcPr>
          <w:p w14:paraId="2133FC7F" w14:textId="77777777" w:rsidR="007D093C" w:rsidRDefault="007D093C" w:rsidP="007D093C">
            <w:pPr>
              <w:autoSpaceDE w:val="0"/>
              <w:spacing w:before="60" w:after="60"/>
              <w:rPr>
                <w:b/>
                <w:bCs/>
                <w:sz w:val="22"/>
                <w:szCs w:val="22"/>
              </w:rPr>
            </w:pPr>
            <w:r>
              <w:rPr>
                <w:b/>
                <w:bCs/>
                <w:sz w:val="22"/>
                <w:szCs w:val="22"/>
              </w:rPr>
              <w:t>Ispahani</w:t>
            </w:r>
          </w:p>
        </w:tc>
        <w:tc>
          <w:tcPr>
            <w:tcW w:w="4394" w:type="dxa"/>
          </w:tcPr>
          <w:p w14:paraId="626A61FC" w14:textId="77777777" w:rsidR="007D093C" w:rsidRDefault="007D093C" w:rsidP="007D093C">
            <w:pPr>
              <w:autoSpaceDE w:val="0"/>
              <w:spacing w:before="60" w:after="60"/>
              <w:rPr>
                <w:sz w:val="22"/>
                <w:szCs w:val="22"/>
              </w:rPr>
            </w:pPr>
            <w:r>
              <w:rPr>
                <w:sz w:val="22"/>
                <w:szCs w:val="22"/>
              </w:rPr>
              <w:t xml:space="preserve">Mirza </w:t>
            </w:r>
            <w:r w:rsidR="002A6A12">
              <w:rPr>
                <w:sz w:val="22"/>
                <w:szCs w:val="22"/>
              </w:rPr>
              <w:t xml:space="preserve">Abol </w:t>
            </w:r>
            <w:r>
              <w:rPr>
                <w:sz w:val="22"/>
                <w:szCs w:val="22"/>
              </w:rPr>
              <w:t>Hassan Ispahani, High Commissioner of Pakistan in succession to Rahimtoola.</w:t>
            </w:r>
          </w:p>
        </w:tc>
        <w:tc>
          <w:tcPr>
            <w:tcW w:w="1933" w:type="dxa"/>
          </w:tcPr>
          <w:p w14:paraId="263DF630" w14:textId="77777777" w:rsidR="007D093C" w:rsidRPr="00D3529E" w:rsidRDefault="007D093C" w:rsidP="007D093C">
            <w:pPr>
              <w:autoSpaceDE w:val="0"/>
              <w:spacing w:before="60" w:after="60"/>
              <w:rPr>
                <w:sz w:val="22"/>
                <w:szCs w:val="22"/>
              </w:rPr>
            </w:pPr>
            <w:r>
              <w:rPr>
                <w:sz w:val="22"/>
                <w:szCs w:val="22"/>
              </w:rPr>
              <w:t>Para 147(1)</w:t>
            </w:r>
          </w:p>
        </w:tc>
      </w:tr>
      <w:tr w:rsidR="007D093C" w14:paraId="2F7CCCF3" w14:textId="77777777" w:rsidTr="0067601C">
        <w:tc>
          <w:tcPr>
            <w:tcW w:w="2689" w:type="dxa"/>
          </w:tcPr>
          <w:p w14:paraId="3588910B" w14:textId="77777777" w:rsidR="007D093C" w:rsidRDefault="007D093C" w:rsidP="007D093C">
            <w:pPr>
              <w:autoSpaceDE w:val="0"/>
              <w:spacing w:before="60" w:after="60"/>
              <w:rPr>
                <w:b/>
                <w:bCs/>
                <w:sz w:val="22"/>
                <w:szCs w:val="22"/>
              </w:rPr>
            </w:pPr>
            <w:r>
              <w:rPr>
                <w:b/>
                <w:bCs/>
                <w:sz w:val="22"/>
                <w:szCs w:val="22"/>
              </w:rPr>
              <w:t>Ispahani letter</w:t>
            </w:r>
          </w:p>
        </w:tc>
        <w:tc>
          <w:tcPr>
            <w:tcW w:w="4394" w:type="dxa"/>
          </w:tcPr>
          <w:p w14:paraId="533112C2" w14:textId="77777777" w:rsidR="007D093C" w:rsidRDefault="007D093C" w:rsidP="007D093C">
            <w:pPr>
              <w:autoSpaceDE w:val="0"/>
              <w:spacing w:before="60" w:after="60"/>
              <w:rPr>
                <w:sz w:val="22"/>
                <w:szCs w:val="22"/>
              </w:rPr>
            </w:pPr>
            <w:r>
              <w:rPr>
                <w:sz w:val="22"/>
                <w:szCs w:val="22"/>
              </w:rPr>
              <w:t>A letter, dated 23 May 1953, from Pakistan’s Ministry of Foreign Affairs and Commonwealth Relations to Ispahani.</w:t>
            </w:r>
          </w:p>
        </w:tc>
        <w:tc>
          <w:tcPr>
            <w:tcW w:w="1933" w:type="dxa"/>
          </w:tcPr>
          <w:p w14:paraId="1CA98C6C" w14:textId="77777777" w:rsidR="007D093C" w:rsidRDefault="007D093C" w:rsidP="007D093C">
            <w:pPr>
              <w:autoSpaceDE w:val="0"/>
              <w:spacing w:before="60" w:after="60"/>
              <w:rPr>
                <w:sz w:val="22"/>
                <w:szCs w:val="22"/>
              </w:rPr>
            </w:pPr>
            <w:r>
              <w:rPr>
                <w:sz w:val="22"/>
                <w:szCs w:val="22"/>
              </w:rPr>
              <w:t>Para 147(2)</w:t>
            </w:r>
          </w:p>
        </w:tc>
      </w:tr>
      <w:tr w:rsidR="007D093C" w14:paraId="43071365" w14:textId="77777777" w:rsidTr="0067601C">
        <w:tc>
          <w:tcPr>
            <w:tcW w:w="2689" w:type="dxa"/>
          </w:tcPr>
          <w:p w14:paraId="61CF4537" w14:textId="77777777" w:rsidR="007D093C" w:rsidRDefault="007D093C" w:rsidP="007D093C">
            <w:pPr>
              <w:tabs>
                <w:tab w:val="left" w:pos="1193"/>
              </w:tabs>
              <w:autoSpaceDE w:val="0"/>
              <w:spacing w:before="60" w:after="60"/>
              <w:rPr>
                <w:b/>
                <w:bCs/>
                <w:sz w:val="22"/>
                <w:szCs w:val="22"/>
              </w:rPr>
            </w:pPr>
            <w:r>
              <w:rPr>
                <w:b/>
                <w:bCs/>
                <w:sz w:val="22"/>
                <w:szCs w:val="22"/>
              </w:rPr>
              <w:t>Laik Ali</w:t>
            </w:r>
            <w:r>
              <w:rPr>
                <w:b/>
                <w:bCs/>
                <w:sz w:val="22"/>
                <w:szCs w:val="22"/>
              </w:rPr>
              <w:tab/>
            </w:r>
          </w:p>
        </w:tc>
        <w:tc>
          <w:tcPr>
            <w:tcW w:w="4394" w:type="dxa"/>
          </w:tcPr>
          <w:p w14:paraId="679F3EFF" w14:textId="77777777" w:rsidR="007D093C" w:rsidRDefault="007D093C" w:rsidP="007D093C">
            <w:pPr>
              <w:tabs>
                <w:tab w:val="left" w:pos="2761"/>
              </w:tabs>
              <w:autoSpaceDE w:val="0"/>
              <w:spacing w:before="60" w:after="60"/>
              <w:rPr>
                <w:sz w:val="22"/>
                <w:szCs w:val="22"/>
              </w:rPr>
            </w:pPr>
            <w:r>
              <w:rPr>
                <w:sz w:val="22"/>
                <w:szCs w:val="22"/>
              </w:rPr>
              <w:t>Mir Laik Ali, Prime Minister of Nizam VII’s Government until 17 September 1948.</w:t>
            </w:r>
            <w:r>
              <w:rPr>
                <w:sz w:val="22"/>
                <w:szCs w:val="22"/>
              </w:rPr>
              <w:tab/>
            </w:r>
          </w:p>
        </w:tc>
        <w:tc>
          <w:tcPr>
            <w:tcW w:w="1933" w:type="dxa"/>
          </w:tcPr>
          <w:p w14:paraId="6340ABAE" w14:textId="77777777" w:rsidR="007D093C" w:rsidRPr="00D3529E" w:rsidRDefault="007D093C" w:rsidP="007D093C">
            <w:pPr>
              <w:autoSpaceDE w:val="0"/>
              <w:spacing w:before="60" w:after="60"/>
              <w:rPr>
                <w:sz w:val="22"/>
                <w:szCs w:val="22"/>
              </w:rPr>
            </w:pPr>
            <w:r>
              <w:rPr>
                <w:sz w:val="22"/>
                <w:szCs w:val="22"/>
              </w:rPr>
              <w:t>Para 73(2)</w:t>
            </w:r>
          </w:p>
        </w:tc>
      </w:tr>
      <w:tr w:rsidR="007D093C" w14:paraId="78A0DDF9" w14:textId="77777777" w:rsidTr="0067601C">
        <w:tc>
          <w:tcPr>
            <w:tcW w:w="2689" w:type="dxa"/>
          </w:tcPr>
          <w:p w14:paraId="017FD3BA" w14:textId="77777777" w:rsidR="007D093C" w:rsidRDefault="007D093C" w:rsidP="007D093C">
            <w:pPr>
              <w:tabs>
                <w:tab w:val="left" w:pos="1193"/>
              </w:tabs>
              <w:autoSpaceDE w:val="0"/>
              <w:spacing w:before="60" w:after="60"/>
              <w:rPr>
                <w:b/>
                <w:bCs/>
                <w:sz w:val="22"/>
                <w:szCs w:val="22"/>
              </w:rPr>
            </w:pPr>
            <w:r>
              <w:rPr>
                <w:b/>
                <w:bCs/>
                <w:sz w:val="22"/>
                <w:szCs w:val="22"/>
              </w:rPr>
              <w:t>Law Debenture</w:t>
            </w:r>
          </w:p>
        </w:tc>
        <w:tc>
          <w:tcPr>
            <w:tcW w:w="4394" w:type="dxa"/>
          </w:tcPr>
          <w:p w14:paraId="1FEA255E" w14:textId="77777777" w:rsidR="007D093C" w:rsidRDefault="007D093C" w:rsidP="007D093C">
            <w:pPr>
              <w:tabs>
                <w:tab w:val="left" w:pos="2761"/>
              </w:tabs>
              <w:autoSpaceDE w:val="0"/>
              <w:spacing w:before="60" w:after="60"/>
              <w:rPr>
                <w:sz w:val="22"/>
                <w:szCs w:val="22"/>
              </w:rPr>
            </w:pPr>
            <w:r>
              <w:rPr>
                <w:sz w:val="22"/>
                <w:szCs w:val="22"/>
              </w:rPr>
              <w:t>The Law Debenture Trust Corporation plc.</w:t>
            </w:r>
          </w:p>
        </w:tc>
        <w:tc>
          <w:tcPr>
            <w:tcW w:w="1933" w:type="dxa"/>
          </w:tcPr>
          <w:p w14:paraId="74A853B9" w14:textId="77777777" w:rsidR="007D093C" w:rsidRDefault="007D093C" w:rsidP="007D093C">
            <w:pPr>
              <w:autoSpaceDE w:val="0"/>
              <w:spacing w:before="60" w:after="60"/>
              <w:rPr>
                <w:sz w:val="22"/>
                <w:szCs w:val="22"/>
              </w:rPr>
            </w:pPr>
            <w:r>
              <w:rPr>
                <w:sz w:val="22"/>
                <w:szCs w:val="22"/>
              </w:rPr>
              <w:t>Para 284(4)</w:t>
            </w:r>
          </w:p>
        </w:tc>
      </w:tr>
      <w:tr w:rsidR="007D093C" w14:paraId="4B634E1F" w14:textId="77777777" w:rsidTr="0067601C">
        <w:tc>
          <w:tcPr>
            <w:tcW w:w="2689" w:type="dxa"/>
          </w:tcPr>
          <w:p w14:paraId="4E708222" w14:textId="77777777" w:rsidR="007D093C" w:rsidRPr="007778E5" w:rsidRDefault="007D093C" w:rsidP="007D093C">
            <w:pPr>
              <w:autoSpaceDE w:val="0"/>
              <w:spacing w:before="60" w:after="60"/>
              <w:rPr>
                <w:b/>
                <w:bCs/>
                <w:i/>
                <w:iCs/>
                <w:sz w:val="22"/>
                <w:szCs w:val="22"/>
              </w:rPr>
            </w:pPr>
            <w:r>
              <w:rPr>
                <w:b/>
                <w:bCs/>
                <w:i/>
                <w:iCs/>
                <w:sz w:val="22"/>
                <w:szCs w:val="22"/>
              </w:rPr>
              <w:t>Lewin</w:t>
            </w:r>
          </w:p>
        </w:tc>
        <w:tc>
          <w:tcPr>
            <w:tcW w:w="4394" w:type="dxa"/>
          </w:tcPr>
          <w:p w14:paraId="4D3D22C0" w14:textId="77777777" w:rsidR="007D093C" w:rsidRPr="00BB5FB3" w:rsidRDefault="007D093C" w:rsidP="007D093C">
            <w:pPr>
              <w:tabs>
                <w:tab w:val="left" w:pos="2761"/>
              </w:tabs>
              <w:autoSpaceDE w:val="0"/>
              <w:spacing w:before="60" w:after="60"/>
              <w:rPr>
                <w:sz w:val="22"/>
                <w:szCs w:val="22"/>
              </w:rPr>
            </w:pPr>
            <w:r w:rsidRPr="00BB5FB3">
              <w:rPr>
                <w:sz w:val="22"/>
                <w:szCs w:val="22"/>
              </w:rPr>
              <w:t xml:space="preserve">Tucker, Le Poidevin and Brightwell (eds), </w:t>
            </w:r>
            <w:r w:rsidRPr="00BB5FB3">
              <w:rPr>
                <w:i/>
                <w:iCs/>
                <w:sz w:val="22"/>
                <w:szCs w:val="22"/>
              </w:rPr>
              <w:t>Lewin on Trusts</w:t>
            </w:r>
            <w:r w:rsidRPr="00BB5FB3">
              <w:rPr>
                <w:sz w:val="22"/>
                <w:szCs w:val="22"/>
              </w:rPr>
              <w:t>, 19</w:t>
            </w:r>
            <w:r w:rsidRPr="00BB5FB3">
              <w:rPr>
                <w:sz w:val="22"/>
                <w:szCs w:val="22"/>
                <w:vertAlign w:val="superscript"/>
              </w:rPr>
              <w:t>th</w:t>
            </w:r>
            <w:r w:rsidRPr="00BB5FB3">
              <w:rPr>
                <w:sz w:val="22"/>
                <w:szCs w:val="22"/>
              </w:rPr>
              <w:t xml:space="preserve"> ed (2015)</w:t>
            </w:r>
            <w:r>
              <w:rPr>
                <w:sz w:val="22"/>
                <w:szCs w:val="22"/>
              </w:rPr>
              <w:t>.</w:t>
            </w:r>
          </w:p>
        </w:tc>
        <w:tc>
          <w:tcPr>
            <w:tcW w:w="1933" w:type="dxa"/>
          </w:tcPr>
          <w:p w14:paraId="3D6AF5C5" w14:textId="77777777" w:rsidR="007D093C" w:rsidRDefault="007D093C" w:rsidP="007D093C">
            <w:pPr>
              <w:autoSpaceDE w:val="0"/>
              <w:spacing w:before="60" w:after="60"/>
              <w:rPr>
                <w:sz w:val="22"/>
                <w:szCs w:val="22"/>
              </w:rPr>
            </w:pPr>
            <w:r>
              <w:rPr>
                <w:sz w:val="22"/>
                <w:szCs w:val="22"/>
              </w:rPr>
              <w:t>Para 248 fn 17</w:t>
            </w:r>
            <w:r w:rsidR="00F161D7">
              <w:rPr>
                <w:sz w:val="22"/>
                <w:szCs w:val="22"/>
              </w:rPr>
              <w:t>9</w:t>
            </w:r>
          </w:p>
        </w:tc>
      </w:tr>
      <w:tr w:rsidR="007D093C" w14:paraId="57F29591" w14:textId="77777777" w:rsidTr="0067601C">
        <w:tc>
          <w:tcPr>
            <w:tcW w:w="2689" w:type="dxa"/>
          </w:tcPr>
          <w:p w14:paraId="3BB8E702" w14:textId="77777777" w:rsidR="007D093C" w:rsidRDefault="007D093C" w:rsidP="007D093C">
            <w:pPr>
              <w:autoSpaceDE w:val="0"/>
              <w:spacing w:before="60" w:after="60"/>
              <w:rPr>
                <w:b/>
                <w:bCs/>
                <w:sz w:val="22"/>
                <w:szCs w:val="22"/>
              </w:rPr>
            </w:pPr>
            <w:r>
              <w:rPr>
                <w:b/>
                <w:bCs/>
                <w:sz w:val="22"/>
                <w:szCs w:val="22"/>
              </w:rPr>
              <w:t>Luschwitz</w:t>
            </w:r>
          </w:p>
        </w:tc>
        <w:tc>
          <w:tcPr>
            <w:tcW w:w="4394" w:type="dxa"/>
          </w:tcPr>
          <w:p w14:paraId="3F831935" w14:textId="77777777" w:rsidR="007D093C" w:rsidRDefault="007D093C" w:rsidP="007D093C">
            <w:pPr>
              <w:tabs>
                <w:tab w:val="left" w:pos="2761"/>
              </w:tabs>
              <w:autoSpaceDE w:val="0"/>
              <w:spacing w:before="60" w:after="60"/>
              <w:rPr>
                <w:sz w:val="22"/>
                <w:szCs w:val="22"/>
              </w:rPr>
            </w:pPr>
            <w:r>
              <w:rPr>
                <w:sz w:val="22"/>
                <w:szCs w:val="22"/>
              </w:rPr>
              <w:t>Major J Henry Luschwitz, the director of music of the Hyderabad Army, who gave evidence in relation to the acquisition and transportation of weapons.</w:t>
            </w:r>
          </w:p>
        </w:tc>
        <w:tc>
          <w:tcPr>
            <w:tcW w:w="1933" w:type="dxa"/>
          </w:tcPr>
          <w:p w14:paraId="236AEC29" w14:textId="77777777" w:rsidR="007D093C" w:rsidRDefault="007D093C" w:rsidP="007D093C">
            <w:pPr>
              <w:autoSpaceDE w:val="0"/>
              <w:spacing w:before="60" w:after="60"/>
              <w:rPr>
                <w:sz w:val="22"/>
                <w:szCs w:val="22"/>
              </w:rPr>
            </w:pPr>
            <w:r>
              <w:rPr>
                <w:sz w:val="22"/>
                <w:szCs w:val="22"/>
              </w:rPr>
              <w:t>Para 208 fn 146</w:t>
            </w:r>
          </w:p>
        </w:tc>
      </w:tr>
      <w:tr w:rsidR="007D093C" w14:paraId="147F1F2A" w14:textId="77777777" w:rsidTr="0067601C">
        <w:tc>
          <w:tcPr>
            <w:tcW w:w="2689" w:type="dxa"/>
          </w:tcPr>
          <w:p w14:paraId="1060D01E" w14:textId="77777777" w:rsidR="007D093C" w:rsidRDefault="007D093C" w:rsidP="007D093C">
            <w:pPr>
              <w:autoSpaceDE w:val="0"/>
              <w:spacing w:before="60" w:after="60"/>
              <w:rPr>
                <w:b/>
                <w:bCs/>
                <w:sz w:val="22"/>
                <w:szCs w:val="22"/>
              </w:rPr>
            </w:pPr>
            <w:r>
              <w:rPr>
                <w:b/>
                <w:bCs/>
                <w:sz w:val="22"/>
                <w:szCs w:val="22"/>
              </w:rPr>
              <w:t>Luschwitz 1</w:t>
            </w:r>
          </w:p>
        </w:tc>
        <w:tc>
          <w:tcPr>
            <w:tcW w:w="4394" w:type="dxa"/>
          </w:tcPr>
          <w:p w14:paraId="6D1CCCB6" w14:textId="77777777" w:rsidR="007D093C" w:rsidRDefault="007D093C" w:rsidP="007D093C">
            <w:pPr>
              <w:tabs>
                <w:tab w:val="left" w:pos="2761"/>
              </w:tabs>
              <w:autoSpaceDE w:val="0"/>
              <w:spacing w:before="60" w:after="60"/>
              <w:rPr>
                <w:sz w:val="22"/>
                <w:szCs w:val="22"/>
              </w:rPr>
            </w:pPr>
            <w:r>
              <w:rPr>
                <w:sz w:val="22"/>
                <w:szCs w:val="22"/>
              </w:rPr>
              <w:t>Luschwitz’s statement, dated 8 October 1948.</w:t>
            </w:r>
          </w:p>
        </w:tc>
        <w:tc>
          <w:tcPr>
            <w:tcW w:w="1933" w:type="dxa"/>
          </w:tcPr>
          <w:p w14:paraId="04E65CB4" w14:textId="77777777" w:rsidR="007D093C" w:rsidRDefault="007D093C" w:rsidP="007D093C">
            <w:pPr>
              <w:autoSpaceDE w:val="0"/>
              <w:spacing w:before="60" w:after="60"/>
              <w:rPr>
                <w:sz w:val="22"/>
                <w:szCs w:val="22"/>
              </w:rPr>
            </w:pPr>
            <w:r>
              <w:rPr>
                <w:sz w:val="22"/>
                <w:szCs w:val="22"/>
              </w:rPr>
              <w:t>Para 208 fn 146</w:t>
            </w:r>
          </w:p>
        </w:tc>
      </w:tr>
      <w:tr w:rsidR="007D093C" w14:paraId="06A278CF" w14:textId="77777777" w:rsidTr="0067601C">
        <w:tc>
          <w:tcPr>
            <w:tcW w:w="2689" w:type="dxa"/>
          </w:tcPr>
          <w:p w14:paraId="6BDB4374" w14:textId="77777777" w:rsidR="007D093C" w:rsidRDefault="007D093C" w:rsidP="007D093C">
            <w:pPr>
              <w:autoSpaceDE w:val="0"/>
              <w:spacing w:before="60" w:after="60"/>
              <w:rPr>
                <w:b/>
                <w:bCs/>
                <w:sz w:val="22"/>
                <w:szCs w:val="22"/>
              </w:rPr>
            </w:pPr>
            <w:r>
              <w:rPr>
                <w:b/>
                <w:bCs/>
                <w:sz w:val="22"/>
                <w:szCs w:val="22"/>
              </w:rPr>
              <w:t>Luschwitz 2</w:t>
            </w:r>
          </w:p>
        </w:tc>
        <w:tc>
          <w:tcPr>
            <w:tcW w:w="4394" w:type="dxa"/>
          </w:tcPr>
          <w:p w14:paraId="55B7B7FE" w14:textId="77777777" w:rsidR="007D093C" w:rsidRDefault="007D093C" w:rsidP="007D093C">
            <w:pPr>
              <w:tabs>
                <w:tab w:val="left" w:pos="2761"/>
              </w:tabs>
              <w:autoSpaceDE w:val="0"/>
              <w:spacing w:before="60" w:after="60"/>
              <w:rPr>
                <w:sz w:val="22"/>
                <w:szCs w:val="22"/>
              </w:rPr>
            </w:pPr>
            <w:r>
              <w:rPr>
                <w:sz w:val="22"/>
                <w:szCs w:val="22"/>
              </w:rPr>
              <w:t>Luschwitz’s second (supplemental) statement, dated 9 October 1948.</w:t>
            </w:r>
          </w:p>
        </w:tc>
        <w:tc>
          <w:tcPr>
            <w:tcW w:w="1933" w:type="dxa"/>
          </w:tcPr>
          <w:p w14:paraId="041A790C" w14:textId="77777777" w:rsidR="007D093C" w:rsidRDefault="007D093C" w:rsidP="007D093C">
            <w:pPr>
              <w:autoSpaceDE w:val="0"/>
              <w:spacing w:before="60" w:after="60"/>
              <w:rPr>
                <w:sz w:val="22"/>
                <w:szCs w:val="22"/>
              </w:rPr>
            </w:pPr>
            <w:r>
              <w:rPr>
                <w:sz w:val="22"/>
                <w:szCs w:val="22"/>
              </w:rPr>
              <w:t>Para 208 fn 146</w:t>
            </w:r>
          </w:p>
        </w:tc>
      </w:tr>
      <w:tr w:rsidR="007D093C" w14:paraId="5D0461F7" w14:textId="77777777" w:rsidTr="0067601C">
        <w:tc>
          <w:tcPr>
            <w:tcW w:w="2689" w:type="dxa"/>
          </w:tcPr>
          <w:p w14:paraId="22016090" w14:textId="77777777" w:rsidR="007D093C" w:rsidRDefault="007D093C" w:rsidP="007D093C">
            <w:pPr>
              <w:autoSpaceDE w:val="0"/>
              <w:spacing w:before="60" w:after="60"/>
              <w:rPr>
                <w:b/>
                <w:bCs/>
                <w:i/>
                <w:iCs/>
                <w:sz w:val="22"/>
                <w:szCs w:val="22"/>
              </w:rPr>
            </w:pPr>
            <w:r>
              <w:rPr>
                <w:b/>
                <w:bCs/>
                <w:i/>
                <w:iCs/>
                <w:sz w:val="22"/>
                <w:szCs w:val="22"/>
              </w:rPr>
              <w:t>McGee</w:t>
            </w:r>
          </w:p>
        </w:tc>
        <w:tc>
          <w:tcPr>
            <w:tcW w:w="4394" w:type="dxa"/>
          </w:tcPr>
          <w:p w14:paraId="29E2331B" w14:textId="77777777" w:rsidR="007D093C" w:rsidRPr="0015009B" w:rsidRDefault="007D093C" w:rsidP="007D093C">
            <w:pPr>
              <w:autoSpaceDE w:val="0"/>
              <w:spacing w:before="60" w:after="60"/>
              <w:rPr>
                <w:sz w:val="22"/>
                <w:szCs w:val="22"/>
              </w:rPr>
            </w:pPr>
            <w:r>
              <w:t xml:space="preserve">McGee, </w:t>
            </w:r>
            <w:r>
              <w:rPr>
                <w:i/>
                <w:iCs/>
              </w:rPr>
              <w:t>Limitation Periods</w:t>
            </w:r>
            <w:r>
              <w:t>, 8</w:t>
            </w:r>
            <w:r w:rsidRPr="007572BE">
              <w:rPr>
                <w:vertAlign w:val="superscript"/>
              </w:rPr>
              <w:t>th</w:t>
            </w:r>
            <w:r>
              <w:t xml:space="preserve"> ed (2018).</w:t>
            </w:r>
          </w:p>
        </w:tc>
        <w:tc>
          <w:tcPr>
            <w:tcW w:w="1933" w:type="dxa"/>
          </w:tcPr>
          <w:p w14:paraId="65CF4E86" w14:textId="77777777" w:rsidR="007D093C" w:rsidRDefault="007D093C" w:rsidP="007D093C">
            <w:pPr>
              <w:autoSpaceDE w:val="0"/>
              <w:spacing w:before="60" w:after="60"/>
              <w:rPr>
                <w:sz w:val="22"/>
                <w:szCs w:val="22"/>
              </w:rPr>
            </w:pPr>
            <w:r>
              <w:rPr>
                <w:sz w:val="22"/>
                <w:szCs w:val="22"/>
              </w:rPr>
              <w:t>Para 276 fn 20</w:t>
            </w:r>
            <w:r w:rsidR="00F161D7">
              <w:rPr>
                <w:sz w:val="22"/>
                <w:szCs w:val="22"/>
              </w:rPr>
              <w:t>3</w:t>
            </w:r>
          </w:p>
        </w:tc>
      </w:tr>
      <w:tr w:rsidR="007D093C" w14:paraId="406C624C" w14:textId="77777777" w:rsidTr="0067601C">
        <w:tc>
          <w:tcPr>
            <w:tcW w:w="2689" w:type="dxa"/>
          </w:tcPr>
          <w:p w14:paraId="0C2F212B" w14:textId="77777777" w:rsidR="007D093C" w:rsidRPr="0015009B" w:rsidRDefault="007D093C" w:rsidP="007D093C">
            <w:pPr>
              <w:autoSpaceDE w:val="0"/>
              <w:spacing w:before="60" w:after="60"/>
              <w:rPr>
                <w:b/>
                <w:bCs/>
                <w:i/>
                <w:iCs/>
                <w:sz w:val="22"/>
                <w:szCs w:val="22"/>
              </w:rPr>
            </w:pPr>
            <w:r>
              <w:rPr>
                <w:b/>
                <w:bCs/>
                <w:i/>
                <w:iCs/>
                <w:sz w:val="22"/>
                <w:szCs w:val="22"/>
              </w:rPr>
              <w:t>McLachlan</w:t>
            </w:r>
          </w:p>
        </w:tc>
        <w:tc>
          <w:tcPr>
            <w:tcW w:w="4394" w:type="dxa"/>
          </w:tcPr>
          <w:p w14:paraId="07181956" w14:textId="77777777" w:rsidR="007D093C" w:rsidRPr="0015009B" w:rsidRDefault="007D093C" w:rsidP="007D093C">
            <w:pPr>
              <w:autoSpaceDE w:val="0"/>
              <w:spacing w:before="60" w:after="60"/>
              <w:rPr>
                <w:sz w:val="22"/>
                <w:szCs w:val="22"/>
              </w:rPr>
            </w:pPr>
            <w:r w:rsidRPr="0015009B">
              <w:rPr>
                <w:sz w:val="22"/>
                <w:szCs w:val="22"/>
              </w:rPr>
              <w:t xml:space="preserve">McLachlan, </w:t>
            </w:r>
            <w:r w:rsidRPr="0015009B">
              <w:rPr>
                <w:i/>
                <w:iCs/>
                <w:sz w:val="22"/>
                <w:szCs w:val="22"/>
              </w:rPr>
              <w:t>Foreign Relations Law</w:t>
            </w:r>
            <w:r w:rsidRPr="0015009B">
              <w:rPr>
                <w:sz w:val="22"/>
                <w:szCs w:val="22"/>
              </w:rPr>
              <w:t>, 1</w:t>
            </w:r>
            <w:r w:rsidRPr="0015009B">
              <w:rPr>
                <w:sz w:val="22"/>
                <w:szCs w:val="22"/>
                <w:vertAlign w:val="superscript"/>
              </w:rPr>
              <w:t>st</w:t>
            </w:r>
            <w:r w:rsidRPr="0015009B">
              <w:rPr>
                <w:sz w:val="22"/>
                <w:szCs w:val="22"/>
              </w:rPr>
              <w:t xml:space="preserve"> ed (2014)</w:t>
            </w:r>
            <w:r>
              <w:rPr>
                <w:sz w:val="22"/>
                <w:szCs w:val="22"/>
              </w:rPr>
              <w:t>.</w:t>
            </w:r>
          </w:p>
        </w:tc>
        <w:tc>
          <w:tcPr>
            <w:tcW w:w="1933" w:type="dxa"/>
          </w:tcPr>
          <w:p w14:paraId="429099E3" w14:textId="77777777" w:rsidR="007D093C" w:rsidRDefault="007D093C" w:rsidP="007D093C">
            <w:pPr>
              <w:autoSpaceDE w:val="0"/>
              <w:spacing w:before="60" w:after="60"/>
              <w:rPr>
                <w:sz w:val="22"/>
                <w:szCs w:val="22"/>
              </w:rPr>
            </w:pPr>
            <w:r>
              <w:rPr>
                <w:sz w:val="22"/>
                <w:szCs w:val="22"/>
              </w:rPr>
              <w:t>Para 191 fn 13</w:t>
            </w:r>
            <w:r w:rsidR="00F161D7">
              <w:rPr>
                <w:sz w:val="22"/>
                <w:szCs w:val="22"/>
              </w:rPr>
              <w:t>4</w:t>
            </w:r>
          </w:p>
        </w:tc>
      </w:tr>
      <w:tr w:rsidR="007D093C" w14:paraId="5B63DA9D" w14:textId="77777777" w:rsidTr="0067601C">
        <w:tc>
          <w:tcPr>
            <w:tcW w:w="2689" w:type="dxa"/>
          </w:tcPr>
          <w:p w14:paraId="1903C65E" w14:textId="77777777" w:rsidR="007D093C" w:rsidRDefault="007D093C" w:rsidP="007D093C">
            <w:pPr>
              <w:autoSpaceDE w:val="0"/>
              <w:spacing w:before="60" w:after="60"/>
              <w:rPr>
                <w:b/>
                <w:bCs/>
                <w:sz w:val="22"/>
                <w:szCs w:val="22"/>
              </w:rPr>
            </w:pPr>
            <w:r>
              <w:rPr>
                <w:b/>
                <w:bCs/>
                <w:sz w:val="22"/>
                <w:szCs w:val="22"/>
              </w:rPr>
              <w:t>Mir</w:t>
            </w:r>
          </w:p>
        </w:tc>
        <w:tc>
          <w:tcPr>
            <w:tcW w:w="4394" w:type="dxa"/>
          </w:tcPr>
          <w:p w14:paraId="40DDC5F0" w14:textId="77777777" w:rsidR="007D093C" w:rsidRPr="00D3529E" w:rsidRDefault="007D093C" w:rsidP="007D093C">
            <w:pPr>
              <w:autoSpaceDE w:val="0"/>
              <w:spacing w:before="60" w:after="60"/>
              <w:rPr>
                <w:sz w:val="22"/>
                <w:szCs w:val="22"/>
              </w:rPr>
            </w:pPr>
            <w:r>
              <w:rPr>
                <w:sz w:val="22"/>
                <w:szCs w:val="22"/>
              </w:rPr>
              <w:t>Nawab Mir Nawaz Jung, Agent General for Hyderabad in London by September 1947 until 17 September 1948.</w:t>
            </w:r>
          </w:p>
        </w:tc>
        <w:tc>
          <w:tcPr>
            <w:tcW w:w="1933" w:type="dxa"/>
          </w:tcPr>
          <w:p w14:paraId="16FF4E19" w14:textId="77777777" w:rsidR="007D093C" w:rsidRPr="00D3529E" w:rsidRDefault="007D093C" w:rsidP="007D093C">
            <w:pPr>
              <w:autoSpaceDE w:val="0"/>
              <w:spacing w:before="60" w:after="60"/>
              <w:rPr>
                <w:sz w:val="22"/>
                <w:szCs w:val="22"/>
              </w:rPr>
            </w:pPr>
            <w:r>
              <w:rPr>
                <w:sz w:val="22"/>
                <w:szCs w:val="22"/>
              </w:rPr>
              <w:t>Para 86</w:t>
            </w:r>
          </w:p>
        </w:tc>
      </w:tr>
      <w:tr w:rsidR="007D093C" w14:paraId="6147545F" w14:textId="77777777" w:rsidTr="0067601C">
        <w:tc>
          <w:tcPr>
            <w:tcW w:w="2689" w:type="dxa"/>
          </w:tcPr>
          <w:p w14:paraId="20C6A875" w14:textId="77777777" w:rsidR="007D093C" w:rsidRDefault="007D093C" w:rsidP="007D093C">
            <w:pPr>
              <w:autoSpaceDE w:val="0"/>
              <w:spacing w:before="60" w:after="60"/>
              <w:rPr>
                <w:b/>
                <w:bCs/>
                <w:sz w:val="22"/>
                <w:szCs w:val="22"/>
              </w:rPr>
            </w:pPr>
            <w:r>
              <w:rPr>
                <w:b/>
                <w:bCs/>
                <w:sz w:val="22"/>
                <w:szCs w:val="22"/>
              </w:rPr>
              <w:lastRenderedPageBreak/>
              <w:t>Mirza</w:t>
            </w:r>
          </w:p>
        </w:tc>
        <w:tc>
          <w:tcPr>
            <w:tcW w:w="4394" w:type="dxa"/>
          </w:tcPr>
          <w:p w14:paraId="003947CE" w14:textId="77777777" w:rsidR="007D093C" w:rsidRDefault="007D093C" w:rsidP="007D093C">
            <w:pPr>
              <w:autoSpaceDE w:val="0"/>
              <w:spacing w:before="60" w:after="60"/>
              <w:rPr>
                <w:sz w:val="22"/>
                <w:szCs w:val="22"/>
              </w:rPr>
            </w:pPr>
            <w:r>
              <w:rPr>
                <w:sz w:val="22"/>
                <w:szCs w:val="22"/>
              </w:rPr>
              <w:t>Colonel Iskander Mirza, at all material times the Secretary of Defence of Pakistan.</w:t>
            </w:r>
          </w:p>
        </w:tc>
        <w:tc>
          <w:tcPr>
            <w:tcW w:w="1933" w:type="dxa"/>
          </w:tcPr>
          <w:p w14:paraId="30845F43" w14:textId="77777777" w:rsidR="007D093C" w:rsidRPr="00D3529E" w:rsidRDefault="007D093C" w:rsidP="007D093C">
            <w:pPr>
              <w:autoSpaceDE w:val="0"/>
              <w:spacing w:before="60" w:after="60"/>
              <w:rPr>
                <w:sz w:val="22"/>
                <w:szCs w:val="22"/>
              </w:rPr>
            </w:pPr>
            <w:r>
              <w:rPr>
                <w:sz w:val="22"/>
                <w:szCs w:val="22"/>
              </w:rPr>
              <w:t>Para 211(1)</w:t>
            </w:r>
          </w:p>
        </w:tc>
      </w:tr>
      <w:tr w:rsidR="007D093C" w14:paraId="0C6C0A92" w14:textId="77777777" w:rsidTr="0067601C">
        <w:tc>
          <w:tcPr>
            <w:tcW w:w="2689" w:type="dxa"/>
          </w:tcPr>
          <w:p w14:paraId="087CB03C" w14:textId="77777777" w:rsidR="007D093C" w:rsidRDefault="007D093C" w:rsidP="007D093C">
            <w:pPr>
              <w:autoSpaceDE w:val="0"/>
              <w:spacing w:before="60" w:after="60"/>
              <w:rPr>
                <w:b/>
                <w:bCs/>
                <w:sz w:val="22"/>
                <w:szCs w:val="22"/>
              </w:rPr>
            </w:pPr>
            <w:r>
              <w:rPr>
                <w:b/>
                <w:bCs/>
                <w:sz w:val="22"/>
                <w:szCs w:val="22"/>
              </w:rPr>
              <w:t>Moin</w:t>
            </w:r>
          </w:p>
        </w:tc>
        <w:tc>
          <w:tcPr>
            <w:tcW w:w="4394" w:type="dxa"/>
          </w:tcPr>
          <w:p w14:paraId="32819A9B" w14:textId="77777777" w:rsidR="007D093C" w:rsidRDefault="007D093C" w:rsidP="007D093C">
            <w:pPr>
              <w:autoSpaceDE w:val="0"/>
              <w:spacing w:before="60" w:after="60"/>
              <w:rPr>
                <w:sz w:val="22"/>
                <w:szCs w:val="22"/>
              </w:rPr>
            </w:pPr>
            <w:r>
              <w:rPr>
                <w:sz w:val="22"/>
                <w:szCs w:val="22"/>
              </w:rPr>
              <w:t>Nawab Moin Nawaz Jung, Finance Minister and Minister for External Affairs in Nizam VII’s Government until 17 September 1948.</w:t>
            </w:r>
          </w:p>
        </w:tc>
        <w:tc>
          <w:tcPr>
            <w:tcW w:w="1933" w:type="dxa"/>
          </w:tcPr>
          <w:p w14:paraId="3114F79D" w14:textId="77777777" w:rsidR="007D093C" w:rsidRPr="00D3529E" w:rsidRDefault="007D093C" w:rsidP="007D093C">
            <w:pPr>
              <w:autoSpaceDE w:val="0"/>
              <w:spacing w:before="60" w:after="60"/>
              <w:rPr>
                <w:sz w:val="22"/>
                <w:szCs w:val="22"/>
              </w:rPr>
            </w:pPr>
            <w:r>
              <w:rPr>
                <w:sz w:val="22"/>
                <w:szCs w:val="22"/>
              </w:rPr>
              <w:t>Para 1</w:t>
            </w:r>
          </w:p>
        </w:tc>
      </w:tr>
      <w:tr w:rsidR="007D093C" w14:paraId="34ABDA56" w14:textId="77777777" w:rsidTr="0067601C">
        <w:tc>
          <w:tcPr>
            <w:tcW w:w="2689" w:type="dxa"/>
          </w:tcPr>
          <w:p w14:paraId="27DE2FEC" w14:textId="77777777" w:rsidR="007D093C" w:rsidRDefault="007D093C" w:rsidP="007D093C">
            <w:pPr>
              <w:autoSpaceDE w:val="0"/>
              <w:spacing w:before="60" w:after="60"/>
              <w:rPr>
                <w:b/>
                <w:bCs/>
                <w:sz w:val="22"/>
                <w:szCs w:val="22"/>
              </w:rPr>
            </w:pPr>
            <w:r>
              <w:rPr>
                <w:b/>
                <w:bCs/>
                <w:sz w:val="22"/>
                <w:szCs w:val="22"/>
              </w:rPr>
              <w:t>Monckton</w:t>
            </w:r>
          </w:p>
        </w:tc>
        <w:tc>
          <w:tcPr>
            <w:tcW w:w="4394" w:type="dxa"/>
          </w:tcPr>
          <w:p w14:paraId="11E14302" w14:textId="77777777" w:rsidR="007D093C" w:rsidRDefault="007D093C" w:rsidP="007D093C">
            <w:pPr>
              <w:autoSpaceDE w:val="0"/>
              <w:spacing w:before="60" w:after="60"/>
              <w:rPr>
                <w:sz w:val="22"/>
                <w:szCs w:val="22"/>
              </w:rPr>
            </w:pPr>
            <w:r>
              <w:rPr>
                <w:sz w:val="22"/>
                <w:szCs w:val="22"/>
              </w:rPr>
              <w:t>Sir Walter, later Lord, Monckton, QC.</w:t>
            </w:r>
          </w:p>
        </w:tc>
        <w:tc>
          <w:tcPr>
            <w:tcW w:w="1933" w:type="dxa"/>
          </w:tcPr>
          <w:p w14:paraId="09D46824" w14:textId="77777777" w:rsidR="007D093C" w:rsidRDefault="007D093C" w:rsidP="007D093C">
            <w:pPr>
              <w:autoSpaceDE w:val="0"/>
              <w:spacing w:before="60" w:after="60"/>
              <w:rPr>
                <w:sz w:val="22"/>
                <w:szCs w:val="22"/>
              </w:rPr>
            </w:pPr>
            <w:r>
              <w:rPr>
                <w:sz w:val="22"/>
                <w:szCs w:val="22"/>
              </w:rPr>
              <w:t>Para 31</w:t>
            </w:r>
          </w:p>
        </w:tc>
      </w:tr>
      <w:tr w:rsidR="007D093C" w14:paraId="4A99F100" w14:textId="77777777" w:rsidTr="0067601C">
        <w:tc>
          <w:tcPr>
            <w:tcW w:w="2689" w:type="dxa"/>
          </w:tcPr>
          <w:p w14:paraId="3FE3E3FE" w14:textId="77777777" w:rsidR="007D093C" w:rsidRDefault="007D093C" w:rsidP="007D093C">
            <w:pPr>
              <w:autoSpaceDE w:val="0"/>
              <w:spacing w:before="60" w:after="60"/>
              <w:rPr>
                <w:b/>
                <w:bCs/>
                <w:sz w:val="22"/>
                <w:szCs w:val="22"/>
              </w:rPr>
            </w:pPr>
            <w:r>
              <w:rPr>
                <w:b/>
                <w:bCs/>
                <w:sz w:val="22"/>
                <w:szCs w:val="22"/>
              </w:rPr>
              <w:t>Muffakham 1</w:t>
            </w:r>
          </w:p>
        </w:tc>
        <w:tc>
          <w:tcPr>
            <w:tcW w:w="4394" w:type="dxa"/>
          </w:tcPr>
          <w:p w14:paraId="24AE5D71" w14:textId="77777777" w:rsidR="007D093C" w:rsidRDefault="007D093C" w:rsidP="007D093C">
            <w:pPr>
              <w:autoSpaceDE w:val="0"/>
              <w:spacing w:before="60" w:after="60"/>
              <w:rPr>
                <w:sz w:val="22"/>
                <w:szCs w:val="22"/>
              </w:rPr>
            </w:pPr>
            <w:r>
              <w:rPr>
                <w:sz w:val="22"/>
                <w:szCs w:val="22"/>
              </w:rPr>
              <w:t>Prince Muffakham’s first statement in these proceedings, dated 20 August 2015.</w:t>
            </w:r>
          </w:p>
        </w:tc>
        <w:tc>
          <w:tcPr>
            <w:tcW w:w="1933" w:type="dxa"/>
          </w:tcPr>
          <w:p w14:paraId="50438D8B" w14:textId="77777777" w:rsidR="007D093C" w:rsidRDefault="007D093C" w:rsidP="007D093C">
            <w:pPr>
              <w:autoSpaceDE w:val="0"/>
              <w:spacing w:before="60" w:after="60"/>
              <w:rPr>
                <w:sz w:val="22"/>
                <w:szCs w:val="22"/>
              </w:rPr>
            </w:pPr>
            <w:r>
              <w:rPr>
                <w:sz w:val="22"/>
                <w:szCs w:val="22"/>
              </w:rPr>
              <w:t>Para 35</w:t>
            </w:r>
          </w:p>
        </w:tc>
      </w:tr>
      <w:tr w:rsidR="007D093C" w14:paraId="70DA4C82" w14:textId="77777777" w:rsidTr="0067601C">
        <w:tc>
          <w:tcPr>
            <w:tcW w:w="2689" w:type="dxa"/>
          </w:tcPr>
          <w:p w14:paraId="0EBF6F3C" w14:textId="77777777" w:rsidR="007D093C" w:rsidRDefault="007D093C" w:rsidP="007D093C">
            <w:pPr>
              <w:autoSpaceDE w:val="0"/>
              <w:spacing w:before="60" w:after="60"/>
              <w:rPr>
                <w:b/>
                <w:bCs/>
                <w:sz w:val="22"/>
                <w:szCs w:val="22"/>
              </w:rPr>
            </w:pPr>
            <w:r>
              <w:rPr>
                <w:b/>
                <w:bCs/>
                <w:sz w:val="22"/>
                <w:szCs w:val="22"/>
              </w:rPr>
              <w:t>Muffakham 2</w:t>
            </w:r>
          </w:p>
        </w:tc>
        <w:tc>
          <w:tcPr>
            <w:tcW w:w="4394" w:type="dxa"/>
          </w:tcPr>
          <w:p w14:paraId="611B094B" w14:textId="77777777" w:rsidR="007D093C" w:rsidRDefault="007D093C" w:rsidP="007D093C">
            <w:pPr>
              <w:autoSpaceDE w:val="0"/>
              <w:spacing w:before="60" w:after="60"/>
              <w:rPr>
                <w:sz w:val="22"/>
                <w:szCs w:val="22"/>
              </w:rPr>
            </w:pPr>
            <w:r>
              <w:rPr>
                <w:sz w:val="22"/>
                <w:szCs w:val="22"/>
              </w:rPr>
              <w:t xml:space="preserve">Prince </w:t>
            </w:r>
            <w:r w:rsidRPr="00751778">
              <w:rPr>
                <w:sz w:val="22"/>
                <w:szCs w:val="22"/>
              </w:rPr>
              <w:t>Muffakham’s sec</w:t>
            </w:r>
            <w:r w:rsidR="000B7169" w:rsidRPr="00751778">
              <w:rPr>
                <w:sz w:val="22"/>
                <w:szCs w:val="22"/>
              </w:rPr>
              <w:t>o</w:t>
            </w:r>
            <w:r w:rsidRPr="00751778">
              <w:rPr>
                <w:sz w:val="22"/>
                <w:szCs w:val="22"/>
              </w:rPr>
              <w:t>nd statement</w:t>
            </w:r>
            <w:r>
              <w:rPr>
                <w:sz w:val="22"/>
                <w:szCs w:val="22"/>
              </w:rPr>
              <w:t xml:space="preserve"> in these proceedings, dated 11 December 2018.</w:t>
            </w:r>
          </w:p>
        </w:tc>
        <w:tc>
          <w:tcPr>
            <w:tcW w:w="1933" w:type="dxa"/>
          </w:tcPr>
          <w:p w14:paraId="65405A6F" w14:textId="77777777" w:rsidR="007D093C" w:rsidRDefault="007D093C" w:rsidP="007D093C">
            <w:pPr>
              <w:autoSpaceDE w:val="0"/>
              <w:spacing w:before="60" w:after="60"/>
              <w:rPr>
                <w:sz w:val="22"/>
                <w:szCs w:val="22"/>
              </w:rPr>
            </w:pPr>
            <w:r>
              <w:rPr>
                <w:sz w:val="22"/>
                <w:szCs w:val="22"/>
              </w:rPr>
              <w:t>Para 35</w:t>
            </w:r>
          </w:p>
        </w:tc>
      </w:tr>
      <w:tr w:rsidR="007D093C" w14:paraId="40021E53" w14:textId="77777777" w:rsidTr="0067601C">
        <w:tc>
          <w:tcPr>
            <w:tcW w:w="2689" w:type="dxa"/>
          </w:tcPr>
          <w:p w14:paraId="01B5FE8F" w14:textId="77777777" w:rsidR="007D093C" w:rsidRDefault="007D093C" w:rsidP="007D093C">
            <w:pPr>
              <w:autoSpaceDE w:val="0"/>
              <w:spacing w:before="60" w:after="60"/>
              <w:rPr>
                <w:b/>
                <w:bCs/>
                <w:sz w:val="22"/>
                <w:szCs w:val="22"/>
              </w:rPr>
            </w:pPr>
            <w:r>
              <w:rPr>
                <w:b/>
                <w:bCs/>
                <w:sz w:val="22"/>
                <w:szCs w:val="22"/>
              </w:rPr>
              <w:t>Najmuddin</w:t>
            </w:r>
          </w:p>
        </w:tc>
        <w:tc>
          <w:tcPr>
            <w:tcW w:w="4394" w:type="dxa"/>
          </w:tcPr>
          <w:p w14:paraId="3DF353A5" w14:textId="77777777" w:rsidR="007D093C" w:rsidRDefault="007D093C" w:rsidP="007D093C">
            <w:pPr>
              <w:autoSpaceDE w:val="0"/>
              <w:spacing w:before="60" w:after="60"/>
              <w:rPr>
                <w:sz w:val="22"/>
                <w:szCs w:val="22"/>
              </w:rPr>
            </w:pPr>
            <w:r>
              <w:rPr>
                <w:sz w:val="22"/>
                <w:szCs w:val="22"/>
              </w:rPr>
              <w:t>Najmuddin Kham, a Hyderabad civilian involved with Cotton in the acquisition and transport of weapons into Pakistan and/or Hyderabad.</w:t>
            </w:r>
          </w:p>
        </w:tc>
        <w:tc>
          <w:tcPr>
            <w:tcW w:w="1933" w:type="dxa"/>
          </w:tcPr>
          <w:p w14:paraId="3ADCB46A" w14:textId="77777777" w:rsidR="007D093C" w:rsidRDefault="007D093C" w:rsidP="007D093C">
            <w:pPr>
              <w:autoSpaceDE w:val="0"/>
              <w:spacing w:before="60" w:after="60"/>
              <w:rPr>
                <w:sz w:val="22"/>
                <w:szCs w:val="22"/>
              </w:rPr>
            </w:pPr>
            <w:r>
              <w:rPr>
                <w:sz w:val="22"/>
                <w:szCs w:val="22"/>
              </w:rPr>
              <w:t>Para 208</w:t>
            </w:r>
          </w:p>
        </w:tc>
      </w:tr>
      <w:tr w:rsidR="007D093C" w14:paraId="19BDCF66" w14:textId="77777777" w:rsidTr="0067601C">
        <w:tc>
          <w:tcPr>
            <w:tcW w:w="2689" w:type="dxa"/>
          </w:tcPr>
          <w:p w14:paraId="2C522B7F" w14:textId="77777777" w:rsidR="007D093C" w:rsidRDefault="007D093C" w:rsidP="007D093C">
            <w:pPr>
              <w:autoSpaceDE w:val="0"/>
              <w:spacing w:before="60" w:after="60"/>
              <w:rPr>
                <w:b/>
                <w:bCs/>
                <w:sz w:val="22"/>
                <w:szCs w:val="22"/>
              </w:rPr>
            </w:pPr>
            <w:r>
              <w:rPr>
                <w:b/>
                <w:bCs/>
                <w:sz w:val="22"/>
                <w:szCs w:val="22"/>
              </w:rPr>
              <w:t>Nizam VII</w:t>
            </w:r>
          </w:p>
        </w:tc>
        <w:tc>
          <w:tcPr>
            <w:tcW w:w="4394" w:type="dxa"/>
          </w:tcPr>
          <w:p w14:paraId="675B7CB4" w14:textId="77777777" w:rsidR="007D093C" w:rsidRDefault="007D093C" w:rsidP="007D093C">
            <w:pPr>
              <w:autoSpaceDE w:val="0"/>
              <w:spacing w:before="60" w:after="60"/>
              <w:rPr>
                <w:sz w:val="22"/>
                <w:szCs w:val="22"/>
              </w:rPr>
            </w:pPr>
            <w:r>
              <w:rPr>
                <w:sz w:val="22"/>
                <w:szCs w:val="22"/>
              </w:rPr>
              <w:t>The Seventh Nizam of Hyderabad, in 1948 the ruler of Hyderabad.</w:t>
            </w:r>
          </w:p>
        </w:tc>
        <w:tc>
          <w:tcPr>
            <w:tcW w:w="1933" w:type="dxa"/>
          </w:tcPr>
          <w:p w14:paraId="3BCBEFDD" w14:textId="77777777" w:rsidR="007D093C" w:rsidRPr="00D3529E" w:rsidRDefault="007D093C" w:rsidP="007D093C">
            <w:pPr>
              <w:autoSpaceDE w:val="0"/>
              <w:spacing w:before="60" w:after="60"/>
              <w:rPr>
                <w:sz w:val="22"/>
                <w:szCs w:val="22"/>
              </w:rPr>
            </w:pPr>
            <w:r>
              <w:rPr>
                <w:sz w:val="22"/>
                <w:szCs w:val="22"/>
              </w:rPr>
              <w:t>Para 6</w:t>
            </w:r>
          </w:p>
        </w:tc>
      </w:tr>
      <w:tr w:rsidR="007D093C" w14:paraId="6ED0F7DA" w14:textId="77777777" w:rsidTr="0067601C">
        <w:tc>
          <w:tcPr>
            <w:tcW w:w="2689" w:type="dxa"/>
          </w:tcPr>
          <w:p w14:paraId="21CA34ED" w14:textId="77777777" w:rsidR="007D093C" w:rsidRDefault="007D093C" w:rsidP="007D093C">
            <w:pPr>
              <w:autoSpaceDE w:val="0"/>
              <w:spacing w:before="60" w:after="60"/>
              <w:rPr>
                <w:b/>
                <w:bCs/>
                <w:sz w:val="22"/>
                <w:szCs w:val="22"/>
              </w:rPr>
            </w:pPr>
            <w:r>
              <w:rPr>
                <w:b/>
                <w:bCs/>
                <w:sz w:val="22"/>
                <w:szCs w:val="22"/>
              </w:rPr>
              <w:t>Nizam VII 1</w:t>
            </w:r>
          </w:p>
        </w:tc>
        <w:tc>
          <w:tcPr>
            <w:tcW w:w="4394" w:type="dxa"/>
          </w:tcPr>
          <w:p w14:paraId="655D3CC4" w14:textId="77777777" w:rsidR="007D093C" w:rsidRDefault="007D093C" w:rsidP="007D093C">
            <w:pPr>
              <w:autoSpaceDE w:val="0"/>
              <w:spacing w:before="60" w:after="60"/>
              <w:rPr>
                <w:sz w:val="22"/>
                <w:szCs w:val="22"/>
              </w:rPr>
            </w:pPr>
            <w:r>
              <w:rPr>
                <w:sz w:val="22"/>
                <w:szCs w:val="22"/>
              </w:rPr>
              <w:t>Affidavit of Nizam VII in the 1954 Proceedings, sworn 3 November 1956.</w:t>
            </w:r>
          </w:p>
        </w:tc>
        <w:tc>
          <w:tcPr>
            <w:tcW w:w="1933" w:type="dxa"/>
          </w:tcPr>
          <w:p w14:paraId="44F10EC8" w14:textId="77777777" w:rsidR="007D093C" w:rsidRDefault="007D093C" w:rsidP="007D093C">
            <w:pPr>
              <w:autoSpaceDE w:val="0"/>
              <w:spacing w:before="60" w:after="60"/>
              <w:rPr>
                <w:sz w:val="22"/>
                <w:szCs w:val="22"/>
              </w:rPr>
            </w:pPr>
            <w:r>
              <w:rPr>
                <w:sz w:val="22"/>
                <w:szCs w:val="22"/>
              </w:rPr>
              <w:t>Para 40</w:t>
            </w:r>
          </w:p>
        </w:tc>
      </w:tr>
      <w:tr w:rsidR="007D093C" w14:paraId="1AE017EB" w14:textId="77777777" w:rsidTr="0067601C">
        <w:tc>
          <w:tcPr>
            <w:tcW w:w="2689" w:type="dxa"/>
          </w:tcPr>
          <w:p w14:paraId="61C1674C" w14:textId="77777777" w:rsidR="007D093C" w:rsidRDefault="007D093C" w:rsidP="007D093C">
            <w:pPr>
              <w:autoSpaceDE w:val="0"/>
              <w:spacing w:before="60" w:after="60"/>
              <w:rPr>
                <w:b/>
                <w:bCs/>
                <w:sz w:val="22"/>
                <w:szCs w:val="22"/>
              </w:rPr>
            </w:pPr>
            <w:r>
              <w:rPr>
                <w:b/>
                <w:bCs/>
                <w:sz w:val="22"/>
                <w:szCs w:val="22"/>
              </w:rPr>
              <w:t>Nizam VII’s solicitors in the 1954 Proceedings</w:t>
            </w:r>
          </w:p>
        </w:tc>
        <w:tc>
          <w:tcPr>
            <w:tcW w:w="4394" w:type="dxa"/>
          </w:tcPr>
          <w:p w14:paraId="53A4A740" w14:textId="77777777" w:rsidR="007D093C" w:rsidRDefault="007D093C" w:rsidP="007D093C">
            <w:pPr>
              <w:autoSpaceDE w:val="0"/>
              <w:spacing w:before="60" w:after="60"/>
              <w:rPr>
                <w:sz w:val="22"/>
                <w:szCs w:val="22"/>
              </w:rPr>
            </w:pPr>
            <w:r>
              <w:rPr>
                <w:sz w:val="22"/>
                <w:szCs w:val="22"/>
              </w:rPr>
              <w:t>Messrs Stanley, Johnson &amp; Allen.</w:t>
            </w:r>
          </w:p>
        </w:tc>
        <w:tc>
          <w:tcPr>
            <w:tcW w:w="1933" w:type="dxa"/>
          </w:tcPr>
          <w:p w14:paraId="6EB11784" w14:textId="77777777" w:rsidR="007D093C" w:rsidRDefault="007D093C" w:rsidP="007D093C">
            <w:pPr>
              <w:autoSpaceDE w:val="0"/>
              <w:spacing w:before="60" w:after="60"/>
              <w:rPr>
                <w:sz w:val="22"/>
                <w:szCs w:val="22"/>
              </w:rPr>
            </w:pPr>
            <w:r>
              <w:rPr>
                <w:sz w:val="22"/>
                <w:szCs w:val="22"/>
              </w:rPr>
              <w:t>Para 154</w:t>
            </w:r>
          </w:p>
        </w:tc>
      </w:tr>
      <w:tr w:rsidR="007D093C" w14:paraId="19843936" w14:textId="77777777" w:rsidTr="0067601C">
        <w:tc>
          <w:tcPr>
            <w:tcW w:w="2689" w:type="dxa"/>
          </w:tcPr>
          <w:p w14:paraId="22025AAE" w14:textId="77777777" w:rsidR="007D093C" w:rsidRDefault="007D093C" w:rsidP="007D093C">
            <w:pPr>
              <w:autoSpaceDE w:val="0"/>
              <w:spacing w:before="60" w:after="60"/>
              <w:rPr>
                <w:b/>
                <w:bCs/>
                <w:sz w:val="22"/>
                <w:szCs w:val="22"/>
              </w:rPr>
            </w:pPr>
            <w:r>
              <w:rPr>
                <w:b/>
                <w:bCs/>
                <w:sz w:val="22"/>
                <w:szCs w:val="22"/>
              </w:rPr>
              <w:t>Nizam VIII</w:t>
            </w:r>
          </w:p>
        </w:tc>
        <w:tc>
          <w:tcPr>
            <w:tcW w:w="4394" w:type="dxa"/>
          </w:tcPr>
          <w:p w14:paraId="4F5D838D" w14:textId="77777777" w:rsidR="007D093C" w:rsidRDefault="007D093C" w:rsidP="007D093C">
            <w:pPr>
              <w:autoSpaceDE w:val="0"/>
              <w:spacing w:before="60" w:after="60"/>
              <w:rPr>
                <w:sz w:val="22"/>
                <w:szCs w:val="22"/>
              </w:rPr>
            </w:pPr>
            <w:r>
              <w:rPr>
                <w:sz w:val="22"/>
                <w:szCs w:val="22"/>
              </w:rPr>
              <w:t>The eldest grandson of Nizam VII and the Eighth Nizam of Hyderabad.</w:t>
            </w:r>
          </w:p>
        </w:tc>
        <w:tc>
          <w:tcPr>
            <w:tcW w:w="1933" w:type="dxa"/>
          </w:tcPr>
          <w:p w14:paraId="518C96DB" w14:textId="77777777" w:rsidR="007D093C" w:rsidRDefault="007D093C" w:rsidP="007D093C">
            <w:pPr>
              <w:autoSpaceDE w:val="0"/>
              <w:spacing w:before="60" w:after="60"/>
              <w:rPr>
                <w:sz w:val="22"/>
                <w:szCs w:val="22"/>
              </w:rPr>
            </w:pPr>
            <w:r>
              <w:rPr>
                <w:sz w:val="22"/>
                <w:szCs w:val="22"/>
              </w:rPr>
              <w:t>Para 9(1)</w:t>
            </w:r>
          </w:p>
        </w:tc>
      </w:tr>
      <w:tr w:rsidR="007D093C" w14:paraId="0833B34C" w14:textId="77777777" w:rsidTr="0067601C">
        <w:tc>
          <w:tcPr>
            <w:tcW w:w="2689" w:type="dxa"/>
          </w:tcPr>
          <w:p w14:paraId="00938471" w14:textId="77777777" w:rsidR="007D093C" w:rsidRDefault="007D093C" w:rsidP="007D093C">
            <w:pPr>
              <w:autoSpaceDE w:val="0"/>
              <w:spacing w:before="60" w:after="60"/>
              <w:rPr>
                <w:b/>
                <w:bCs/>
                <w:sz w:val="22"/>
                <w:szCs w:val="22"/>
              </w:rPr>
            </w:pPr>
            <w:r>
              <w:rPr>
                <w:b/>
                <w:bCs/>
                <w:sz w:val="22"/>
                <w:szCs w:val="22"/>
              </w:rPr>
              <w:t>Nizam VIII’s Pleading</w:t>
            </w:r>
          </w:p>
        </w:tc>
        <w:tc>
          <w:tcPr>
            <w:tcW w:w="4394" w:type="dxa"/>
          </w:tcPr>
          <w:p w14:paraId="364CA2E4" w14:textId="77777777" w:rsidR="007D093C" w:rsidRDefault="007D093C" w:rsidP="007D093C">
            <w:pPr>
              <w:autoSpaceDE w:val="0"/>
              <w:spacing w:before="60" w:after="60"/>
              <w:rPr>
                <w:sz w:val="22"/>
                <w:szCs w:val="22"/>
              </w:rPr>
            </w:pPr>
            <w:r>
              <w:rPr>
                <w:sz w:val="22"/>
                <w:szCs w:val="22"/>
              </w:rPr>
              <w:t>Re-Re-Re-Amended Defence and Interpleader Claim of Hillview.</w:t>
            </w:r>
          </w:p>
        </w:tc>
        <w:tc>
          <w:tcPr>
            <w:tcW w:w="1933" w:type="dxa"/>
          </w:tcPr>
          <w:p w14:paraId="3511D561" w14:textId="77777777" w:rsidR="007D093C" w:rsidRDefault="007D093C" w:rsidP="007D093C">
            <w:pPr>
              <w:autoSpaceDE w:val="0"/>
              <w:spacing w:before="60" w:after="60"/>
              <w:rPr>
                <w:sz w:val="22"/>
                <w:szCs w:val="22"/>
              </w:rPr>
            </w:pPr>
            <w:r>
              <w:rPr>
                <w:sz w:val="22"/>
                <w:szCs w:val="22"/>
              </w:rPr>
              <w:t>Para 15(3)(a) fn 12</w:t>
            </w:r>
          </w:p>
        </w:tc>
      </w:tr>
      <w:tr w:rsidR="007D093C" w14:paraId="463EFC5F" w14:textId="77777777" w:rsidTr="0067601C">
        <w:tc>
          <w:tcPr>
            <w:tcW w:w="2689" w:type="dxa"/>
          </w:tcPr>
          <w:p w14:paraId="427221E8" w14:textId="77777777" w:rsidR="007D093C" w:rsidRPr="00AE11C5" w:rsidRDefault="007D093C" w:rsidP="007D093C">
            <w:pPr>
              <w:autoSpaceDE w:val="0"/>
              <w:spacing w:before="60" w:after="60"/>
              <w:rPr>
                <w:b/>
                <w:bCs/>
                <w:sz w:val="22"/>
                <w:szCs w:val="22"/>
              </w:rPr>
            </w:pPr>
            <w:r>
              <w:rPr>
                <w:b/>
                <w:bCs/>
                <w:sz w:val="22"/>
                <w:szCs w:val="22"/>
              </w:rPr>
              <w:t>Operation Polo</w:t>
            </w:r>
          </w:p>
        </w:tc>
        <w:tc>
          <w:tcPr>
            <w:tcW w:w="4394" w:type="dxa"/>
          </w:tcPr>
          <w:p w14:paraId="2F8B9D12" w14:textId="77777777" w:rsidR="007D093C" w:rsidRPr="00D3529E" w:rsidRDefault="007D093C" w:rsidP="007D093C">
            <w:pPr>
              <w:autoSpaceDE w:val="0"/>
              <w:spacing w:before="60" w:after="60"/>
              <w:rPr>
                <w:sz w:val="22"/>
                <w:szCs w:val="22"/>
              </w:rPr>
            </w:pPr>
            <w:r>
              <w:rPr>
                <w:sz w:val="22"/>
                <w:szCs w:val="22"/>
              </w:rPr>
              <w:t>The interaction between the forces of India and the forces of Hyderabad that took place in September 1948.</w:t>
            </w:r>
          </w:p>
        </w:tc>
        <w:tc>
          <w:tcPr>
            <w:tcW w:w="1933" w:type="dxa"/>
          </w:tcPr>
          <w:p w14:paraId="1A158293" w14:textId="77777777" w:rsidR="007D093C" w:rsidRPr="00D3529E" w:rsidRDefault="007D093C" w:rsidP="007D093C">
            <w:pPr>
              <w:autoSpaceDE w:val="0"/>
              <w:spacing w:before="60" w:after="60"/>
              <w:rPr>
                <w:sz w:val="22"/>
                <w:szCs w:val="22"/>
              </w:rPr>
            </w:pPr>
            <w:r>
              <w:rPr>
                <w:sz w:val="22"/>
                <w:szCs w:val="22"/>
              </w:rPr>
              <w:t>Para 74</w:t>
            </w:r>
          </w:p>
        </w:tc>
      </w:tr>
      <w:tr w:rsidR="007D093C" w14:paraId="09B7C22A" w14:textId="77777777" w:rsidTr="0067601C">
        <w:tc>
          <w:tcPr>
            <w:tcW w:w="2689" w:type="dxa"/>
          </w:tcPr>
          <w:p w14:paraId="7964A079" w14:textId="77777777" w:rsidR="007D093C" w:rsidRDefault="007D093C" w:rsidP="007D093C">
            <w:pPr>
              <w:tabs>
                <w:tab w:val="left" w:pos="1624"/>
              </w:tabs>
              <w:autoSpaceDE w:val="0"/>
              <w:spacing w:before="60" w:after="60"/>
              <w:rPr>
                <w:b/>
                <w:bCs/>
                <w:sz w:val="22"/>
                <w:szCs w:val="22"/>
              </w:rPr>
            </w:pPr>
            <w:r>
              <w:rPr>
                <w:b/>
                <w:bCs/>
                <w:sz w:val="22"/>
                <w:szCs w:val="22"/>
              </w:rPr>
              <w:t>Pakistan</w:t>
            </w:r>
            <w:r>
              <w:rPr>
                <w:b/>
                <w:bCs/>
                <w:sz w:val="22"/>
                <w:szCs w:val="22"/>
              </w:rPr>
              <w:tab/>
            </w:r>
          </w:p>
        </w:tc>
        <w:tc>
          <w:tcPr>
            <w:tcW w:w="4394" w:type="dxa"/>
          </w:tcPr>
          <w:p w14:paraId="246D4B9A" w14:textId="77777777" w:rsidR="007D093C" w:rsidRPr="00D3529E" w:rsidRDefault="007D093C" w:rsidP="007D093C">
            <w:pPr>
              <w:autoSpaceDE w:val="0"/>
              <w:spacing w:before="60" w:after="60"/>
              <w:rPr>
                <w:sz w:val="22"/>
                <w:szCs w:val="22"/>
              </w:rPr>
            </w:pPr>
            <w:r>
              <w:rPr>
                <w:sz w:val="22"/>
                <w:szCs w:val="22"/>
              </w:rPr>
              <w:t>The state of Pakistan as created by the Indian Independence Act 1947 on 15 August 1947 in all its emanations.</w:t>
            </w:r>
          </w:p>
        </w:tc>
        <w:tc>
          <w:tcPr>
            <w:tcW w:w="1933" w:type="dxa"/>
          </w:tcPr>
          <w:p w14:paraId="0FFA2059" w14:textId="77777777" w:rsidR="007D093C" w:rsidRPr="00D3529E" w:rsidRDefault="007D093C" w:rsidP="007D093C">
            <w:pPr>
              <w:autoSpaceDE w:val="0"/>
              <w:spacing w:before="60" w:after="60"/>
              <w:rPr>
                <w:sz w:val="22"/>
                <w:szCs w:val="22"/>
              </w:rPr>
            </w:pPr>
            <w:r>
              <w:rPr>
                <w:sz w:val="22"/>
                <w:szCs w:val="22"/>
              </w:rPr>
              <w:t>Para 3</w:t>
            </w:r>
          </w:p>
        </w:tc>
      </w:tr>
      <w:tr w:rsidR="007D093C" w14:paraId="6829A49E" w14:textId="77777777" w:rsidTr="0067601C">
        <w:tc>
          <w:tcPr>
            <w:tcW w:w="2689" w:type="dxa"/>
          </w:tcPr>
          <w:p w14:paraId="69A071D7" w14:textId="77777777" w:rsidR="007D093C" w:rsidRDefault="007D093C" w:rsidP="007D093C">
            <w:pPr>
              <w:tabs>
                <w:tab w:val="left" w:pos="1624"/>
              </w:tabs>
              <w:autoSpaceDE w:val="0"/>
              <w:spacing w:before="60" w:after="60"/>
              <w:rPr>
                <w:b/>
                <w:bCs/>
                <w:sz w:val="22"/>
                <w:szCs w:val="22"/>
              </w:rPr>
            </w:pPr>
            <w:r>
              <w:rPr>
                <w:b/>
                <w:bCs/>
                <w:sz w:val="22"/>
                <w:szCs w:val="22"/>
              </w:rPr>
              <w:t>Pakistan’s Factual Narrative</w:t>
            </w:r>
          </w:p>
        </w:tc>
        <w:tc>
          <w:tcPr>
            <w:tcW w:w="4394" w:type="dxa"/>
          </w:tcPr>
          <w:p w14:paraId="4B3C21DE" w14:textId="77777777" w:rsidR="007D093C" w:rsidRDefault="007D093C" w:rsidP="007D093C">
            <w:pPr>
              <w:autoSpaceDE w:val="0"/>
              <w:spacing w:before="60" w:after="60"/>
              <w:rPr>
                <w:sz w:val="22"/>
                <w:szCs w:val="22"/>
              </w:rPr>
            </w:pPr>
            <w:r>
              <w:rPr>
                <w:sz w:val="22"/>
                <w:szCs w:val="22"/>
              </w:rPr>
              <w:t>The narrative produced by Pakistan pursuant to the permission granted by the court to adduce such a narrative.</w:t>
            </w:r>
          </w:p>
        </w:tc>
        <w:tc>
          <w:tcPr>
            <w:tcW w:w="1933" w:type="dxa"/>
          </w:tcPr>
          <w:p w14:paraId="5CEC168A" w14:textId="77777777" w:rsidR="007D093C" w:rsidRDefault="007D093C" w:rsidP="007D093C">
            <w:pPr>
              <w:autoSpaceDE w:val="0"/>
              <w:spacing w:before="60" w:after="60"/>
              <w:rPr>
                <w:sz w:val="22"/>
                <w:szCs w:val="22"/>
              </w:rPr>
            </w:pPr>
            <w:r>
              <w:rPr>
                <w:sz w:val="22"/>
                <w:szCs w:val="22"/>
              </w:rPr>
              <w:t>Para 33</w:t>
            </w:r>
          </w:p>
        </w:tc>
      </w:tr>
      <w:tr w:rsidR="007D093C" w14:paraId="09B9F3E8" w14:textId="77777777" w:rsidTr="0067601C">
        <w:tc>
          <w:tcPr>
            <w:tcW w:w="2689" w:type="dxa"/>
          </w:tcPr>
          <w:p w14:paraId="209D1E3D" w14:textId="77777777" w:rsidR="007D093C" w:rsidRDefault="007D093C" w:rsidP="007D093C">
            <w:pPr>
              <w:tabs>
                <w:tab w:val="left" w:pos="1624"/>
              </w:tabs>
              <w:autoSpaceDE w:val="0"/>
              <w:spacing w:before="60" w:after="60"/>
              <w:rPr>
                <w:b/>
                <w:bCs/>
                <w:sz w:val="22"/>
                <w:szCs w:val="22"/>
              </w:rPr>
            </w:pPr>
            <w:r>
              <w:rPr>
                <w:b/>
                <w:bCs/>
                <w:sz w:val="22"/>
                <w:szCs w:val="22"/>
              </w:rPr>
              <w:t>Pakistan’s Pleading</w:t>
            </w:r>
          </w:p>
        </w:tc>
        <w:tc>
          <w:tcPr>
            <w:tcW w:w="4394" w:type="dxa"/>
          </w:tcPr>
          <w:p w14:paraId="469DBFA9" w14:textId="77777777" w:rsidR="007D093C" w:rsidRDefault="007D093C" w:rsidP="007D093C">
            <w:pPr>
              <w:autoSpaceDE w:val="0"/>
              <w:spacing w:before="60" w:after="60"/>
              <w:rPr>
                <w:sz w:val="22"/>
                <w:szCs w:val="22"/>
              </w:rPr>
            </w:pPr>
            <w:r>
              <w:rPr>
                <w:sz w:val="22"/>
                <w:szCs w:val="22"/>
              </w:rPr>
              <w:t>Pakistan’s Re-Amended Particulars of Claim in these proceedings.</w:t>
            </w:r>
          </w:p>
        </w:tc>
        <w:tc>
          <w:tcPr>
            <w:tcW w:w="1933" w:type="dxa"/>
          </w:tcPr>
          <w:p w14:paraId="2CCE8465" w14:textId="77777777" w:rsidR="007D093C" w:rsidRDefault="007D093C" w:rsidP="007D093C">
            <w:pPr>
              <w:autoSpaceDE w:val="0"/>
              <w:spacing w:before="60" w:after="60"/>
              <w:rPr>
                <w:sz w:val="22"/>
                <w:szCs w:val="22"/>
              </w:rPr>
            </w:pPr>
            <w:r>
              <w:rPr>
                <w:sz w:val="22"/>
                <w:szCs w:val="22"/>
              </w:rPr>
              <w:t>Para 15(1) fn 10</w:t>
            </w:r>
          </w:p>
        </w:tc>
      </w:tr>
      <w:tr w:rsidR="007D093C" w14:paraId="202E4156" w14:textId="77777777" w:rsidTr="0067601C">
        <w:tc>
          <w:tcPr>
            <w:tcW w:w="2689" w:type="dxa"/>
          </w:tcPr>
          <w:p w14:paraId="3DCEBD42" w14:textId="77777777" w:rsidR="007D093C" w:rsidRDefault="007D093C" w:rsidP="007D093C">
            <w:pPr>
              <w:tabs>
                <w:tab w:val="left" w:pos="1624"/>
              </w:tabs>
              <w:autoSpaceDE w:val="0"/>
              <w:spacing w:before="60" w:after="60"/>
              <w:rPr>
                <w:b/>
                <w:bCs/>
                <w:sz w:val="22"/>
                <w:szCs w:val="22"/>
              </w:rPr>
            </w:pPr>
            <w:r>
              <w:rPr>
                <w:b/>
                <w:bCs/>
                <w:sz w:val="22"/>
                <w:szCs w:val="22"/>
              </w:rPr>
              <w:t>Pakistan’s Reply</w:t>
            </w:r>
          </w:p>
        </w:tc>
        <w:tc>
          <w:tcPr>
            <w:tcW w:w="4394" w:type="dxa"/>
          </w:tcPr>
          <w:p w14:paraId="3F3F6CBC" w14:textId="77777777" w:rsidR="007D093C" w:rsidRDefault="007D093C" w:rsidP="007D093C">
            <w:pPr>
              <w:autoSpaceDE w:val="0"/>
              <w:spacing w:before="60" w:after="60"/>
              <w:rPr>
                <w:sz w:val="22"/>
                <w:szCs w:val="22"/>
              </w:rPr>
            </w:pPr>
            <w:r>
              <w:rPr>
                <w:sz w:val="22"/>
                <w:szCs w:val="22"/>
              </w:rPr>
              <w:t>Pakistan’s Re-Re-Re Amended Reply to India’s Pleading.</w:t>
            </w:r>
          </w:p>
        </w:tc>
        <w:tc>
          <w:tcPr>
            <w:tcW w:w="1933" w:type="dxa"/>
          </w:tcPr>
          <w:p w14:paraId="7F3B4761" w14:textId="77777777" w:rsidR="007D093C" w:rsidRDefault="007D093C" w:rsidP="007D093C">
            <w:pPr>
              <w:autoSpaceDE w:val="0"/>
              <w:spacing w:before="60" w:after="60"/>
              <w:rPr>
                <w:sz w:val="22"/>
                <w:szCs w:val="22"/>
              </w:rPr>
            </w:pPr>
            <w:r>
              <w:rPr>
                <w:sz w:val="22"/>
                <w:szCs w:val="22"/>
              </w:rPr>
              <w:t>Para 25 fn 27</w:t>
            </w:r>
          </w:p>
        </w:tc>
      </w:tr>
      <w:tr w:rsidR="007D093C" w14:paraId="4E8A2EDB" w14:textId="77777777" w:rsidTr="0067601C">
        <w:tc>
          <w:tcPr>
            <w:tcW w:w="2689" w:type="dxa"/>
          </w:tcPr>
          <w:p w14:paraId="298D45B4" w14:textId="77777777" w:rsidR="007D093C" w:rsidRDefault="007D093C" w:rsidP="007D093C">
            <w:pPr>
              <w:autoSpaceDE w:val="0"/>
              <w:spacing w:before="60" w:after="60"/>
              <w:rPr>
                <w:b/>
                <w:bCs/>
                <w:sz w:val="22"/>
                <w:szCs w:val="22"/>
              </w:rPr>
            </w:pPr>
            <w:r>
              <w:rPr>
                <w:b/>
                <w:bCs/>
                <w:sz w:val="22"/>
                <w:szCs w:val="22"/>
              </w:rPr>
              <w:t>Pakistan’s solicitors in the 1954 proceedings</w:t>
            </w:r>
          </w:p>
        </w:tc>
        <w:tc>
          <w:tcPr>
            <w:tcW w:w="4394" w:type="dxa"/>
          </w:tcPr>
          <w:p w14:paraId="2BB7CC7B" w14:textId="77777777" w:rsidR="007D093C" w:rsidRDefault="007D093C" w:rsidP="007D093C">
            <w:pPr>
              <w:autoSpaceDE w:val="0"/>
              <w:spacing w:before="60" w:after="60"/>
              <w:rPr>
                <w:sz w:val="22"/>
                <w:szCs w:val="22"/>
              </w:rPr>
            </w:pPr>
            <w:r>
              <w:rPr>
                <w:sz w:val="22"/>
                <w:szCs w:val="22"/>
              </w:rPr>
              <w:t>Messrs Sanderson Lee Morgan Price &amp; Co.</w:t>
            </w:r>
          </w:p>
        </w:tc>
        <w:tc>
          <w:tcPr>
            <w:tcW w:w="1933" w:type="dxa"/>
          </w:tcPr>
          <w:p w14:paraId="452C461A" w14:textId="77777777" w:rsidR="007D093C" w:rsidRDefault="007D093C" w:rsidP="007D093C">
            <w:pPr>
              <w:autoSpaceDE w:val="0"/>
              <w:spacing w:before="60" w:after="60"/>
              <w:rPr>
                <w:sz w:val="22"/>
                <w:szCs w:val="22"/>
              </w:rPr>
            </w:pPr>
            <w:r>
              <w:rPr>
                <w:sz w:val="22"/>
                <w:szCs w:val="22"/>
              </w:rPr>
              <w:t>Para 6</w:t>
            </w:r>
          </w:p>
        </w:tc>
      </w:tr>
      <w:tr w:rsidR="007D093C" w14:paraId="082D510C" w14:textId="77777777" w:rsidTr="0067601C">
        <w:tc>
          <w:tcPr>
            <w:tcW w:w="2689" w:type="dxa"/>
          </w:tcPr>
          <w:p w14:paraId="2634787A" w14:textId="77777777" w:rsidR="007D093C" w:rsidRDefault="007D093C" w:rsidP="007D093C">
            <w:pPr>
              <w:autoSpaceDE w:val="0"/>
              <w:spacing w:before="60" w:after="60"/>
              <w:rPr>
                <w:b/>
                <w:bCs/>
                <w:sz w:val="22"/>
                <w:szCs w:val="22"/>
              </w:rPr>
            </w:pPr>
            <w:r>
              <w:rPr>
                <w:b/>
                <w:bCs/>
                <w:sz w:val="22"/>
                <w:szCs w:val="22"/>
              </w:rPr>
              <w:t>Prince Muffakham</w:t>
            </w:r>
          </w:p>
        </w:tc>
        <w:tc>
          <w:tcPr>
            <w:tcW w:w="4394" w:type="dxa"/>
          </w:tcPr>
          <w:p w14:paraId="45FEAFE5" w14:textId="77777777" w:rsidR="007D093C" w:rsidRPr="00D3529E" w:rsidRDefault="007D093C" w:rsidP="007D093C">
            <w:pPr>
              <w:autoSpaceDE w:val="0"/>
              <w:spacing w:before="60" w:after="60"/>
              <w:rPr>
                <w:sz w:val="22"/>
                <w:szCs w:val="22"/>
              </w:rPr>
            </w:pPr>
            <w:r>
              <w:rPr>
                <w:sz w:val="22"/>
                <w:szCs w:val="22"/>
              </w:rPr>
              <w:t>The younger grandson of Nizam VII and the (younger) brother of Nizam VIII.</w:t>
            </w:r>
          </w:p>
        </w:tc>
        <w:tc>
          <w:tcPr>
            <w:tcW w:w="1933" w:type="dxa"/>
          </w:tcPr>
          <w:p w14:paraId="56AEBA48" w14:textId="77777777" w:rsidR="007D093C" w:rsidRPr="00D3529E" w:rsidRDefault="007D093C" w:rsidP="007D093C">
            <w:pPr>
              <w:autoSpaceDE w:val="0"/>
              <w:spacing w:before="60" w:after="60"/>
              <w:rPr>
                <w:sz w:val="22"/>
                <w:szCs w:val="22"/>
              </w:rPr>
            </w:pPr>
            <w:r>
              <w:rPr>
                <w:sz w:val="22"/>
                <w:szCs w:val="22"/>
              </w:rPr>
              <w:t>Para 9(2)</w:t>
            </w:r>
          </w:p>
        </w:tc>
      </w:tr>
      <w:tr w:rsidR="007D093C" w14:paraId="7E26B116" w14:textId="77777777" w:rsidTr="0067601C">
        <w:tc>
          <w:tcPr>
            <w:tcW w:w="2689" w:type="dxa"/>
          </w:tcPr>
          <w:p w14:paraId="4D8AFA9F" w14:textId="77777777" w:rsidR="007D093C" w:rsidRDefault="007D093C" w:rsidP="007D093C">
            <w:pPr>
              <w:autoSpaceDE w:val="0"/>
              <w:spacing w:before="60" w:after="60"/>
              <w:rPr>
                <w:b/>
                <w:bCs/>
                <w:sz w:val="22"/>
                <w:szCs w:val="22"/>
              </w:rPr>
            </w:pPr>
            <w:r>
              <w:rPr>
                <w:b/>
                <w:bCs/>
                <w:sz w:val="22"/>
                <w:szCs w:val="22"/>
              </w:rPr>
              <w:t>Prince Muffakham’s Pleading</w:t>
            </w:r>
          </w:p>
        </w:tc>
        <w:tc>
          <w:tcPr>
            <w:tcW w:w="4394" w:type="dxa"/>
          </w:tcPr>
          <w:p w14:paraId="67BD879E" w14:textId="77777777" w:rsidR="007D093C" w:rsidRDefault="007D093C" w:rsidP="007D093C">
            <w:pPr>
              <w:autoSpaceDE w:val="0"/>
              <w:spacing w:before="60" w:after="60"/>
              <w:rPr>
                <w:sz w:val="22"/>
                <w:szCs w:val="22"/>
              </w:rPr>
            </w:pPr>
            <w:r>
              <w:rPr>
                <w:sz w:val="22"/>
                <w:szCs w:val="22"/>
              </w:rPr>
              <w:t>Re-Re-Amended Defence and Interpleader Claim of Prince Muffakham and Shannon.</w:t>
            </w:r>
          </w:p>
        </w:tc>
        <w:tc>
          <w:tcPr>
            <w:tcW w:w="1933" w:type="dxa"/>
          </w:tcPr>
          <w:p w14:paraId="6D089AC7" w14:textId="77777777" w:rsidR="007D093C" w:rsidRDefault="007D093C" w:rsidP="007D093C">
            <w:pPr>
              <w:autoSpaceDE w:val="0"/>
              <w:spacing w:before="60" w:after="60"/>
              <w:rPr>
                <w:sz w:val="22"/>
                <w:szCs w:val="22"/>
              </w:rPr>
            </w:pPr>
            <w:r>
              <w:rPr>
                <w:sz w:val="22"/>
                <w:szCs w:val="22"/>
              </w:rPr>
              <w:t>Para 15(3)(b) fn 13</w:t>
            </w:r>
          </w:p>
        </w:tc>
      </w:tr>
      <w:tr w:rsidR="007D093C" w14:paraId="27F658B4" w14:textId="77777777" w:rsidTr="0067601C">
        <w:tc>
          <w:tcPr>
            <w:tcW w:w="2689" w:type="dxa"/>
          </w:tcPr>
          <w:p w14:paraId="2D648F4E" w14:textId="77777777" w:rsidR="007D093C" w:rsidRDefault="007D093C" w:rsidP="007D093C">
            <w:pPr>
              <w:autoSpaceDE w:val="0"/>
              <w:spacing w:before="60" w:after="60"/>
              <w:rPr>
                <w:b/>
                <w:bCs/>
                <w:sz w:val="22"/>
                <w:szCs w:val="22"/>
              </w:rPr>
            </w:pPr>
            <w:r>
              <w:rPr>
                <w:b/>
                <w:bCs/>
                <w:sz w:val="22"/>
                <w:szCs w:val="22"/>
              </w:rPr>
              <w:lastRenderedPageBreak/>
              <w:t>princely state</w:t>
            </w:r>
          </w:p>
        </w:tc>
        <w:tc>
          <w:tcPr>
            <w:tcW w:w="4394" w:type="dxa"/>
          </w:tcPr>
          <w:p w14:paraId="05DA75FC" w14:textId="77777777" w:rsidR="007D093C" w:rsidRDefault="007D093C" w:rsidP="007D093C">
            <w:pPr>
              <w:autoSpaceDE w:val="0"/>
              <w:spacing w:before="60" w:after="60"/>
              <w:rPr>
                <w:sz w:val="22"/>
                <w:szCs w:val="22"/>
              </w:rPr>
            </w:pPr>
            <w:r>
              <w:rPr>
                <w:sz w:val="22"/>
                <w:szCs w:val="22"/>
              </w:rPr>
              <w:t>Territory geographically a part of the Indian subcontinent, but not a part of British India</w:t>
            </w:r>
          </w:p>
        </w:tc>
        <w:tc>
          <w:tcPr>
            <w:tcW w:w="1933" w:type="dxa"/>
          </w:tcPr>
          <w:p w14:paraId="28ED0570" w14:textId="77777777" w:rsidR="007D093C" w:rsidRDefault="007D093C" w:rsidP="007D093C">
            <w:pPr>
              <w:autoSpaceDE w:val="0"/>
              <w:spacing w:before="60" w:after="60"/>
              <w:rPr>
                <w:sz w:val="22"/>
                <w:szCs w:val="22"/>
              </w:rPr>
            </w:pPr>
            <w:r>
              <w:rPr>
                <w:sz w:val="22"/>
                <w:szCs w:val="22"/>
              </w:rPr>
              <w:t>Para 62</w:t>
            </w:r>
          </w:p>
        </w:tc>
      </w:tr>
      <w:tr w:rsidR="007D093C" w14:paraId="0076C2D1" w14:textId="77777777" w:rsidTr="0067601C">
        <w:tc>
          <w:tcPr>
            <w:tcW w:w="2689" w:type="dxa"/>
          </w:tcPr>
          <w:p w14:paraId="30B5C204" w14:textId="77777777" w:rsidR="007D093C" w:rsidRDefault="007D093C" w:rsidP="007D093C">
            <w:pPr>
              <w:autoSpaceDE w:val="0"/>
              <w:spacing w:before="60" w:after="60"/>
              <w:rPr>
                <w:b/>
                <w:bCs/>
                <w:sz w:val="22"/>
                <w:szCs w:val="22"/>
              </w:rPr>
            </w:pPr>
            <w:r>
              <w:rPr>
                <w:b/>
                <w:bCs/>
                <w:sz w:val="22"/>
                <w:szCs w:val="22"/>
              </w:rPr>
              <w:t>Princes</w:t>
            </w:r>
          </w:p>
        </w:tc>
        <w:tc>
          <w:tcPr>
            <w:tcW w:w="4394" w:type="dxa"/>
          </w:tcPr>
          <w:p w14:paraId="47E0D803" w14:textId="77777777" w:rsidR="007D093C" w:rsidRDefault="007D093C" w:rsidP="007D093C">
            <w:pPr>
              <w:autoSpaceDE w:val="0"/>
              <w:spacing w:before="60" w:after="60"/>
              <w:rPr>
                <w:sz w:val="22"/>
                <w:szCs w:val="22"/>
              </w:rPr>
            </w:pPr>
            <w:r>
              <w:rPr>
                <w:sz w:val="22"/>
                <w:szCs w:val="22"/>
              </w:rPr>
              <w:t>A collective reference to Nizam VIII and Prince Muffakham.</w:t>
            </w:r>
          </w:p>
        </w:tc>
        <w:tc>
          <w:tcPr>
            <w:tcW w:w="1933" w:type="dxa"/>
          </w:tcPr>
          <w:p w14:paraId="17CBCCA6" w14:textId="77777777" w:rsidR="007D093C" w:rsidRDefault="007D093C" w:rsidP="007D093C">
            <w:pPr>
              <w:autoSpaceDE w:val="0"/>
              <w:spacing w:before="60" w:after="60"/>
              <w:rPr>
                <w:sz w:val="22"/>
                <w:szCs w:val="22"/>
              </w:rPr>
            </w:pPr>
            <w:r>
              <w:rPr>
                <w:sz w:val="22"/>
                <w:szCs w:val="22"/>
              </w:rPr>
              <w:t>Para 9</w:t>
            </w:r>
          </w:p>
        </w:tc>
      </w:tr>
      <w:tr w:rsidR="007D093C" w14:paraId="7440C4EA" w14:textId="77777777" w:rsidTr="0067601C">
        <w:tc>
          <w:tcPr>
            <w:tcW w:w="2689" w:type="dxa"/>
          </w:tcPr>
          <w:p w14:paraId="671C7C7A" w14:textId="77777777" w:rsidR="007D093C" w:rsidRDefault="007D093C" w:rsidP="007D093C">
            <w:pPr>
              <w:autoSpaceDE w:val="0"/>
              <w:spacing w:before="60" w:after="60"/>
              <w:rPr>
                <w:b/>
                <w:bCs/>
                <w:sz w:val="22"/>
                <w:szCs w:val="22"/>
              </w:rPr>
            </w:pPr>
            <w:r>
              <w:rPr>
                <w:b/>
                <w:bCs/>
                <w:sz w:val="22"/>
                <w:szCs w:val="22"/>
              </w:rPr>
              <w:t>Radley</w:t>
            </w:r>
          </w:p>
        </w:tc>
        <w:tc>
          <w:tcPr>
            <w:tcW w:w="4394" w:type="dxa"/>
          </w:tcPr>
          <w:p w14:paraId="4AE04922" w14:textId="77777777" w:rsidR="007D093C" w:rsidRDefault="007D093C" w:rsidP="007D093C">
            <w:pPr>
              <w:autoSpaceDE w:val="0"/>
              <w:spacing w:before="60" w:after="60"/>
              <w:rPr>
                <w:sz w:val="22"/>
                <w:szCs w:val="22"/>
              </w:rPr>
            </w:pPr>
            <w:r>
              <w:rPr>
                <w:sz w:val="22"/>
                <w:szCs w:val="22"/>
              </w:rPr>
              <w:t>Robert Radley, an expert forensic examiner.</w:t>
            </w:r>
          </w:p>
        </w:tc>
        <w:tc>
          <w:tcPr>
            <w:tcW w:w="1933" w:type="dxa"/>
          </w:tcPr>
          <w:p w14:paraId="1962897A" w14:textId="77777777" w:rsidR="007D093C" w:rsidRDefault="007D093C" w:rsidP="007D093C">
            <w:pPr>
              <w:autoSpaceDE w:val="0"/>
              <w:spacing w:before="60" w:after="60"/>
              <w:rPr>
                <w:sz w:val="22"/>
                <w:szCs w:val="22"/>
              </w:rPr>
            </w:pPr>
            <w:r>
              <w:rPr>
                <w:sz w:val="22"/>
                <w:szCs w:val="22"/>
              </w:rPr>
              <w:t>Para 32</w:t>
            </w:r>
          </w:p>
        </w:tc>
      </w:tr>
      <w:tr w:rsidR="007D093C" w14:paraId="111B5861" w14:textId="77777777" w:rsidTr="0067601C">
        <w:tc>
          <w:tcPr>
            <w:tcW w:w="2689" w:type="dxa"/>
          </w:tcPr>
          <w:p w14:paraId="73CF3CAA" w14:textId="77777777" w:rsidR="007D093C" w:rsidRDefault="007D093C" w:rsidP="007D093C">
            <w:pPr>
              <w:autoSpaceDE w:val="0"/>
              <w:spacing w:before="60" w:after="60"/>
              <w:rPr>
                <w:b/>
                <w:bCs/>
                <w:sz w:val="22"/>
                <w:szCs w:val="22"/>
              </w:rPr>
            </w:pPr>
            <w:r>
              <w:rPr>
                <w:b/>
                <w:bCs/>
                <w:sz w:val="22"/>
                <w:szCs w:val="22"/>
              </w:rPr>
              <w:t>Radley 1</w:t>
            </w:r>
          </w:p>
        </w:tc>
        <w:tc>
          <w:tcPr>
            <w:tcW w:w="4394" w:type="dxa"/>
          </w:tcPr>
          <w:p w14:paraId="7057491B" w14:textId="77777777" w:rsidR="007D093C" w:rsidRDefault="007D093C" w:rsidP="007D093C">
            <w:pPr>
              <w:autoSpaceDE w:val="0"/>
              <w:spacing w:before="60" w:after="60"/>
              <w:rPr>
                <w:sz w:val="22"/>
                <w:szCs w:val="22"/>
              </w:rPr>
            </w:pPr>
            <w:r>
              <w:rPr>
                <w:sz w:val="22"/>
                <w:szCs w:val="22"/>
              </w:rPr>
              <w:t>The first report of Radley.</w:t>
            </w:r>
          </w:p>
        </w:tc>
        <w:tc>
          <w:tcPr>
            <w:tcW w:w="1933" w:type="dxa"/>
          </w:tcPr>
          <w:p w14:paraId="5F9C7AAE" w14:textId="77777777" w:rsidR="007D093C" w:rsidRDefault="007D093C" w:rsidP="007D093C">
            <w:pPr>
              <w:autoSpaceDE w:val="0"/>
              <w:spacing w:before="60" w:after="60"/>
              <w:rPr>
                <w:sz w:val="22"/>
                <w:szCs w:val="22"/>
              </w:rPr>
            </w:pPr>
            <w:r>
              <w:rPr>
                <w:sz w:val="22"/>
                <w:szCs w:val="22"/>
              </w:rPr>
              <w:t>Para 32</w:t>
            </w:r>
          </w:p>
        </w:tc>
      </w:tr>
      <w:tr w:rsidR="007D093C" w14:paraId="6E6D5E07" w14:textId="77777777" w:rsidTr="0067601C">
        <w:tc>
          <w:tcPr>
            <w:tcW w:w="2689" w:type="dxa"/>
          </w:tcPr>
          <w:p w14:paraId="611A3BAE" w14:textId="77777777" w:rsidR="007D093C" w:rsidRDefault="007D093C" w:rsidP="007D093C">
            <w:pPr>
              <w:autoSpaceDE w:val="0"/>
              <w:spacing w:before="60" w:after="60"/>
              <w:rPr>
                <w:b/>
                <w:bCs/>
                <w:sz w:val="22"/>
                <w:szCs w:val="22"/>
              </w:rPr>
            </w:pPr>
            <w:r>
              <w:rPr>
                <w:b/>
                <w:bCs/>
                <w:sz w:val="22"/>
                <w:szCs w:val="22"/>
              </w:rPr>
              <w:t>Raghavan</w:t>
            </w:r>
          </w:p>
        </w:tc>
        <w:tc>
          <w:tcPr>
            <w:tcW w:w="4394" w:type="dxa"/>
          </w:tcPr>
          <w:p w14:paraId="46707620" w14:textId="77777777" w:rsidR="007D093C" w:rsidRDefault="007D093C" w:rsidP="007D093C">
            <w:pPr>
              <w:autoSpaceDE w:val="0"/>
              <w:spacing w:before="60" w:after="60"/>
              <w:rPr>
                <w:sz w:val="22"/>
                <w:szCs w:val="22"/>
              </w:rPr>
            </w:pPr>
            <w:r>
              <w:rPr>
                <w:sz w:val="22"/>
                <w:szCs w:val="22"/>
              </w:rPr>
              <w:t>Nonavinakere Srinavasa Raghavan, a lawyer and expert in the law of Hyderabad, who provided evidence in the 1954 Proceedings</w:t>
            </w:r>
          </w:p>
        </w:tc>
        <w:tc>
          <w:tcPr>
            <w:tcW w:w="1933" w:type="dxa"/>
          </w:tcPr>
          <w:p w14:paraId="63708363" w14:textId="77777777" w:rsidR="007D093C" w:rsidRDefault="007D093C" w:rsidP="007D093C">
            <w:pPr>
              <w:autoSpaceDE w:val="0"/>
              <w:spacing w:before="60" w:after="60"/>
              <w:rPr>
                <w:sz w:val="22"/>
                <w:szCs w:val="22"/>
              </w:rPr>
            </w:pPr>
            <w:r>
              <w:rPr>
                <w:sz w:val="22"/>
                <w:szCs w:val="22"/>
              </w:rPr>
              <w:t>Para 56</w:t>
            </w:r>
          </w:p>
        </w:tc>
      </w:tr>
      <w:tr w:rsidR="007D093C" w14:paraId="568FAB23" w14:textId="77777777" w:rsidTr="0067601C">
        <w:tc>
          <w:tcPr>
            <w:tcW w:w="2689" w:type="dxa"/>
          </w:tcPr>
          <w:p w14:paraId="74BD366A" w14:textId="77777777" w:rsidR="007D093C" w:rsidRDefault="007D093C" w:rsidP="007D093C">
            <w:pPr>
              <w:autoSpaceDE w:val="0"/>
              <w:spacing w:before="60" w:after="60"/>
              <w:rPr>
                <w:b/>
                <w:bCs/>
                <w:sz w:val="22"/>
                <w:szCs w:val="22"/>
              </w:rPr>
            </w:pPr>
            <w:r>
              <w:rPr>
                <w:b/>
                <w:bCs/>
                <w:sz w:val="22"/>
                <w:szCs w:val="22"/>
              </w:rPr>
              <w:t>Raghavan 1</w:t>
            </w:r>
          </w:p>
        </w:tc>
        <w:tc>
          <w:tcPr>
            <w:tcW w:w="4394" w:type="dxa"/>
          </w:tcPr>
          <w:p w14:paraId="19DD74B9" w14:textId="77777777" w:rsidR="007D093C" w:rsidRDefault="007D093C" w:rsidP="007D093C">
            <w:pPr>
              <w:autoSpaceDE w:val="0"/>
              <w:spacing w:before="60" w:after="60"/>
              <w:rPr>
                <w:sz w:val="22"/>
                <w:szCs w:val="22"/>
              </w:rPr>
            </w:pPr>
            <w:r>
              <w:rPr>
                <w:sz w:val="22"/>
                <w:szCs w:val="22"/>
              </w:rPr>
              <w:t>Affidavit of Raghavan in the 1954 Proceedings, sworn</w:t>
            </w:r>
            <w:r w:rsidR="004D6D9D">
              <w:rPr>
                <w:sz w:val="22"/>
                <w:szCs w:val="22"/>
              </w:rPr>
              <w:t xml:space="preserve"> </w:t>
            </w:r>
            <w:r w:rsidR="00F048EF">
              <w:rPr>
                <w:sz w:val="22"/>
                <w:szCs w:val="22"/>
              </w:rPr>
              <w:t>17 February 1956</w:t>
            </w:r>
            <w:r>
              <w:rPr>
                <w:sz w:val="22"/>
                <w:szCs w:val="22"/>
              </w:rPr>
              <w:t>.</w:t>
            </w:r>
          </w:p>
        </w:tc>
        <w:tc>
          <w:tcPr>
            <w:tcW w:w="1933" w:type="dxa"/>
          </w:tcPr>
          <w:p w14:paraId="5FD3AC8E" w14:textId="77777777" w:rsidR="007D093C" w:rsidRDefault="007D093C" w:rsidP="007D093C">
            <w:pPr>
              <w:autoSpaceDE w:val="0"/>
              <w:spacing w:before="60" w:after="60"/>
              <w:rPr>
                <w:sz w:val="22"/>
                <w:szCs w:val="22"/>
              </w:rPr>
            </w:pPr>
            <w:r>
              <w:rPr>
                <w:sz w:val="22"/>
                <w:szCs w:val="22"/>
              </w:rPr>
              <w:t>Para 56</w:t>
            </w:r>
          </w:p>
        </w:tc>
      </w:tr>
      <w:tr w:rsidR="007D093C" w14:paraId="6D04A436" w14:textId="77777777" w:rsidTr="0067601C">
        <w:tc>
          <w:tcPr>
            <w:tcW w:w="2689" w:type="dxa"/>
          </w:tcPr>
          <w:p w14:paraId="60A5389A" w14:textId="77777777" w:rsidR="007D093C" w:rsidRDefault="007D093C" w:rsidP="007D093C">
            <w:pPr>
              <w:autoSpaceDE w:val="0"/>
              <w:spacing w:before="60" w:after="60"/>
              <w:rPr>
                <w:b/>
                <w:bCs/>
                <w:sz w:val="22"/>
                <w:szCs w:val="22"/>
              </w:rPr>
            </w:pPr>
            <w:r>
              <w:rPr>
                <w:b/>
                <w:bCs/>
                <w:sz w:val="22"/>
                <w:szCs w:val="22"/>
              </w:rPr>
              <w:t>Raghavan 2</w:t>
            </w:r>
          </w:p>
        </w:tc>
        <w:tc>
          <w:tcPr>
            <w:tcW w:w="4394" w:type="dxa"/>
          </w:tcPr>
          <w:p w14:paraId="3D795273" w14:textId="77777777" w:rsidR="007D093C" w:rsidRDefault="007D093C" w:rsidP="007D093C">
            <w:pPr>
              <w:autoSpaceDE w:val="0"/>
              <w:spacing w:before="60" w:after="60"/>
              <w:rPr>
                <w:sz w:val="22"/>
                <w:szCs w:val="22"/>
              </w:rPr>
            </w:pPr>
            <w:r>
              <w:rPr>
                <w:sz w:val="22"/>
                <w:szCs w:val="22"/>
              </w:rPr>
              <w:t xml:space="preserve">Affidavit of Raghavan in the 1954 Proceedings, sworn 17 March 1956. This was a re-swearing of Raghavan 1 and so added nothing of substance. </w:t>
            </w:r>
          </w:p>
        </w:tc>
        <w:tc>
          <w:tcPr>
            <w:tcW w:w="1933" w:type="dxa"/>
          </w:tcPr>
          <w:p w14:paraId="725CCBD5" w14:textId="77777777" w:rsidR="007D093C" w:rsidRDefault="007D093C" w:rsidP="007D093C">
            <w:pPr>
              <w:autoSpaceDE w:val="0"/>
              <w:spacing w:before="60" w:after="60"/>
              <w:rPr>
                <w:sz w:val="22"/>
                <w:szCs w:val="22"/>
              </w:rPr>
            </w:pPr>
            <w:r>
              <w:rPr>
                <w:sz w:val="22"/>
                <w:szCs w:val="22"/>
              </w:rPr>
              <w:t>Para 56</w:t>
            </w:r>
          </w:p>
        </w:tc>
      </w:tr>
      <w:tr w:rsidR="007D093C" w14:paraId="585D0D6C" w14:textId="77777777" w:rsidTr="0067601C">
        <w:tc>
          <w:tcPr>
            <w:tcW w:w="2689" w:type="dxa"/>
          </w:tcPr>
          <w:p w14:paraId="661C92F1" w14:textId="77777777" w:rsidR="007D093C" w:rsidRDefault="007D093C" w:rsidP="007D093C">
            <w:pPr>
              <w:autoSpaceDE w:val="0"/>
              <w:spacing w:before="60" w:after="60"/>
              <w:rPr>
                <w:b/>
                <w:bCs/>
                <w:sz w:val="22"/>
                <w:szCs w:val="22"/>
              </w:rPr>
            </w:pPr>
            <w:r>
              <w:rPr>
                <w:b/>
                <w:bCs/>
                <w:sz w:val="22"/>
                <w:szCs w:val="22"/>
              </w:rPr>
              <w:t>Rahimtoola</w:t>
            </w:r>
          </w:p>
        </w:tc>
        <w:tc>
          <w:tcPr>
            <w:tcW w:w="4394" w:type="dxa"/>
          </w:tcPr>
          <w:p w14:paraId="713E13F8" w14:textId="77777777" w:rsidR="007D093C" w:rsidRPr="00D3529E" w:rsidRDefault="007D093C" w:rsidP="007D093C">
            <w:pPr>
              <w:autoSpaceDE w:val="0"/>
              <w:spacing w:before="60" w:after="60"/>
              <w:rPr>
                <w:sz w:val="22"/>
                <w:szCs w:val="22"/>
              </w:rPr>
            </w:pPr>
            <w:r>
              <w:rPr>
                <w:sz w:val="22"/>
                <w:szCs w:val="22"/>
              </w:rPr>
              <w:t>Habib Ibrahim Rahimtoola, in 1948 the High Commissioner to the United Kingdom for the Islamic Republic of Pakistan.</w:t>
            </w:r>
          </w:p>
        </w:tc>
        <w:tc>
          <w:tcPr>
            <w:tcW w:w="1933" w:type="dxa"/>
          </w:tcPr>
          <w:p w14:paraId="75910AED" w14:textId="77777777" w:rsidR="007D093C" w:rsidRPr="00D3529E" w:rsidRDefault="007D093C" w:rsidP="007D093C">
            <w:pPr>
              <w:autoSpaceDE w:val="0"/>
              <w:spacing w:before="60" w:after="60"/>
              <w:rPr>
                <w:sz w:val="22"/>
                <w:szCs w:val="22"/>
              </w:rPr>
            </w:pPr>
            <w:r>
              <w:rPr>
                <w:sz w:val="22"/>
                <w:szCs w:val="22"/>
              </w:rPr>
              <w:t>Para 1</w:t>
            </w:r>
          </w:p>
        </w:tc>
      </w:tr>
      <w:tr w:rsidR="007D093C" w14:paraId="519E9042" w14:textId="77777777" w:rsidTr="0067601C">
        <w:tc>
          <w:tcPr>
            <w:tcW w:w="2689" w:type="dxa"/>
          </w:tcPr>
          <w:p w14:paraId="04D8D4A9" w14:textId="77777777" w:rsidR="007D093C" w:rsidRDefault="007D093C" w:rsidP="007D093C">
            <w:pPr>
              <w:autoSpaceDE w:val="0"/>
              <w:spacing w:before="60" w:after="60"/>
              <w:rPr>
                <w:b/>
                <w:bCs/>
                <w:sz w:val="22"/>
                <w:szCs w:val="22"/>
              </w:rPr>
            </w:pPr>
            <w:r>
              <w:rPr>
                <w:b/>
                <w:bCs/>
                <w:sz w:val="22"/>
                <w:szCs w:val="22"/>
              </w:rPr>
              <w:t>Rahimtoola Account</w:t>
            </w:r>
          </w:p>
        </w:tc>
        <w:tc>
          <w:tcPr>
            <w:tcW w:w="4394" w:type="dxa"/>
          </w:tcPr>
          <w:p w14:paraId="0D630481" w14:textId="77777777" w:rsidR="007D093C" w:rsidRDefault="007D093C" w:rsidP="007D093C">
            <w:pPr>
              <w:autoSpaceDE w:val="0"/>
              <w:spacing w:before="60" w:after="60"/>
              <w:rPr>
                <w:sz w:val="22"/>
                <w:szCs w:val="22"/>
              </w:rPr>
            </w:pPr>
            <w:r>
              <w:rPr>
                <w:sz w:val="22"/>
                <w:szCs w:val="22"/>
              </w:rPr>
              <w:t>The account receiving the Transfer and holding the Fund.</w:t>
            </w:r>
          </w:p>
        </w:tc>
        <w:tc>
          <w:tcPr>
            <w:tcW w:w="1933" w:type="dxa"/>
          </w:tcPr>
          <w:p w14:paraId="2AB089AE" w14:textId="77777777" w:rsidR="007D093C" w:rsidRDefault="007D093C" w:rsidP="007D093C">
            <w:pPr>
              <w:autoSpaceDE w:val="0"/>
              <w:spacing w:before="60" w:after="60"/>
              <w:rPr>
                <w:sz w:val="22"/>
                <w:szCs w:val="22"/>
              </w:rPr>
            </w:pPr>
            <w:r>
              <w:rPr>
                <w:sz w:val="22"/>
                <w:szCs w:val="22"/>
              </w:rPr>
              <w:t>Para 5</w:t>
            </w:r>
          </w:p>
        </w:tc>
      </w:tr>
      <w:tr w:rsidR="007D093C" w14:paraId="6F4B7AE4" w14:textId="77777777" w:rsidTr="0067601C">
        <w:tc>
          <w:tcPr>
            <w:tcW w:w="2689" w:type="dxa"/>
          </w:tcPr>
          <w:p w14:paraId="4B1108B8" w14:textId="77777777" w:rsidR="007D093C" w:rsidRDefault="007D093C" w:rsidP="007D093C">
            <w:pPr>
              <w:autoSpaceDE w:val="0"/>
              <w:spacing w:before="60" w:after="60"/>
              <w:rPr>
                <w:b/>
                <w:bCs/>
                <w:sz w:val="22"/>
                <w:szCs w:val="22"/>
              </w:rPr>
            </w:pPr>
            <w:r>
              <w:rPr>
                <w:b/>
                <w:bCs/>
                <w:sz w:val="22"/>
                <w:szCs w:val="22"/>
              </w:rPr>
              <w:t>Rahimtoola 1</w:t>
            </w:r>
          </w:p>
        </w:tc>
        <w:tc>
          <w:tcPr>
            <w:tcW w:w="4394" w:type="dxa"/>
          </w:tcPr>
          <w:p w14:paraId="67886564" w14:textId="77777777" w:rsidR="007D093C" w:rsidRDefault="007D093C" w:rsidP="007D093C">
            <w:pPr>
              <w:autoSpaceDE w:val="0"/>
              <w:spacing w:before="60" w:after="60"/>
              <w:rPr>
                <w:sz w:val="22"/>
                <w:szCs w:val="22"/>
              </w:rPr>
            </w:pPr>
            <w:r>
              <w:rPr>
                <w:sz w:val="22"/>
                <w:szCs w:val="22"/>
              </w:rPr>
              <w:t>Affidavit of Rahimtoola in the 1954 Proceedings, sworn 15 July 1955.</w:t>
            </w:r>
          </w:p>
        </w:tc>
        <w:tc>
          <w:tcPr>
            <w:tcW w:w="1933" w:type="dxa"/>
          </w:tcPr>
          <w:p w14:paraId="76A69267" w14:textId="77777777" w:rsidR="007D093C" w:rsidRDefault="007D093C" w:rsidP="007D093C">
            <w:pPr>
              <w:autoSpaceDE w:val="0"/>
              <w:spacing w:before="60" w:after="60"/>
              <w:rPr>
                <w:sz w:val="22"/>
                <w:szCs w:val="22"/>
              </w:rPr>
            </w:pPr>
            <w:r>
              <w:rPr>
                <w:sz w:val="22"/>
                <w:szCs w:val="22"/>
              </w:rPr>
              <w:t>Para 40</w:t>
            </w:r>
          </w:p>
        </w:tc>
      </w:tr>
      <w:tr w:rsidR="007D093C" w14:paraId="253649AC" w14:textId="77777777" w:rsidTr="0067601C">
        <w:tc>
          <w:tcPr>
            <w:tcW w:w="2689" w:type="dxa"/>
          </w:tcPr>
          <w:p w14:paraId="3DB6783C" w14:textId="77777777" w:rsidR="007D093C" w:rsidRDefault="007D093C" w:rsidP="007D093C">
            <w:pPr>
              <w:autoSpaceDE w:val="0"/>
              <w:spacing w:before="60" w:after="60"/>
              <w:rPr>
                <w:b/>
                <w:bCs/>
                <w:sz w:val="22"/>
                <w:szCs w:val="22"/>
              </w:rPr>
            </w:pPr>
            <w:r>
              <w:rPr>
                <w:b/>
                <w:bCs/>
                <w:sz w:val="22"/>
                <w:szCs w:val="22"/>
              </w:rPr>
              <w:t>Rahimtoola 2</w:t>
            </w:r>
          </w:p>
        </w:tc>
        <w:tc>
          <w:tcPr>
            <w:tcW w:w="4394" w:type="dxa"/>
          </w:tcPr>
          <w:p w14:paraId="1C2F75EF" w14:textId="77777777" w:rsidR="007D093C" w:rsidRPr="00D3529E" w:rsidRDefault="007D093C" w:rsidP="007D093C">
            <w:pPr>
              <w:autoSpaceDE w:val="0"/>
              <w:spacing w:before="60" w:after="60"/>
              <w:rPr>
                <w:sz w:val="22"/>
                <w:szCs w:val="22"/>
              </w:rPr>
            </w:pPr>
            <w:r>
              <w:rPr>
                <w:sz w:val="22"/>
                <w:szCs w:val="22"/>
              </w:rPr>
              <w:t>Affidavit of Rahimtoola in the 1954 Proceedings, sworn 19 June 1956</w:t>
            </w:r>
          </w:p>
        </w:tc>
        <w:tc>
          <w:tcPr>
            <w:tcW w:w="1933" w:type="dxa"/>
          </w:tcPr>
          <w:p w14:paraId="63CC0705" w14:textId="77777777" w:rsidR="007D093C" w:rsidRPr="00D3529E" w:rsidRDefault="007D093C" w:rsidP="007D093C">
            <w:pPr>
              <w:autoSpaceDE w:val="0"/>
              <w:spacing w:before="60" w:after="60"/>
              <w:rPr>
                <w:sz w:val="22"/>
                <w:szCs w:val="22"/>
              </w:rPr>
            </w:pPr>
            <w:r>
              <w:rPr>
                <w:sz w:val="22"/>
                <w:szCs w:val="22"/>
              </w:rPr>
              <w:t>Para 40</w:t>
            </w:r>
          </w:p>
        </w:tc>
      </w:tr>
      <w:tr w:rsidR="007D093C" w14:paraId="3DA76C4A" w14:textId="77777777" w:rsidTr="0067601C">
        <w:tc>
          <w:tcPr>
            <w:tcW w:w="2689" w:type="dxa"/>
          </w:tcPr>
          <w:p w14:paraId="2EB512D1" w14:textId="77777777" w:rsidR="007D093C" w:rsidRDefault="007D093C" w:rsidP="007D093C">
            <w:pPr>
              <w:autoSpaceDE w:val="0"/>
              <w:spacing w:before="60" w:after="60"/>
              <w:rPr>
                <w:b/>
                <w:bCs/>
                <w:sz w:val="22"/>
                <w:szCs w:val="22"/>
              </w:rPr>
            </w:pPr>
            <w:r>
              <w:rPr>
                <w:b/>
                <w:bCs/>
                <w:sz w:val="22"/>
                <w:szCs w:val="22"/>
              </w:rPr>
              <w:t>Safeguarding Argument</w:t>
            </w:r>
          </w:p>
        </w:tc>
        <w:tc>
          <w:tcPr>
            <w:tcW w:w="4394" w:type="dxa"/>
          </w:tcPr>
          <w:p w14:paraId="739FB2C4" w14:textId="77777777" w:rsidR="007D093C" w:rsidRDefault="007D093C" w:rsidP="007D093C">
            <w:pPr>
              <w:autoSpaceDE w:val="0"/>
              <w:spacing w:before="60" w:after="60"/>
              <w:rPr>
                <w:sz w:val="22"/>
                <w:szCs w:val="22"/>
              </w:rPr>
            </w:pPr>
            <w:r>
              <w:rPr>
                <w:sz w:val="22"/>
                <w:szCs w:val="22"/>
              </w:rPr>
              <w:t>Pakistan’s contention that she was absolutely entitled to the Fund on the basis described in paragraph 17(2) of the Judgment.</w:t>
            </w:r>
          </w:p>
        </w:tc>
        <w:tc>
          <w:tcPr>
            <w:tcW w:w="1933" w:type="dxa"/>
          </w:tcPr>
          <w:p w14:paraId="5099F70C" w14:textId="77777777" w:rsidR="007D093C" w:rsidRDefault="007D093C" w:rsidP="007D093C">
            <w:pPr>
              <w:autoSpaceDE w:val="0"/>
              <w:spacing w:before="60" w:after="60"/>
              <w:rPr>
                <w:sz w:val="22"/>
                <w:szCs w:val="22"/>
              </w:rPr>
            </w:pPr>
            <w:r>
              <w:rPr>
                <w:sz w:val="22"/>
                <w:szCs w:val="22"/>
              </w:rPr>
              <w:t>Para 17(2)</w:t>
            </w:r>
          </w:p>
        </w:tc>
      </w:tr>
      <w:tr w:rsidR="007D093C" w14:paraId="2AF2B0F3" w14:textId="77777777" w:rsidTr="0067601C">
        <w:tc>
          <w:tcPr>
            <w:tcW w:w="2689" w:type="dxa"/>
          </w:tcPr>
          <w:p w14:paraId="5AF2200F" w14:textId="77777777" w:rsidR="007D093C" w:rsidRDefault="007D093C" w:rsidP="007D093C">
            <w:pPr>
              <w:autoSpaceDE w:val="0"/>
              <w:spacing w:before="60" w:after="60"/>
              <w:rPr>
                <w:b/>
                <w:bCs/>
                <w:sz w:val="22"/>
                <w:szCs w:val="22"/>
              </w:rPr>
            </w:pPr>
            <w:r>
              <w:rPr>
                <w:b/>
                <w:bCs/>
                <w:sz w:val="22"/>
                <w:szCs w:val="22"/>
              </w:rPr>
              <w:t>Second Account</w:t>
            </w:r>
          </w:p>
        </w:tc>
        <w:tc>
          <w:tcPr>
            <w:tcW w:w="4394" w:type="dxa"/>
          </w:tcPr>
          <w:p w14:paraId="15C4BCBD" w14:textId="77777777" w:rsidR="007D093C" w:rsidRPr="00D3529E" w:rsidRDefault="007D093C" w:rsidP="007D093C">
            <w:pPr>
              <w:autoSpaceDE w:val="0"/>
              <w:spacing w:before="60" w:after="60"/>
              <w:rPr>
                <w:sz w:val="22"/>
                <w:szCs w:val="22"/>
              </w:rPr>
            </w:pPr>
            <w:r>
              <w:rPr>
                <w:sz w:val="22"/>
                <w:szCs w:val="22"/>
              </w:rPr>
              <w:t>The account out of which the Transfer was made.</w:t>
            </w:r>
          </w:p>
        </w:tc>
        <w:tc>
          <w:tcPr>
            <w:tcW w:w="1933" w:type="dxa"/>
          </w:tcPr>
          <w:p w14:paraId="3789579B" w14:textId="77777777" w:rsidR="007D093C" w:rsidRPr="00D3529E" w:rsidRDefault="007D093C" w:rsidP="007D093C">
            <w:pPr>
              <w:autoSpaceDE w:val="0"/>
              <w:spacing w:before="60" w:after="60"/>
              <w:rPr>
                <w:sz w:val="22"/>
                <w:szCs w:val="22"/>
              </w:rPr>
            </w:pPr>
            <w:r>
              <w:rPr>
                <w:sz w:val="22"/>
                <w:szCs w:val="22"/>
              </w:rPr>
              <w:t>Para 5</w:t>
            </w:r>
          </w:p>
        </w:tc>
      </w:tr>
      <w:tr w:rsidR="007D093C" w14:paraId="7BC1C793" w14:textId="77777777" w:rsidTr="0067601C">
        <w:tc>
          <w:tcPr>
            <w:tcW w:w="2689" w:type="dxa"/>
          </w:tcPr>
          <w:p w14:paraId="3B7B1360" w14:textId="77777777" w:rsidR="007D093C" w:rsidRDefault="007D093C" w:rsidP="007D093C">
            <w:pPr>
              <w:autoSpaceDE w:val="0"/>
              <w:spacing w:before="60" w:after="60"/>
              <w:rPr>
                <w:b/>
                <w:bCs/>
                <w:sz w:val="22"/>
                <w:szCs w:val="22"/>
              </w:rPr>
            </w:pPr>
            <w:r>
              <w:rPr>
                <w:b/>
                <w:bCs/>
                <w:sz w:val="22"/>
                <w:szCs w:val="22"/>
              </w:rPr>
              <w:t>Settlement</w:t>
            </w:r>
          </w:p>
        </w:tc>
        <w:tc>
          <w:tcPr>
            <w:tcW w:w="4394" w:type="dxa"/>
          </w:tcPr>
          <w:p w14:paraId="7BA30D15" w14:textId="77777777" w:rsidR="007D093C" w:rsidRDefault="007D093C" w:rsidP="007D093C">
            <w:pPr>
              <w:autoSpaceDE w:val="0"/>
              <w:spacing w:before="60" w:after="60"/>
              <w:rPr>
                <w:sz w:val="22"/>
                <w:szCs w:val="22"/>
              </w:rPr>
            </w:pPr>
            <w:r>
              <w:rPr>
                <w:sz w:val="22"/>
                <w:szCs w:val="22"/>
              </w:rPr>
              <w:t xml:space="preserve">The Settlement concluded between the Princes and India </w:t>
            </w:r>
            <w:r w:rsidR="00160706">
              <w:rPr>
                <w:sz w:val="22"/>
                <w:szCs w:val="22"/>
              </w:rPr>
              <w:t xml:space="preserve">(and the Administrator of the estate of Nizam VII) </w:t>
            </w:r>
            <w:r>
              <w:rPr>
                <w:sz w:val="22"/>
                <w:szCs w:val="22"/>
              </w:rPr>
              <w:t>as regards their contingent claims to the Fund.</w:t>
            </w:r>
          </w:p>
        </w:tc>
        <w:tc>
          <w:tcPr>
            <w:tcW w:w="1933" w:type="dxa"/>
          </w:tcPr>
          <w:p w14:paraId="3939DC36" w14:textId="77777777" w:rsidR="007D093C" w:rsidRDefault="007D093C" w:rsidP="007D093C">
            <w:pPr>
              <w:autoSpaceDE w:val="0"/>
              <w:spacing w:before="60" w:after="60"/>
              <w:rPr>
                <w:sz w:val="22"/>
                <w:szCs w:val="22"/>
              </w:rPr>
            </w:pPr>
            <w:r>
              <w:rPr>
                <w:sz w:val="22"/>
                <w:szCs w:val="22"/>
              </w:rPr>
              <w:t>Para 13(2)</w:t>
            </w:r>
          </w:p>
        </w:tc>
      </w:tr>
      <w:tr w:rsidR="007D093C" w14:paraId="57EB5A40" w14:textId="77777777" w:rsidTr="0067601C">
        <w:tc>
          <w:tcPr>
            <w:tcW w:w="2689" w:type="dxa"/>
          </w:tcPr>
          <w:p w14:paraId="541248F0" w14:textId="77777777" w:rsidR="007D093C" w:rsidRDefault="007D093C" w:rsidP="007D093C">
            <w:pPr>
              <w:autoSpaceDE w:val="0"/>
              <w:spacing w:before="60" w:after="60"/>
              <w:rPr>
                <w:b/>
                <w:bCs/>
                <w:sz w:val="22"/>
                <w:szCs w:val="22"/>
              </w:rPr>
            </w:pPr>
            <w:r>
              <w:rPr>
                <w:b/>
                <w:bCs/>
                <w:sz w:val="22"/>
                <w:szCs w:val="22"/>
              </w:rPr>
              <w:t>Shannon</w:t>
            </w:r>
          </w:p>
        </w:tc>
        <w:tc>
          <w:tcPr>
            <w:tcW w:w="4394" w:type="dxa"/>
          </w:tcPr>
          <w:p w14:paraId="5C8506D0" w14:textId="77777777" w:rsidR="007D093C" w:rsidRDefault="007D093C" w:rsidP="007D093C">
            <w:pPr>
              <w:autoSpaceDE w:val="0"/>
              <w:spacing w:before="60" w:after="60"/>
              <w:rPr>
                <w:sz w:val="22"/>
                <w:szCs w:val="22"/>
              </w:rPr>
            </w:pPr>
            <w:r>
              <w:rPr>
                <w:sz w:val="22"/>
                <w:szCs w:val="22"/>
              </w:rPr>
              <w:t>Shannon Consulting Limited, the assignee of Prince Muffakham’s interest in the Fund.</w:t>
            </w:r>
          </w:p>
        </w:tc>
        <w:tc>
          <w:tcPr>
            <w:tcW w:w="1933" w:type="dxa"/>
          </w:tcPr>
          <w:p w14:paraId="76633B6A" w14:textId="77777777" w:rsidR="007D093C" w:rsidRPr="00D3529E" w:rsidRDefault="007D093C" w:rsidP="007D093C">
            <w:pPr>
              <w:autoSpaceDE w:val="0"/>
              <w:spacing w:before="60" w:after="60"/>
              <w:rPr>
                <w:sz w:val="22"/>
                <w:szCs w:val="22"/>
              </w:rPr>
            </w:pPr>
            <w:r>
              <w:rPr>
                <w:sz w:val="22"/>
                <w:szCs w:val="22"/>
              </w:rPr>
              <w:t>Para 15(3)(b)</w:t>
            </w:r>
          </w:p>
        </w:tc>
      </w:tr>
      <w:tr w:rsidR="007D093C" w14:paraId="2DFE768E" w14:textId="77777777" w:rsidTr="0067601C">
        <w:tc>
          <w:tcPr>
            <w:tcW w:w="2689" w:type="dxa"/>
          </w:tcPr>
          <w:p w14:paraId="7AF2361E" w14:textId="77777777" w:rsidR="007D093C" w:rsidRDefault="007D093C" w:rsidP="007D093C">
            <w:pPr>
              <w:autoSpaceDE w:val="0"/>
              <w:spacing w:before="60" w:after="60"/>
              <w:rPr>
                <w:b/>
                <w:bCs/>
                <w:sz w:val="22"/>
                <w:szCs w:val="22"/>
              </w:rPr>
            </w:pPr>
            <w:r>
              <w:rPr>
                <w:b/>
                <w:bCs/>
                <w:sz w:val="22"/>
                <w:szCs w:val="22"/>
              </w:rPr>
              <w:t>Shaharyar</w:t>
            </w:r>
          </w:p>
        </w:tc>
        <w:tc>
          <w:tcPr>
            <w:tcW w:w="4394" w:type="dxa"/>
          </w:tcPr>
          <w:p w14:paraId="39131A2E" w14:textId="77777777" w:rsidR="007D093C" w:rsidRDefault="007D093C" w:rsidP="007D093C">
            <w:pPr>
              <w:autoSpaceDE w:val="0"/>
              <w:spacing w:before="60" w:after="60"/>
              <w:rPr>
                <w:sz w:val="22"/>
                <w:szCs w:val="22"/>
              </w:rPr>
            </w:pPr>
            <w:r>
              <w:rPr>
                <w:sz w:val="22"/>
                <w:szCs w:val="22"/>
              </w:rPr>
              <w:t>Shaharyar Mohamm</w:t>
            </w:r>
            <w:r w:rsidR="000F2D0E">
              <w:rPr>
                <w:sz w:val="22"/>
                <w:szCs w:val="22"/>
              </w:rPr>
              <w:t>a</w:t>
            </w:r>
            <w:r>
              <w:rPr>
                <w:sz w:val="22"/>
                <w:szCs w:val="22"/>
              </w:rPr>
              <w:t xml:space="preserve">d Khan, a former diplomat and Pakistan Foreign Minister called to give evidence on behalf </w:t>
            </w:r>
            <w:r w:rsidRPr="00751778">
              <w:rPr>
                <w:sz w:val="22"/>
                <w:szCs w:val="22"/>
              </w:rPr>
              <w:t>of Pakis</w:t>
            </w:r>
            <w:r w:rsidR="000B7169" w:rsidRPr="00751778">
              <w:rPr>
                <w:sz w:val="22"/>
                <w:szCs w:val="22"/>
              </w:rPr>
              <w:t>t</w:t>
            </w:r>
            <w:r w:rsidRPr="00751778">
              <w:rPr>
                <w:sz w:val="22"/>
                <w:szCs w:val="22"/>
              </w:rPr>
              <w:t>an.</w:t>
            </w:r>
          </w:p>
        </w:tc>
        <w:tc>
          <w:tcPr>
            <w:tcW w:w="1933" w:type="dxa"/>
          </w:tcPr>
          <w:p w14:paraId="2CE0252A" w14:textId="77777777" w:rsidR="007D093C" w:rsidRDefault="007D093C" w:rsidP="007D093C">
            <w:pPr>
              <w:autoSpaceDE w:val="0"/>
              <w:spacing w:before="60" w:after="60"/>
              <w:rPr>
                <w:sz w:val="22"/>
                <w:szCs w:val="22"/>
              </w:rPr>
            </w:pPr>
            <w:r>
              <w:rPr>
                <w:sz w:val="22"/>
                <w:szCs w:val="22"/>
              </w:rPr>
              <w:t>Para 37</w:t>
            </w:r>
          </w:p>
        </w:tc>
      </w:tr>
      <w:tr w:rsidR="007D093C" w14:paraId="5CAEB9C2" w14:textId="77777777" w:rsidTr="0067601C">
        <w:tc>
          <w:tcPr>
            <w:tcW w:w="2689" w:type="dxa"/>
          </w:tcPr>
          <w:p w14:paraId="1616E534" w14:textId="77777777" w:rsidR="007D093C" w:rsidRDefault="007D093C" w:rsidP="007D093C">
            <w:pPr>
              <w:autoSpaceDE w:val="0"/>
              <w:spacing w:before="60" w:after="60"/>
              <w:rPr>
                <w:b/>
                <w:bCs/>
                <w:sz w:val="22"/>
                <w:szCs w:val="22"/>
              </w:rPr>
            </w:pPr>
            <w:r>
              <w:rPr>
                <w:b/>
                <w:bCs/>
                <w:sz w:val="22"/>
                <w:szCs w:val="22"/>
              </w:rPr>
              <w:t>Shaharyar 1</w:t>
            </w:r>
          </w:p>
        </w:tc>
        <w:tc>
          <w:tcPr>
            <w:tcW w:w="4394" w:type="dxa"/>
          </w:tcPr>
          <w:p w14:paraId="0763B78A" w14:textId="77777777" w:rsidR="007D093C" w:rsidRDefault="007D093C" w:rsidP="007D093C">
            <w:pPr>
              <w:autoSpaceDE w:val="0"/>
              <w:spacing w:before="60" w:after="60"/>
              <w:rPr>
                <w:sz w:val="22"/>
                <w:szCs w:val="22"/>
              </w:rPr>
            </w:pPr>
            <w:r>
              <w:rPr>
                <w:sz w:val="22"/>
                <w:szCs w:val="22"/>
              </w:rPr>
              <w:t>The first witness statement of Shaharyar, dated 14 January 2016.</w:t>
            </w:r>
          </w:p>
        </w:tc>
        <w:tc>
          <w:tcPr>
            <w:tcW w:w="1933" w:type="dxa"/>
          </w:tcPr>
          <w:p w14:paraId="1784CCBA" w14:textId="77777777" w:rsidR="007D093C" w:rsidRDefault="007D093C" w:rsidP="007D093C">
            <w:pPr>
              <w:autoSpaceDE w:val="0"/>
              <w:spacing w:before="60" w:after="60"/>
              <w:rPr>
                <w:sz w:val="22"/>
                <w:szCs w:val="22"/>
              </w:rPr>
            </w:pPr>
            <w:r>
              <w:rPr>
                <w:sz w:val="22"/>
                <w:szCs w:val="22"/>
              </w:rPr>
              <w:t>Para 37</w:t>
            </w:r>
          </w:p>
        </w:tc>
      </w:tr>
      <w:tr w:rsidR="007D093C" w14:paraId="4EB75943" w14:textId="77777777" w:rsidTr="0067601C">
        <w:tc>
          <w:tcPr>
            <w:tcW w:w="2689" w:type="dxa"/>
          </w:tcPr>
          <w:p w14:paraId="36193E8A" w14:textId="77777777" w:rsidR="007D093C" w:rsidRDefault="007D093C" w:rsidP="007D093C">
            <w:pPr>
              <w:autoSpaceDE w:val="0"/>
              <w:spacing w:before="60" w:after="60"/>
              <w:rPr>
                <w:b/>
                <w:bCs/>
                <w:sz w:val="22"/>
                <w:szCs w:val="22"/>
              </w:rPr>
            </w:pPr>
            <w:r>
              <w:rPr>
                <w:b/>
                <w:bCs/>
                <w:sz w:val="22"/>
                <w:szCs w:val="22"/>
              </w:rPr>
              <w:t>Shoaib</w:t>
            </w:r>
          </w:p>
        </w:tc>
        <w:tc>
          <w:tcPr>
            <w:tcW w:w="4394" w:type="dxa"/>
          </w:tcPr>
          <w:p w14:paraId="0180FFAA" w14:textId="77777777" w:rsidR="007D093C" w:rsidRPr="00D3529E" w:rsidRDefault="007D093C" w:rsidP="007D093C">
            <w:pPr>
              <w:autoSpaceDE w:val="0"/>
              <w:spacing w:before="60" w:after="60"/>
              <w:rPr>
                <w:sz w:val="22"/>
                <w:szCs w:val="22"/>
              </w:rPr>
            </w:pPr>
            <w:r>
              <w:rPr>
                <w:sz w:val="22"/>
                <w:szCs w:val="22"/>
              </w:rPr>
              <w:t xml:space="preserve">Mohammad Shoaib, in 1948 the Financial Adviser, Military Finance in </w:t>
            </w:r>
            <w:r w:rsidR="000F2D0E">
              <w:rPr>
                <w:sz w:val="22"/>
                <w:szCs w:val="22"/>
              </w:rPr>
              <w:t>the Government of Pakistan</w:t>
            </w:r>
            <w:r>
              <w:rPr>
                <w:sz w:val="22"/>
                <w:szCs w:val="22"/>
              </w:rPr>
              <w:t>.</w:t>
            </w:r>
          </w:p>
        </w:tc>
        <w:tc>
          <w:tcPr>
            <w:tcW w:w="1933" w:type="dxa"/>
          </w:tcPr>
          <w:p w14:paraId="4CDCD3D4" w14:textId="77777777" w:rsidR="007D093C" w:rsidRPr="00D3529E" w:rsidRDefault="007D093C" w:rsidP="007D093C">
            <w:pPr>
              <w:autoSpaceDE w:val="0"/>
              <w:spacing w:before="60" w:after="60"/>
              <w:rPr>
                <w:sz w:val="22"/>
                <w:szCs w:val="22"/>
              </w:rPr>
            </w:pPr>
            <w:r>
              <w:rPr>
                <w:sz w:val="22"/>
                <w:szCs w:val="22"/>
              </w:rPr>
              <w:t>Para 207</w:t>
            </w:r>
          </w:p>
        </w:tc>
      </w:tr>
      <w:tr w:rsidR="007D093C" w14:paraId="7F4826F3" w14:textId="77777777" w:rsidTr="0067601C">
        <w:tc>
          <w:tcPr>
            <w:tcW w:w="2689" w:type="dxa"/>
          </w:tcPr>
          <w:p w14:paraId="6AE83E32" w14:textId="77777777" w:rsidR="007D093C" w:rsidRDefault="007D093C" w:rsidP="007D093C">
            <w:pPr>
              <w:autoSpaceDE w:val="0"/>
              <w:spacing w:before="60" w:after="60"/>
              <w:rPr>
                <w:b/>
                <w:bCs/>
                <w:sz w:val="22"/>
                <w:szCs w:val="22"/>
              </w:rPr>
            </w:pPr>
            <w:r>
              <w:rPr>
                <w:b/>
                <w:bCs/>
                <w:sz w:val="22"/>
                <w:szCs w:val="22"/>
              </w:rPr>
              <w:t>Standstill Agreement</w:t>
            </w:r>
          </w:p>
        </w:tc>
        <w:tc>
          <w:tcPr>
            <w:tcW w:w="4394" w:type="dxa"/>
          </w:tcPr>
          <w:p w14:paraId="6AA702B7" w14:textId="77777777" w:rsidR="007D093C" w:rsidRDefault="007D093C" w:rsidP="007D093C">
            <w:pPr>
              <w:autoSpaceDE w:val="0"/>
              <w:spacing w:before="60" w:after="60"/>
              <w:rPr>
                <w:sz w:val="22"/>
                <w:szCs w:val="22"/>
              </w:rPr>
            </w:pPr>
            <w:r>
              <w:rPr>
                <w:sz w:val="22"/>
                <w:szCs w:val="22"/>
              </w:rPr>
              <w:t xml:space="preserve">An agreement concluded between India and Hyderabad on 29 November 1947. </w:t>
            </w:r>
          </w:p>
        </w:tc>
        <w:tc>
          <w:tcPr>
            <w:tcW w:w="1933" w:type="dxa"/>
          </w:tcPr>
          <w:p w14:paraId="24201EBE" w14:textId="77777777" w:rsidR="007D093C" w:rsidRPr="00D3529E" w:rsidRDefault="007D093C" w:rsidP="007D093C">
            <w:pPr>
              <w:autoSpaceDE w:val="0"/>
              <w:spacing w:before="60" w:after="60"/>
              <w:rPr>
                <w:sz w:val="22"/>
                <w:szCs w:val="22"/>
              </w:rPr>
            </w:pPr>
            <w:r>
              <w:rPr>
                <w:sz w:val="22"/>
                <w:szCs w:val="22"/>
              </w:rPr>
              <w:t>Para 27(2)(c)</w:t>
            </w:r>
          </w:p>
        </w:tc>
      </w:tr>
      <w:tr w:rsidR="007D093C" w14:paraId="1968FED4" w14:textId="77777777" w:rsidTr="0067601C">
        <w:tc>
          <w:tcPr>
            <w:tcW w:w="2689" w:type="dxa"/>
          </w:tcPr>
          <w:p w14:paraId="0E0B46DF" w14:textId="77777777" w:rsidR="007D093C" w:rsidRPr="00EE4F44" w:rsidRDefault="007D093C" w:rsidP="007D093C">
            <w:pPr>
              <w:autoSpaceDE w:val="0"/>
              <w:spacing w:before="60" w:after="60"/>
              <w:rPr>
                <w:b/>
                <w:bCs/>
                <w:i/>
                <w:iCs/>
                <w:sz w:val="22"/>
                <w:szCs w:val="22"/>
              </w:rPr>
            </w:pPr>
            <w:r>
              <w:rPr>
                <w:b/>
                <w:bCs/>
                <w:sz w:val="22"/>
                <w:szCs w:val="22"/>
              </w:rPr>
              <w:lastRenderedPageBreak/>
              <w:t xml:space="preserve">Transaction </w:t>
            </w:r>
            <w:r>
              <w:rPr>
                <w:b/>
                <w:bCs/>
                <w:i/>
                <w:iCs/>
                <w:sz w:val="22"/>
                <w:szCs w:val="22"/>
              </w:rPr>
              <w:t>x</w:t>
            </w:r>
          </w:p>
        </w:tc>
        <w:tc>
          <w:tcPr>
            <w:tcW w:w="4394" w:type="dxa"/>
          </w:tcPr>
          <w:p w14:paraId="61AA7F99" w14:textId="77777777" w:rsidR="007D093C" w:rsidRPr="006C19AC" w:rsidRDefault="007D093C" w:rsidP="007D093C">
            <w:pPr>
              <w:autoSpaceDE w:val="0"/>
              <w:spacing w:before="60" w:after="60"/>
              <w:rPr>
                <w:sz w:val="22"/>
                <w:szCs w:val="22"/>
              </w:rPr>
            </w:pPr>
            <w:r>
              <w:rPr>
                <w:sz w:val="22"/>
                <w:szCs w:val="22"/>
              </w:rPr>
              <w:t xml:space="preserve">One of the transactions listed in Annex 3, where </w:t>
            </w:r>
            <w:r>
              <w:rPr>
                <w:i/>
                <w:iCs/>
                <w:sz w:val="22"/>
                <w:szCs w:val="22"/>
              </w:rPr>
              <w:t xml:space="preserve">x </w:t>
            </w:r>
            <w:r>
              <w:rPr>
                <w:sz w:val="22"/>
                <w:szCs w:val="22"/>
              </w:rPr>
              <w:t>is the number of the Transaction in Annex 3.</w:t>
            </w:r>
          </w:p>
        </w:tc>
        <w:tc>
          <w:tcPr>
            <w:tcW w:w="1933" w:type="dxa"/>
          </w:tcPr>
          <w:p w14:paraId="64EDFF53" w14:textId="77777777" w:rsidR="007D093C" w:rsidRDefault="007D093C" w:rsidP="007D093C">
            <w:pPr>
              <w:autoSpaceDE w:val="0"/>
              <w:spacing w:before="60" w:after="60"/>
              <w:rPr>
                <w:sz w:val="22"/>
                <w:szCs w:val="22"/>
              </w:rPr>
            </w:pPr>
            <w:r>
              <w:rPr>
                <w:sz w:val="22"/>
                <w:szCs w:val="22"/>
              </w:rPr>
              <w:t>Para 91</w:t>
            </w:r>
          </w:p>
        </w:tc>
      </w:tr>
      <w:tr w:rsidR="007D093C" w14:paraId="2EA315C2" w14:textId="77777777" w:rsidTr="0067601C">
        <w:tc>
          <w:tcPr>
            <w:tcW w:w="2689" w:type="dxa"/>
          </w:tcPr>
          <w:p w14:paraId="6C04BF2A" w14:textId="77777777" w:rsidR="007D093C" w:rsidRDefault="007D093C" w:rsidP="007D093C">
            <w:pPr>
              <w:autoSpaceDE w:val="0"/>
              <w:spacing w:before="60" w:after="60"/>
              <w:rPr>
                <w:b/>
                <w:bCs/>
                <w:sz w:val="22"/>
                <w:szCs w:val="22"/>
              </w:rPr>
            </w:pPr>
            <w:r>
              <w:rPr>
                <w:b/>
                <w:bCs/>
                <w:sz w:val="22"/>
                <w:szCs w:val="22"/>
              </w:rPr>
              <w:t>Transfer</w:t>
            </w:r>
          </w:p>
        </w:tc>
        <w:tc>
          <w:tcPr>
            <w:tcW w:w="4394" w:type="dxa"/>
          </w:tcPr>
          <w:p w14:paraId="0D269849" w14:textId="77777777" w:rsidR="007D093C" w:rsidRDefault="007D093C" w:rsidP="007D093C">
            <w:pPr>
              <w:autoSpaceDE w:val="0"/>
              <w:spacing w:before="60" w:after="60"/>
              <w:rPr>
                <w:sz w:val="22"/>
                <w:szCs w:val="22"/>
              </w:rPr>
            </w:pPr>
            <w:r>
              <w:rPr>
                <w:sz w:val="22"/>
                <w:szCs w:val="22"/>
              </w:rPr>
              <w:t>The transfer of £1,007,940 9s 0d on 20 September 1948 by Moin to Rahimtoola.</w:t>
            </w:r>
          </w:p>
        </w:tc>
        <w:tc>
          <w:tcPr>
            <w:tcW w:w="1933" w:type="dxa"/>
          </w:tcPr>
          <w:p w14:paraId="1CACDCE6" w14:textId="77777777" w:rsidR="007D093C" w:rsidRPr="00D3529E" w:rsidRDefault="007D093C" w:rsidP="007D093C">
            <w:pPr>
              <w:autoSpaceDE w:val="0"/>
              <w:spacing w:before="60" w:after="60"/>
              <w:rPr>
                <w:sz w:val="22"/>
                <w:szCs w:val="22"/>
              </w:rPr>
            </w:pPr>
            <w:r>
              <w:rPr>
                <w:sz w:val="22"/>
                <w:szCs w:val="22"/>
              </w:rPr>
              <w:t>Para 1</w:t>
            </w:r>
          </w:p>
        </w:tc>
      </w:tr>
      <w:tr w:rsidR="007D093C" w14:paraId="061006F6" w14:textId="77777777" w:rsidTr="0067601C">
        <w:tc>
          <w:tcPr>
            <w:tcW w:w="2689" w:type="dxa"/>
          </w:tcPr>
          <w:p w14:paraId="418681C7" w14:textId="77777777" w:rsidR="007D093C" w:rsidRPr="00297712" w:rsidRDefault="007D093C" w:rsidP="007D093C">
            <w:pPr>
              <w:autoSpaceDE w:val="0"/>
              <w:spacing w:before="60" w:after="60"/>
              <w:rPr>
                <w:b/>
                <w:bCs/>
                <w:sz w:val="22"/>
                <w:szCs w:val="22"/>
              </w:rPr>
            </w:pPr>
            <w:r>
              <w:rPr>
                <w:b/>
                <w:bCs/>
                <w:sz w:val="22"/>
                <w:szCs w:val="22"/>
              </w:rPr>
              <w:t>Zafrullah</w:t>
            </w:r>
          </w:p>
        </w:tc>
        <w:tc>
          <w:tcPr>
            <w:tcW w:w="4394" w:type="dxa"/>
          </w:tcPr>
          <w:p w14:paraId="602D8203" w14:textId="77777777" w:rsidR="007D093C" w:rsidRDefault="007D093C" w:rsidP="007D093C">
            <w:pPr>
              <w:autoSpaceDE w:val="0"/>
              <w:spacing w:before="60" w:after="60"/>
              <w:rPr>
                <w:sz w:val="22"/>
                <w:szCs w:val="22"/>
              </w:rPr>
            </w:pPr>
            <w:r>
              <w:rPr>
                <w:sz w:val="22"/>
                <w:szCs w:val="22"/>
              </w:rPr>
              <w:t>Sir Zafrullah Khan, Pakistan’s Foreign Minister in 1948.</w:t>
            </w:r>
          </w:p>
        </w:tc>
        <w:tc>
          <w:tcPr>
            <w:tcW w:w="1933" w:type="dxa"/>
          </w:tcPr>
          <w:p w14:paraId="4CE19B4F" w14:textId="77777777" w:rsidR="007D093C" w:rsidRDefault="007D093C" w:rsidP="007D093C">
            <w:pPr>
              <w:autoSpaceDE w:val="0"/>
              <w:spacing w:before="60" w:after="60"/>
              <w:rPr>
                <w:sz w:val="22"/>
                <w:szCs w:val="22"/>
              </w:rPr>
            </w:pPr>
            <w:r>
              <w:rPr>
                <w:sz w:val="22"/>
                <w:szCs w:val="22"/>
              </w:rPr>
              <w:t>Para 112</w:t>
            </w:r>
          </w:p>
        </w:tc>
      </w:tr>
      <w:tr w:rsidR="007D093C" w14:paraId="39A7BDE5" w14:textId="77777777" w:rsidTr="0067601C">
        <w:tc>
          <w:tcPr>
            <w:tcW w:w="2689" w:type="dxa"/>
          </w:tcPr>
          <w:p w14:paraId="2FE7B601" w14:textId="77777777" w:rsidR="007D093C" w:rsidRPr="00297712" w:rsidRDefault="007D093C" w:rsidP="007D093C">
            <w:pPr>
              <w:autoSpaceDE w:val="0"/>
              <w:spacing w:before="60" w:after="60"/>
              <w:rPr>
                <w:b/>
                <w:bCs/>
                <w:sz w:val="22"/>
                <w:szCs w:val="22"/>
              </w:rPr>
            </w:pPr>
            <w:r w:rsidRPr="00297712">
              <w:rPr>
                <w:b/>
                <w:bCs/>
                <w:sz w:val="22"/>
                <w:szCs w:val="22"/>
              </w:rPr>
              <w:t>Zahir</w:t>
            </w:r>
          </w:p>
        </w:tc>
        <w:tc>
          <w:tcPr>
            <w:tcW w:w="4394" w:type="dxa"/>
          </w:tcPr>
          <w:p w14:paraId="673E0566" w14:textId="77777777" w:rsidR="007D093C" w:rsidRPr="00D3529E" w:rsidRDefault="007D093C" w:rsidP="007D093C">
            <w:pPr>
              <w:autoSpaceDE w:val="0"/>
              <w:spacing w:before="60" w:after="60"/>
              <w:rPr>
                <w:sz w:val="22"/>
                <w:szCs w:val="22"/>
              </w:rPr>
            </w:pPr>
            <w:r>
              <w:rPr>
                <w:sz w:val="22"/>
                <w:szCs w:val="22"/>
              </w:rPr>
              <w:t>Zahir Ahmed, in 1948 the Foreign Secretary to the Government of Nizam VII.</w:t>
            </w:r>
          </w:p>
        </w:tc>
        <w:tc>
          <w:tcPr>
            <w:tcW w:w="1933" w:type="dxa"/>
          </w:tcPr>
          <w:p w14:paraId="51620D5E" w14:textId="77777777" w:rsidR="007D093C" w:rsidRPr="00D3529E" w:rsidRDefault="007D093C" w:rsidP="007D093C">
            <w:pPr>
              <w:autoSpaceDE w:val="0"/>
              <w:spacing w:before="60" w:after="60"/>
              <w:rPr>
                <w:sz w:val="22"/>
                <w:szCs w:val="22"/>
              </w:rPr>
            </w:pPr>
            <w:r>
              <w:rPr>
                <w:sz w:val="22"/>
                <w:szCs w:val="22"/>
              </w:rPr>
              <w:t>Para 75</w:t>
            </w:r>
          </w:p>
        </w:tc>
      </w:tr>
      <w:tr w:rsidR="007D093C" w14:paraId="369DC833" w14:textId="77777777" w:rsidTr="0067601C">
        <w:tc>
          <w:tcPr>
            <w:tcW w:w="2689" w:type="dxa"/>
          </w:tcPr>
          <w:p w14:paraId="732CBF7F" w14:textId="77777777" w:rsidR="007D093C" w:rsidRPr="004A4FFE" w:rsidRDefault="007D093C" w:rsidP="007D093C">
            <w:pPr>
              <w:autoSpaceDE w:val="0"/>
              <w:spacing w:before="60" w:after="60"/>
              <w:rPr>
                <w:b/>
                <w:bCs/>
                <w:sz w:val="22"/>
                <w:szCs w:val="22"/>
              </w:rPr>
            </w:pPr>
            <w:r w:rsidRPr="004A4FFE">
              <w:rPr>
                <w:b/>
                <w:bCs/>
                <w:sz w:val="22"/>
                <w:szCs w:val="22"/>
              </w:rPr>
              <w:t>1954 Proceedings</w:t>
            </w:r>
          </w:p>
        </w:tc>
        <w:tc>
          <w:tcPr>
            <w:tcW w:w="4394" w:type="dxa"/>
          </w:tcPr>
          <w:p w14:paraId="16BB6C04" w14:textId="77777777" w:rsidR="007D093C" w:rsidRPr="00D3529E" w:rsidRDefault="007D093C" w:rsidP="007D093C">
            <w:pPr>
              <w:autoSpaceDE w:val="0"/>
              <w:spacing w:before="60" w:after="60"/>
              <w:rPr>
                <w:sz w:val="22"/>
                <w:szCs w:val="22"/>
              </w:rPr>
            </w:pPr>
            <w:r>
              <w:rPr>
                <w:sz w:val="22"/>
                <w:szCs w:val="22"/>
              </w:rPr>
              <w:t>The claim brought by Nizam VII and Hyderabad in the Chancery Division of the High Court of Justice under Claim 1954 H No 2387.</w:t>
            </w:r>
          </w:p>
        </w:tc>
        <w:tc>
          <w:tcPr>
            <w:tcW w:w="1933" w:type="dxa"/>
          </w:tcPr>
          <w:p w14:paraId="2F2B991D" w14:textId="77777777" w:rsidR="007D093C" w:rsidRPr="00D3529E" w:rsidRDefault="007D093C" w:rsidP="007D093C">
            <w:pPr>
              <w:autoSpaceDE w:val="0"/>
              <w:spacing w:before="60" w:after="60"/>
              <w:rPr>
                <w:sz w:val="22"/>
                <w:szCs w:val="22"/>
              </w:rPr>
            </w:pPr>
            <w:r>
              <w:rPr>
                <w:sz w:val="22"/>
                <w:szCs w:val="22"/>
              </w:rPr>
              <w:t>Para 6</w:t>
            </w:r>
          </w:p>
        </w:tc>
      </w:tr>
      <w:tr w:rsidR="007D093C" w14:paraId="1744F522" w14:textId="77777777" w:rsidTr="0067601C">
        <w:tc>
          <w:tcPr>
            <w:tcW w:w="2689" w:type="dxa"/>
          </w:tcPr>
          <w:p w14:paraId="5E161E1F" w14:textId="77777777" w:rsidR="007D093C" w:rsidRPr="004A4FFE" w:rsidRDefault="007D093C" w:rsidP="007D093C">
            <w:pPr>
              <w:autoSpaceDE w:val="0"/>
              <w:spacing w:before="60" w:after="60"/>
              <w:rPr>
                <w:b/>
                <w:bCs/>
                <w:sz w:val="22"/>
                <w:szCs w:val="22"/>
              </w:rPr>
            </w:pPr>
            <w:r>
              <w:rPr>
                <w:b/>
                <w:bCs/>
                <w:sz w:val="22"/>
                <w:szCs w:val="22"/>
              </w:rPr>
              <w:t xml:space="preserve">1956 Assignment </w:t>
            </w:r>
          </w:p>
        </w:tc>
        <w:tc>
          <w:tcPr>
            <w:tcW w:w="4394" w:type="dxa"/>
          </w:tcPr>
          <w:p w14:paraId="118E840D" w14:textId="77777777" w:rsidR="007D093C" w:rsidRDefault="007D093C" w:rsidP="007D093C">
            <w:pPr>
              <w:autoSpaceDE w:val="0"/>
              <w:spacing w:before="60" w:after="60"/>
              <w:rPr>
                <w:sz w:val="22"/>
                <w:szCs w:val="22"/>
              </w:rPr>
            </w:pPr>
            <w:r>
              <w:rPr>
                <w:sz w:val="22"/>
                <w:szCs w:val="22"/>
              </w:rPr>
              <w:t>An assignment, by way of a deed dated 27 October 1956, whereby the State of Hyderabad assigned to Nizam VII all of its interest in the Fund.</w:t>
            </w:r>
          </w:p>
        </w:tc>
        <w:tc>
          <w:tcPr>
            <w:tcW w:w="1933" w:type="dxa"/>
          </w:tcPr>
          <w:p w14:paraId="236C92B5" w14:textId="77777777" w:rsidR="007D093C" w:rsidRDefault="007D093C" w:rsidP="007D093C">
            <w:pPr>
              <w:autoSpaceDE w:val="0"/>
              <w:spacing w:before="60" w:after="60"/>
              <w:rPr>
                <w:sz w:val="22"/>
                <w:szCs w:val="22"/>
              </w:rPr>
            </w:pPr>
            <w:r>
              <w:rPr>
                <w:sz w:val="22"/>
                <w:szCs w:val="22"/>
              </w:rPr>
              <w:t>Para 147(4)</w:t>
            </w:r>
          </w:p>
        </w:tc>
      </w:tr>
      <w:tr w:rsidR="007D093C" w14:paraId="63DC0793" w14:textId="77777777" w:rsidTr="0067601C">
        <w:tc>
          <w:tcPr>
            <w:tcW w:w="2689" w:type="dxa"/>
          </w:tcPr>
          <w:p w14:paraId="4B7CE8DA" w14:textId="77777777" w:rsidR="007D093C" w:rsidRPr="00D53465" w:rsidRDefault="007D093C" w:rsidP="007D093C">
            <w:pPr>
              <w:autoSpaceDE w:val="0"/>
              <w:spacing w:before="60" w:after="60"/>
              <w:rPr>
                <w:b/>
                <w:bCs/>
                <w:sz w:val="22"/>
                <w:szCs w:val="22"/>
              </w:rPr>
            </w:pPr>
            <w:r w:rsidRPr="00D53465">
              <w:rPr>
                <w:b/>
                <w:bCs/>
                <w:sz w:val="22"/>
                <w:szCs w:val="22"/>
              </w:rPr>
              <w:t xml:space="preserve">1963 </w:t>
            </w:r>
            <w:r>
              <w:rPr>
                <w:b/>
                <w:bCs/>
                <w:sz w:val="22"/>
                <w:szCs w:val="22"/>
              </w:rPr>
              <w:t>Settlement</w:t>
            </w:r>
          </w:p>
        </w:tc>
        <w:tc>
          <w:tcPr>
            <w:tcW w:w="4394" w:type="dxa"/>
          </w:tcPr>
          <w:p w14:paraId="11FDC253" w14:textId="77777777" w:rsidR="007D093C" w:rsidRPr="00D3529E" w:rsidRDefault="007D093C" w:rsidP="007D093C">
            <w:pPr>
              <w:autoSpaceDE w:val="0"/>
              <w:spacing w:before="60" w:after="60"/>
              <w:rPr>
                <w:sz w:val="22"/>
                <w:szCs w:val="22"/>
              </w:rPr>
            </w:pPr>
            <w:r>
              <w:rPr>
                <w:sz w:val="22"/>
                <w:szCs w:val="22"/>
              </w:rPr>
              <w:t>A trust created by Nizam VII over his interest in the Fund.</w:t>
            </w:r>
          </w:p>
        </w:tc>
        <w:tc>
          <w:tcPr>
            <w:tcW w:w="1933" w:type="dxa"/>
          </w:tcPr>
          <w:p w14:paraId="4F14966F" w14:textId="77777777" w:rsidR="007D093C" w:rsidRPr="00D3529E" w:rsidRDefault="007D093C" w:rsidP="007D093C">
            <w:pPr>
              <w:autoSpaceDE w:val="0"/>
              <w:spacing w:before="60" w:after="60"/>
              <w:rPr>
                <w:sz w:val="22"/>
                <w:szCs w:val="22"/>
              </w:rPr>
            </w:pPr>
            <w:r>
              <w:rPr>
                <w:sz w:val="22"/>
                <w:szCs w:val="22"/>
              </w:rPr>
              <w:t>Para 9</w:t>
            </w:r>
          </w:p>
        </w:tc>
      </w:tr>
      <w:tr w:rsidR="007D093C" w14:paraId="1549080A" w14:textId="77777777" w:rsidTr="0067601C">
        <w:tc>
          <w:tcPr>
            <w:tcW w:w="2689" w:type="dxa"/>
          </w:tcPr>
          <w:p w14:paraId="0B1B77C9" w14:textId="77777777" w:rsidR="007D093C" w:rsidRPr="00D53465" w:rsidRDefault="007D093C" w:rsidP="007D093C">
            <w:pPr>
              <w:autoSpaceDE w:val="0"/>
              <w:spacing w:before="60" w:after="60"/>
              <w:rPr>
                <w:b/>
                <w:bCs/>
                <w:sz w:val="22"/>
                <w:szCs w:val="22"/>
              </w:rPr>
            </w:pPr>
            <w:r>
              <w:rPr>
                <w:b/>
                <w:bCs/>
                <w:sz w:val="22"/>
                <w:szCs w:val="22"/>
              </w:rPr>
              <w:t>1965 Appointment</w:t>
            </w:r>
          </w:p>
        </w:tc>
        <w:tc>
          <w:tcPr>
            <w:tcW w:w="4394" w:type="dxa"/>
          </w:tcPr>
          <w:p w14:paraId="37CF0448" w14:textId="77777777" w:rsidR="007D093C" w:rsidRDefault="007D093C" w:rsidP="007D093C">
            <w:pPr>
              <w:autoSpaceDE w:val="0"/>
              <w:spacing w:before="60" w:after="60"/>
              <w:rPr>
                <w:sz w:val="22"/>
                <w:szCs w:val="22"/>
              </w:rPr>
            </w:pPr>
            <w:r>
              <w:rPr>
                <w:sz w:val="22"/>
                <w:szCs w:val="22"/>
              </w:rPr>
              <w:t>An irrevocable appointment</w:t>
            </w:r>
            <w:r w:rsidR="00CC19FD">
              <w:rPr>
                <w:sz w:val="22"/>
                <w:szCs w:val="22"/>
              </w:rPr>
              <w:t xml:space="preserve"> of</w:t>
            </w:r>
            <w:r>
              <w:rPr>
                <w:sz w:val="22"/>
                <w:szCs w:val="22"/>
              </w:rPr>
              <w:t xml:space="preserve"> the capital and income</w:t>
            </w:r>
            <w:r w:rsidR="00CC19FD">
              <w:rPr>
                <w:sz w:val="22"/>
                <w:szCs w:val="22"/>
              </w:rPr>
              <w:t xml:space="preserve"> of the 1963 Settlement</w:t>
            </w:r>
            <w:r>
              <w:rPr>
                <w:sz w:val="22"/>
                <w:szCs w:val="22"/>
              </w:rPr>
              <w:t xml:space="preserve"> upon trust for the Princes.</w:t>
            </w:r>
          </w:p>
        </w:tc>
        <w:tc>
          <w:tcPr>
            <w:tcW w:w="1933" w:type="dxa"/>
          </w:tcPr>
          <w:p w14:paraId="1BE402B8" w14:textId="77777777" w:rsidR="007D093C" w:rsidRDefault="007D093C" w:rsidP="007D093C">
            <w:pPr>
              <w:autoSpaceDE w:val="0"/>
              <w:spacing w:before="60" w:after="60"/>
              <w:rPr>
                <w:sz w:val="22"/>
                <w:szCs w:val="22"/>
              </w:rPr>
            </w:pPr>
            <w:r>
              <w:rPr>
                <w:sz w:val="22"/>
                <w:szCs w:val="22"/>
              </w:rPr>
              <w:t>Para 9</w:t>
            </w:r>
          </w:p>
        </w:tc>
      </w:tr>
      <w:tr w:rsidR="007D093C" w14:paraId="6E0536A6" w14:textId="77777777" w:rsidTr="0067601C">
        <w:tc>
          <w:tcPr>
            <w:tcW w:w="2689" w:type="dxa"/>
          </w:tcPr>
          <w:p w14:paraId="2DC62E24" w14:textId="77777777" w:rsidR="007D093C" w:rsidRDefault="007D093C" w:rsidP="007D093C">
            <w:pPr>
              <w:autoSpaceDE w:val="0"/>
              <w:spacing w:before="60" w:after="60"/>
              <w:rPr>
                <w:b/>
                <w:bCs/>
                <w:sz w:val="22"/>
                <w:szCs w:val="22"/>
              </w:rPr>
            </w:pPr>
            <w:r>
              <w:rPr>
                <w:b/>
                <w:bCs/>
                <w:sz w:val="22"/>
                <w:szCs w:val="22"/>
              </w:rPr>
              <w:t>1965 Assignment</w:t>
            </w:r>
          </w:p>
        </w:tc>
        <w:tc>
          <w:tcPr>
            <w:tcW w:w="4394" w:type="dxa"/>
          </w:tcPr>
          <w:p w14:paraId="26E4F1FF" w14:textId="77777777" w:rsidR="007D093C" w:rsidRDefault="007D093C" w:rsidP="007D093C">
            <w:pPr>
              <w:autoSpaceDE w:val="0"/>
              <w:spacing w:before="60" w:after="60"/>
              <w:rPr>
                <w:sz w:val="22"/>
                <w:szCs w:val="22"/>
              </w:rPr>
            </w:pPr>
            <w:r>
              <w:rPr>
                <w:sz w:val="22"/>
                <w:szCs w:val="22"/>
              </w:rPr>
              <w:t>An assignment by Nizam VII of his claim to the Fund to the President of India.</w:t>
            </w:r>
          </w:p>
        </w:tc>
        <w:tc>
          <w:tcPr>
            <w:tcW w:w="1933" w:type="dxa"/>
          </w:tcPr>
          <w:p w14:paraId="38249216" w14:textId="77777777" w:rsidR="007D093C" w:rsidRDefault="007D093C" w:rsidP="007D093C">
            <w:pPr>
              <w:autoSpaceDE w:val="0"/>
              <w:spacing w:before="60" w:after="60"/>
              <w:rPr>
                <w:sz w:val="22"/>
                <w:szCs w:val="22"/>
              </w:rPr>
            </w:pPr>
            <w:r>
              <w:rPr>
                <w:sz w:val="22"/>
                <w:szCs w:val="22"/>
              </w:rPr>
              <w:t>Para 10</w:t>
            </w:r>
          </w:p>
        </w:tc>
      </w:tr>
      <w:bookmarkEnd w:id="1"/>
    </w:tbl>
    <w:p w14:paraId="590E6448" w14:textId="77777777" w:rsidR="009B269B" w:rsidRDefault="009B269B" w:rsidP="00176448">
      <w:pPr>
        <w:autoSpaceDE w:val="0"/>
        <w:spacing w:before="240" w:after="240"/>
      </w:pPr>
    </w:p>
    <w:p w14:paraId="182A003D" w14:textId="77777777" w:rsidR="009B269B" w:rsidRDefault="009B269B">
      <w:pPr>
        <w:suppressAutoHyphens w:val="0"/>
        <w:spacing w:after="160" w:line="249" w:lineRule="auto"/>
      </w:pPr>
      <w:r>
        <w:br w:type="page"/>
      </w:r>
    </w:p>
    <w:p w14:paraId="1E57F516" w14:textId="77777777" w:rsidR="00BF3397" w:rsidRDefault="00BF3397" w:rsidP="00BF3397">
      <w:pPr>
        <w:autoSpaceDE w:val="0"/>
        <w:spacing w:before="240" w:after="240"/>
        <w:jc w:val="center"/>
        <w:rPr>
          <w:b/>
          <w:bCs/>
        </w:rPr>
      </w:pPr>
      <w:r>
        <w:rPr>
          <w:b/>
          <w:bCs/>
        </w:rPr>
        <w:lastRenderedPageBreak/>
        <w:t>ANNEX 2</w:t>
      </w:r>
    </w:p>
    <w:p w14:paraId="2F620710" w14:textId="77777777" w:rsidR="00BF3397" w:rsidRDefault="00BF3397" w:rsidP="00BF3397">
      <w:pPr>
        <w:autoSpaceDE w:val="0"/>
        <w:spacing w:before="240" w:after="240"/>
        <w:jc w:val="center"/>
        <w:rPr>
          <w:b/>
          <w:bCs/>
        </w:rPr>
      </w:pPr>
      <w:r>
        <w:rPr>
          <w:b/>
          <w:bCs/>
        </w:rPr>
        <w:t>MAP</w:t>
      </w:r>
      <w:r w:rsidR="002D6E8F">
        <w:rPr>
          <w:b/>
          <w:bCs/>
        </w:rPr>
        <w:t xml:space="preserve"> SHOWING THE POSITION OF HYDERABAD IN 1948</w:t>
      </w:r>
    </w:p>
    <w:p w14:paraId="5EB5C1E2" w14:textId="77777777" w:rsidR="0026395F" w:rsidRDefault="0026395F" w:rsidP="00BF3397">
      <w:pPr>
        <w:autoSpaceDE w:val="0"/>
        <w:spacing w:before="240" w:after="240"/>
        <w:jc w:val="center"/>
        <w:rPr>
          <w:b/>
          <w:bCs/>
        </w:rPr>
      </w:pPr>
    </w:p>
    <w:p w14:paraId="7DDBE978" w14:textId="77777777" w:rsidR="009E3BD5" w:rsidRDefault="009E3BD5">
      <w:pPr>
        <w:suppressAutoHyphens w:val="0"/>
        <w:spacing w:after="160" w:line="249" w:lineRule="auto"/>
        <w:rPr>
          <w:b/>
          <w:bCs/>
        </w:rPr>
      </w:pPr>
      <w:r>
        <w:rPr>
          <w:noProof/>
          <w:lang w:eastAsia="en-GB"/>
        </w:rPr>
        <w:drawing>
          <wp:inline distT="0" distB="0" distL="0" distR="0" wp14:anchorId="4C7AA00C" wp14:editId="175ABC3C">
            <wp:extent cx="4919602" cy="5063884"/>
            <wp:effectExtent l="0" t="0" r="0" b="3810"/>
            <wp:docPr id="2" name="Picture 2" descr="Image result for map of hyderabad and india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hyderabad and india 19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043" cy="5090071"/>
                    </a:xfrm>
                    <a:prstGeom prst="rect">
                      <a:avLst/>
                    </a:prstGeom>
                    <a:noFill/>
                    <a:ln>
                      <a:noFill/>
                    </a:ln>
                  </pic:spPr>
                </pic:pic>
              </a:graphicData>
            </a:graphic>
          </wp:inline>
        </w:drawing>
      </w:r>
    </w:p>
    <w:p w14:paraId="78988FC9" w14:textId="77777777" w:rsidR="009B03E2" w:rsidRDefault="009B03E2">
      <w:pPr>
        <w:suppressAutoHyphens w:val="0"/>
        <w:spacing w:after="160" w:line="249" w:lineRule="auto"/>
        <w:rPr>
          <w:b/>
          <w:bCs/>
        </w:rPr>
      </w:pPr>
      <w:r>
        <w:rPr>
          <w:b/>
          <w:bCs/>
        </w:rPr>
        <w:br w:type="page"/>
      </w:r>
    </w:p>
    <w:p w14:paraId="0FD10124" w14:textId="77777777" w:rsidR="004A7618" w:rsidRDefault="004A7618" w:rsidP="004A7618">
      <w:pPr>
        <w:autoSpaceDE w:val="0"/>
        <w:spacing w:before="240" w:after="240"/>
        <w:jc w:val="center"/>
        <w:rPr>
          <w:b/>
          <w:bCs/>
        </w:rPr>
      </w:pPr>
      <w:r>
        <w:rPr>
          <w:b/>
          <w:bCs/>
        </w:rPr>
        <w:lastRenderedPageBreak/>
        <w:t>ANNEX 3</w:t>
      </w:r>
    </w:p>
    <w:p w14:paraId="602583F0" w14:textId="77777777" w:rsidR="004A7618" w:rsidRDefault="004A7618" w:rsidP="004A7618">
      <w:pPr>
        <w:autoSpaceDE w:val="0"/>
        <w:spacing w:before="240" w:after="240"/>
        <w:jc w:val="center"/>
        <w:rPr>
          <w:b/>
          <w:bCs/>
        </w:rPr>
      </w:pPr>
      <w:r>
        <w:rPr>
          <w:b/>
          <w:bCs/>
        </w:rPr>
        <w:t xml:space="preserve">TRANSACTIONS ON THE HYDERABAD </w:t>
      </w:r>
      <w:r w:rsidR="00FA4AFA">
        <w:rPr>
          <w:b/>
          <w:bCs/>
        </w:rPr>
        <w:t>STATE BANK</w:t>
      </w:r>
      <w:r>
        <w:rPr>
          <w:b/>
          <w:bCs/>
        </w:rPr>
        <w:t xml:space="preserve"> ACCOUNT, THE </w:t>
      </w:r>
      <w:r w:rsidR="00F11165">
        <w:rPr>
          <w:b/>
          <w:bCs/>
        </w:rPr>
        <w:t>SECOND ACCOUNT AND THE RAHIMTOOLA ACCOUNT</w:t>
      </w:r>
    </w:p>
    <w:p w14:paraId="1A43816E" w14:textId="77777777" w:rsidR="009B03E2" w:rsidRDefault="009B03E2" w:rsidP="004A7618">
      <w:pPr>
        <w:autoSpaceDE w:val="0"/>
        <w:spacing w:before="240" w:after="240"/>
        <w:jc w:val="center"/>
      </w:pPr>
    </w:p>
    <w:tbl>
      <w:tblPr>
        <w:tblStyle w:val="TableGrid"/>
        <w:tblW w:w="10490" w:type="dxa"/>
        <w:tblInd w:w="-714" w:type="dxa"/>
        <w:tblLook w:val="04A0" w:firstRow="1" w:lastRow="0" w:firstColumn="1" w:lastColumn="0" w:noHBand="0" w:noVBand="1"/>
      </w:tblPr>
      <w:tblGrid>
        <w:gridCol w:w="1276"/>
        <w:gridCol w:w="4395"/>
        <w:gridCol w:w="1606"/>
        <w:gridCol w:w="1606"/>
        <w:gridCol w:w="1607"/>
      </w:tblGrid>
      <w:tr w:rsidR="006F1393" w14:paraId="1F21FD3D" w14:textId="77777777" w:rsidTr="00BD3D56">
        <w:tc>
          <w:tcPr>
            <w:tcW w:w="1276" w:type="dxa"/>
            <w:shd w:val="clear" w:color="auto" w:fill="D9D9D9" w:themeFill="background1" w:themeFillShade="D9"/>
          </w:tcPr>
          <w:p w14:paraId="2AC91A60" w14:textId="77777777" w:rsidR="00AB7F01" w:rsidRPr="00BD3D56" w:rsidRDefault="00AB7F01" w:rsidP="00612BBF">
            <w:pPr>
              <w:autoSpaceDE w:val="0"/>
              <w:spacing w:before="60" w:after="60"/>
              <w:rPr>
                <w:rFonts w:ascii="Arial" w:hAnsi="Arial" w:cs="Arial"/>
                <w:b/>
                <w:bCs/>
                <w:sz w:val="18"/>
                <w:szCs w:val="18"/>
              </w:rPr>
            </w:pPr>
            <w:r w:rsidRPr="00BD3D56">
              <w:rPr>
                <w:rFonts w:ascii="Arial" w:hAnsi="Arial" w:cs="Arial"/>
                <w:b/>
                <w:bCs/>
                <w:sz w:val="18"/>
                <w:szCs w:val="18"/>
              </w:rPr>
              <w:t>Date</w:t>
            </w:r>
          </w:p>
        </w:tc>
        <w:tc>
          <w:tcPr>
            <w:tcW w:w="4395" w:type="dxa"/>
            <w:shd w:val="clear" w:color="auto" w:fill="D9D9D9" w:themeFill="background1" w:themeFillShade="D9"/>
          </w:tcPr>
          <w:p w14:paraId="00059E4F" w14:textId="77777777" w:rsidR="00AB7F01" w:rsidRPr="00BD3D56" w:rsidRDefault="00AB7F01" w:rsidP="00612BBF">
            <w:pPr>
              <w:autoSpaceDE w:val="0"/>
              <w:spacing w:before="60" w:after="60"/>
              <w:rPr>
                <w:rFonts w:ascii="Arial" w:hAnsi="Arial" w:cs="Arial"/>
                <w:b/>
                <w:bCs/>
                <w:sz w:val="18"/>
                <w:szCs w:val="18"/>
              </w:rPr>
            </w:pPr>
            <w:r w:rsidRPr="00BD3D56">
              <w:rPr>
                <w:rFonts w:ascii="Arial" w:hAnsi="Arial" w:cs="Arial"/>
                <w:b/>
                <w:bCs/>
                <w:sz w:val="18"/>
                <w:szCs w:val="18"/>
              </w:rPr>
              <w:t>Transaction</w:t>
            </w:r>
            <w:r w:rsidR="006F4961" w:rsidRPr="00A06C3B">
              <w:rPr>
                <w:rStyle w:val="FootnoteReference"/>
                <w:rFonts w:ascii="Arial" w:hAnsi="Arial" w:cs="Arial"/>
                <w:sz w:val="18"/>
                <w:szCs w:val="18"/>
              </w:rPr>
              <w:footnoteReference w:id="288"/>
            </w:r>
          </w:p>
        </w:tc>
        <w:tc>
          <w:tcPr>
            <w:tcW w:w="1606" w:type="dxa"/>
            <w:shd w:val="clear" w:color="auto" w:fill="D9D9D9" w:themeFill="background1" w:themeFillShade="D9"/>
          </w:tcPr>
          <w:p w14:paraId="7296F079" w14:textId="77777777" w:rsidR="00AB7F01" w:rsidRPr="00BD3D56" w:rsidRDefault="00AB3D0D" w:rsidP="00612BBF">
            <w:pPr>
              <w:autoSpaceDE w:val="0"/>
              <w:spacing w:before="60" w:after="60"/>
              <w:rPr>
                <w:rFonts w:ascii="Arial" w:hAnsi="Arial" w:cs="Arial"/>
                <w:b/>
                <w:bCs/>
                <w:sz w:val="18"/>
                <w:szCs w:val="18"/>
              </w:rPr>
            </w:pPr>
            <w:r w:rsidRPr="00BD3D56">
              <w:rPr>
                <w:rFonts w:ascii="Arial" w:hAnsi="Arial" w:cs="Arial"/>
                <w:b/>
                <w:bCs/>
                <w:sz w:val="18"/>
                <w:szCs w:val="18"/>
              </w:rPr>
              <w:t xml:space="preserve">Balance on Hyderabad </w:t>
            </w:r>
            <w:r w:rsidR="00EE2146">
              <w:rPr>
                <w:rFonts w:ascii="Arial" w:hAnsi="Arial" w:cs="Arial"/>
                <w:b/>
                <w:bCs/>
                <w:sz w:val="18"/>
                <w:szCs w:val="18"/>
              </w:rPr>
              <w:t>State Bank</w:t>
            </w:r>
            <w:r w:rsidRPr="00BD3D56">
              <w:rPr>
                <w:rFonts w:ascii="Arial" w:hAnsi="Arial" w:cs="Arial"/>
                <w:b/>
                <w:bCs/>
                <w:sz w:val="18"/>
                <w:szCs w:val="18"/>
              </w:rPr>
              <w:t xml:space="preserve"> Account</w:t>
            </w:r>
          </w:p>
        </w:tc>
        <w:tc>
          <w:tcPr>
            <w:tcW w:w="1606" w:type="dxa"/>
            <w:shd w:val="clear" w:color="auto" w:fill="D9D9D9" w:themeFill="background1" w:themeFillShade="D9"/>
          </w:tcPr>
          <w:p w14:paraId="23943F81" w14:textId="77777777" w:rsidR="00AB7F01" w:rsidRPr="00BD3D56" w:rsidRDefault="00AB3D0D" w:rsidP="00612BBF">
            <w:pPr>
              <w:autoSpaceDE w:val="0"/>
              <w:spacing w:before="60" w:after="60"/>
              <w:rPr>
                <w:rFonts w:ascii="Arial" w:hAnsi="Arial" w:cs="Arial"/>
                <w:b/>
                <w:bCs/>
                <w:sz w:val="18"/>
                <w:szCs w:val="18"/>
              </w:rPr>
            </w:pPr>
            <w:r w:rsidRPr="00BD3D56">
              <w:rPr>
                <w:rFonts w:ascii="Arial" w:hAnsi="Arial" w:cs="Arial"/>
                <w:b/>
                <w:bCs/>
                <w:sz w:val="18"/>
                <w:szCs w:val="18"/>
              </w:rPr>
              <w:t>Balance on Second Account</w:t>
            </w:r>
          </w:p>
        </w:tc>
        <w:tc>
          <w:tcPr>
            <w:tcW w:w="1607" w:type="dxa"/>
            <w:shd w:val="clear" w:color="auto" w:fill="D9D9D9" w:themeFill="background1" w:themeFillShade="D9"/>
          </w:tcPr>
          <w:p w14:paraId="09550EB5" w14:textId="77777777" w:rsidR="00AB7F01" w:rsidRPr="00BD3D56" w:rsidRDefault="00AB3D0D" w:rsidP="00612BBF">
            <w:pPr>
              <w:autoSpaceDE w:val="0"/>
              <w:spacing w:before="60" w:after="60"/>
              <w:rPr>
                <w:rFonts w:ascii="Arial" w:hAnsi="Arial" w:cs="Arial"/>
                <w:b/>
                <w:bCs/>
                <w:sz w:val="18"/>
                <w:szCs w:val="18"/>
              </w:rPr>
            </w:pPr>
            <w:r w:rsidRPr="00BD3D56">
              <w:rPr>
                <w:rFonts w:ascii="Arial" w:hAnsi="Arial" w:cs="Arial"/>
                <w:b/>
                <w:bCs/>
                <w:sz w:val="18"/>
                <w:szCs w:val="18"/>
              </w:rPr>
              <w:t xml:space="preserve">Balance on </w:t>
            </w:r>
            <w:r w:rsidR="00BD3D56" w:rsidRPr="00BD3D56">
              <w:rPr>
                <w:rFonts w:ascii="Arial" w:hAnsi="Arial" w:cs="Arial"/>
                <w:b/>
                <w:bCs/>
                <w:sz w:val="18"/>
                <w:szCs w:val="18"/>
              </w:rPr>
              <w:t>the Rahimtoola Account</w:t>
            </w:r>
          </w:p>
        </w:tc>
      </w:tr>
      <w:tr w:rsidR="007A30D9" w14:paraId="7E1AAC00" w14:textId="77777777" w:rsidTr="007A30D9">
        <w:tc>
          <w:tcPr>
            <w:tcW w:w="10490" w:type="dxa"/>
            <w:gridSpan w:val="5"/>
            <w:shd w:val="clear" w:color="auto" w:fill="D9D9D9" w:themeFill="background1" w:themeFillShade="D9"/>
          </w:tcPr>
          <w:p w14:paraId="75FCCB93" w14:textId="77777777" w:rsidR="007A30D9" w:rsidRDefault="007A30D9" w:rsidP="00612BBF">
            <w:pPr>
              <w:autoSpaceDE w:val="0"/>
              <w:spacing w:before="60" w:after="60"/>
              <w:rPr>
                <w:rFonts w:ascii="Arial" w:hAnsi="Arial" w:cs="Arial"/>
                <w:sz w:val="18"/>
                <w:szCs w:val="18"/>
              </w:rPr>
            </w:pPr>
            <w:r>
              <w:rPr>
                <w:rFonts w:ascii="Arial" w:hAnsi="Arial" w:cs="Arial"/>
                <w:b/>
                <w:bCs/>
                <w:sz w:val="18"/>
                <w:szCs w:val="18"/>
              </w:rPr>
              <w:t xml:space="preserve">ESTABLISHMENT OF THE HYDERABAD </w:t>
            </w:r>
            <w:r w:rsidR="00EE2146">
              <w:rPr>
                <w:rFonts w:ascii="Arial" w:hAnsi="Arial" w:cs="Arial"/>
                <w:b/>
                <w:bCs/>
                <w:sz w:val="18"/>
                <w:szCs w:val="18"/>
              </w:rPr>
              <w:t>STATE BANK</w:t>
            </w:r>
            <w:r>
              <w:rPr>
                <w:rFonts w:ascii="Arial" w:hAnsi="Arial" w:cs="Arial"/>
                <w:b/>
                <w:bCs/>
                <w:sz w:val="18"/>
                <w:szCs w:val="18"/>
              </w:rPr>
              <w:t xml:space="preserve"> ACCOUNT</w:t>
            </w:r>
          </w:p>
        </w:tc>
      </w:tr>
      <w:tr w:rsidR="00AB7F01" w14:paraId="4795C453" w14:textId="77777777" w:rsidTr="008668AB">
        <w:tc>
          <w:tcPr>
            <w:tcW w:w="1276" w:type="dxa"/>
          </w:tcPr>
          <w:p w14:paraId="604587E4" w14:textId="77777777" w:rsidR="00AB7F01" w:rsidRPr="00612BBF" w:rsidRDefault="00CE3EA5" w:rsidP="00612BBF">
            <w:pPr>
              <w:autoSpaceDE w:val="0"/>
              <w:spacing w:before="60" w:after="60"/>
              <w:rPr>
                <w:rFonts w:ascii="Arial" w:hAnsi="Arial" w:cs="Arial"/>
                <w:sz w:val="18"/>
                <w:szCs w:val="18"/>
              </w:rPr>
            </w:pPr>
            <w:r>
              <w:rPr>
                <w:rFonts w:ascii="Arial" w:hAnsi="Arial" w:cs="Arial"/>
                <w:sz w:val="18"/>
                <w:szCs w:val="18"/>
              </w:rPr>
              <w:t>30</w:t>
            </w:r>
            <w:r w:rsidR="006E74A9">
              <w:rPr>
                <w:rFonts w:ascii="Arial" w:hAnsi="Arial" w:cs="Arial"/>
                <w:sz w:val="18"/>
                <w:szCs w:val="18"/>
              </w:rPr>
              <w:t xml:space="preserve"> Oct 1947</w:t>
            </w:r>
          </w:p>
        </w:tc>
        <w:tc>
          <w:tcPr>
            <w:tcW w:w="4395" w:type="dxa"/>
          </w:tcPr>
          <w:p w14:paraId="667B1476" w14:textId="77777777" w:rsidR="00AB7F01" w:rsidRDefault="00313614"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1</w:t>
            </w:r>
          </w:p>
          <w:p w14:paraId="1ACCDC85" w14:textId="77777777" w:rsidR="00313614" w:rsidRPr="00313614" w:rsidRDefault="00313614" w:rsidP="00612BBF">
            <w:pPr>
              <w:autoSpaceDE w:val="0"/>
              <w:spacing w:before="60" w:after="60"/>
              <w:rPr>
                <w:rFonts w:ascii="Arial" w:hAnsi="Arial" w:cs="Arial"/>
                <w:sz w:val="18"/>
                <w:szCs w:val="18"/>
              </w:rPr>
            </w:pPr>
            <w:r>
              <w:rPr>
                <w:rFonts w:ascii="Arial" w:hAnsi="Arial" w:cs="Arial"/>
                <w:sz w:val="18"/>
                <w:szCs w:val="18"/>
              </w:rPr>
              <w:t xml:space="preserve">Transfer of £2m from </w:t>
            </w:r>
            <w:r w:rsidR="009A128C">
              <w:rPr>
                <w:rFonts w:ascii="Arial" w:hAnsi="Arial" w:cs="Arial"/>
                <w:sz w:val="18"/>
                <w:szCs w:val="18"/>
              </w:rPr>
              <w:t>the Imperial Bank of India to the Hyderabad Government Account</w:t>
            </w:r>
          </w:p>
        </w:tc>
        <w:tc>
          <w:tcPr>
            <w:tcW w:w="1606" w:type="dxa"/>
          </w:tcPr>
          <w:p w14:paraId="40349223" w14:textId="77777777" w:rsidR="00AB7F01" w:rsidRPr="00612BBF" w:rsidRDefault="009A128C" w:rsidP="00612BBF">
            <w:pPr>
              <w:autoSpaceDE w:val="0"/>
              <w:spacing w:before="60" w:after="60"/>
              <w:rPr>
                <w:rFonts w:ascii="Arial" w:hAnsi="Arial" w:cs="Arial"/>
                <w:sz w:val="18"/>
                <w:szCs w:val="18"/>
              </w:rPr>
            </w:pPr>
            <w:r>
              <w:rPr>
                <w:rFonts w:ascii="Arial" w:hAnsi="Arial" w:cs="Arial"/>
                <w:sz w:val="18"/>
                <w:szCs w:val="18"/>
              </w:rPr>
              <w:t>£2,000,000</w:t>
            </w:r>
          </w:p>
        </w:tc>
        <w:tc>
          <w:tcPr>
            <w:tcW w:w="1606" w:type="dxa"/>
            <w:shd w:val="clear" w:color="auto" w:fill="000000" w:themeFill="text1"/>
          </w:tcPr>
          <w:p w14:paraId="3BD72EEB" w14:textId="77777777" w:rsidR="00AB7F01" w:rsidRPr="00612BBF" w:rsidRDefault="00AB7F01" w:rsidP="00612BBF">
            <w:pPr>
              <w:autoSpaceDE w:val="0"/>
              <w:spacing w:before="60" w:after="60"/>
              <w:rPr>
                <w:rFonts w:ascii="Arial" w:hAnsi="Arial" w:cs="Arial"/>
                <w:sz w:val="18"/>
                <w:szCs w:val="18"/>
              </w:rPr>
            </w:pPr>
          </w:p>
        </w:tc>
        <w:tc>
          <w:tcPr>
            <w:tcW w:w="1607" w:type="dxa"/>
            <w:shd w:val="clear" w:color="auto" w:fill="000000" w:themeFill="text1"/>
          </w:tcPr>
          <w:p w14:paraId="492FBDEB" w14:textId="77777777" w:rsidR="00AB7F01" w:rsidRPr="00612BBF" w:rsidRDefault="00AB7F01" w:rsidP="00612BBF">
            <w:pPr>
              <w:autoSpaceDE w:val="0"/>
              <w:spacing w:before="60" w:after="60"/>
              <w:rPr>
                <w:rFonts w:ascii="Arial" w:hAnsi="Arial" w:cs="Arial"/>
                <w:sz w:val="18"/>
                <w:szCs w:val="18"/>
              </w:rPr>
            </w:pPr>
          </w:p>
        </w:tc>
      </w:tr>
      <w:tr w:rsidR="007A30D9" w14:paraId="38497683" w14:textId="77777777" w:rsidTr="007A30D9">
        <w:tc>
          <w:tcPr>
            <w:tcW w:w="10490" w:type="dxa"/>
            <w:gridSpan w:val="5"/>
            <w:shd w:val="clear" w:color="auto" w:fill="D9D9D9" w:themeFill="background1" w:themeFillShade="D9"/>
          </w:tcPr>
          <w:p w14:paraId="579989D4" w14:textId="77777777" w:rsidR="007A30D9" w:rsidRDefault="007A30D9" w:rsidP="00612BBF">
            <w:pPr>
              <w:autoSpaceDE w:val="0"/>
              <w:spacing w:before="60" w:after="60"/>
              <w:rPr>
                <w:rFonts w:ascii="Arial" w:hAnsi="Arial" w:cs="Arial"/>
                <w:sz w:val="18"/>
                <w:szCs w:val="18"/>
              </w:rPr>
            </w:pPr>
            <w:r>
              <w:rPr>
                <w:rFonts w:ascii="Arial" w:hAnsi="Arial" w:cs="Arial"/>
                <w:b/>
                <w:bCs/>
                <w:sz w:val="18"/>
                <w:szCs w:val="18"/>
              </w:rPr>
              <w:t>ESTABLISHMENT OF THE SECOND ACCOUNT</w:t>
            </w:r>
          </w:p>
        </w:tc>
      </w:tr>
      <w:tr w:rsidR="00AB7F01" w14:paraId="2DC9B3D5" w14:textId="77777777" w:rsidTr="008668AB">
        <w:tc>
          <w:tcPr>
            <w:tcW w:w="1276" w:type="dxa"/>
          </w:tcPr>
          <w:p w14:paraId="75545A06" w14:textId="77777777" w:rsidR="00AB7F01" w:rsidRPr="00612BBF" w:rsidRDefault="00B40EB9" w:rsidP="00612BBF">
            <w:pPr>
              <w:autoSpaceDE w:val="0"/>
              <w:spacing w:before="60" w:after="60"/>
              <w:rPr>
                <w:rFonts w:ascii="Arial" w:hAnsi="Arial" w:cs="Arial"/>
                <w:sz w:val="18"/>
                <w:szCs w:val="18"/>
              </w:rPr>
            </w:pPr>
            <w:r>
              <w:rPr>
                <w:rFonts w:ascii="Arial" w:hAnsi="Arial" w:cs="Arial"/>
                <w:sz w:val="18"/>
                <w:szCs w:val="18"/>
              </w:rPr>
              <w:t>7 Apr 1948</w:t>
            </w:r>
          </w:p>
        </w:tc>
        <w:tc>
          <w:tcPr>
            <w:tcW w:w="4395" w:type="dxa"/>
          </w:tcPr>
          <w:p w14:paraId="400EA199" w14:textId="77777777" w:rsidR="00AB7F01" w:rsidRDefault="00B40EB9"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2</w:t>
            </w:r>
          </w:p>
          <w:p w14:paraId="0C5A4985" w14:textId="77777777" w:rsidR="0050013E" w:rsidRPr="0050013E" w:rsidRDefault="0050013E" w:rsidP="00612BBF">
            <w:pPr>
              <w:autoSpaceDE w:val="0"/>
              <w:spacing w:before="60" w:after="60"/>
              <w:rPr>
                <w:rFonts w:ascii="Arial" w:hAnsi="Arial" w:cs="Arial"/>
                <w:sz w:val="18"/>
                <w:szCs w:val="18"/>
              </w:rPr>
            </w:pPr>
            <w:r>
              <w:rPr>
                <w:rFonts w:ascii="Arial" w:hAnsi="Arial" w:cs="Arial"/>
                <w:sz w:val="18"/>
                <w:szCs w:val="18"/>
              </w:rPr>
              <w:t>Transfer of £1m from the Hyderabad Government Account to the Second Account</w:t>
            </w:r>
          </w:p>
        </w:tc>
        <w:tc>
          <w:tcPr>
            <w:tcW w:w="1606" w:type="dxa"/>
          </w:tcPr>
          <w:p w14:paraId="7EC32C1C" w14:textId="77777777" w:rsidR="00AB7F01" w:rsidRPr="00612BBF" w:rsidRDefault="0050013E" w:rsidP="00612BBF">
            <w:pPr>
              <w:autoSpaceDE w:val="0"/>
              <w:spacing w:before="60" w:after="60"/>
              <w:rPr>
                <w:rFonts w:ascii="Arial" w:hAnsi="Arial" w:cs="Arial"/>
                <w:sz w:val="18"/>
                <w:szCs w:val="18"/>
              </w:rPr>
            </w:pPr>
            <w:r>
              <w:rPr>
                <w:rFonts w:ascii="Arial" w:hAnsi="Arial" w:cs="Arial"/>
                <w:sz w:val="18"/>
                <w:szCs w:val="18"/>
              </w:rPr>
              <w:t>£1,000,000</w:t>
            </w:r>
          </w:p>
        </w:tc>
        <w:tc>
          <w:tcPr>
            <w:tcW w:w="1606" w:type="dxa"/>
          </w:tcPr>
          <w:p w14:paraId="2080223D" w14:textId="77777777" w:rsidR="00AB7F01" w:rsidRPr="00612BBF" w:rsidRDefault="0050013E" w:rsidP="00612BBF">
            <w:pPr>
              <w:autoSpaceDE w:val="0"/>
              <w:spacing w:before="60" w:after="60"/>
              <w:rPr>
                <w:rFonts w:ascii="Arial" w:hAnsi="Arial" w:cs="Arial"/>
                <w:sz w:val="18"/>
                <w:szCs w:val="18"/>
              </w:rPr>
            </w:pPr>
            <w:r>
              <w:rPr>
                <w:rFonts w:ascii="Arial" w:hAnsi="Arial" w:cs="Arial"/>
                <w:sz w:val="18"/>
                <w:szCs w:val="18"/>
              </w:rPr>
              <w:t>£1,000,000</w:t>
            </w:r>
          </w:p>
        </w:tc>
        <w:tc>
          <w:tcPr>
            <w:tcW w:w="1607" w:type="dxa"/>
            <w:shd w:val="clear" w:color="auto" w:fill="000000" w:themeFill="text1"/>
          </w:tcPr>
          <w:p w14:paraId="6EAE3F92" w14:textId="77777777" w:rsidR="00AB7F01" w:rsidRPr="00612BBF" w:rsidRDefault="00AB7F01" w:rsidP="00612BBF">
            <w:pPr>
              <w:autoSpaceDE w:val="0"/>
              <w:spacing w:before="60" w:after="60"/>
              <w:rPr>
                <w:rFonts w:ascii="Arial" w:hAnsi="Arial" w:cs="Arial"/>
                <w:sz w:val="18"/>
                <w:szCs w:val="18"/>
              </w:rPr>
            </w:pPr>
          </w:p>
        </w:tc>
      </w:tr>
      <w:tr w:rsidR="00AB7F01" w14:paraId="35A65A34" w14:textId="77777777" w:rsidTr="008668AB">
        <w:tc>
          <w:tcPr>
            <w:tcW w:w="1276" w:type="dxa"/>
          </w:tcPr>
          <w:p w14:paraId="2E04CC85" w14:textId="77777777" w:rsidR="00AB7F01" w:rsidRPr="00612BBF" w:rsidRDefault="003B151D" w:rsidP="00612BBF">
            <w:pPr>
              <w:autoSpaceDE w:val="0"/>
              <w:spacing w:before="60" w:after="60"/>
              <w:rPr>
                <w:rFonts w:ascii="Arial" w:hAnsi="Arial" w:cs="Arial"/>
                <w:sz w:val="18"/>
                <w:szCs w:val="18"/>
              </w:rPr>
            </w:pPr>
            <w:r>
              <w:rPr>
                <w:rFonts w:ascii="Arial" w:hAnsi="Arial" w:cs="Arial"/>
                <w:sz w:val="18"/>
                <w:szCs w:val="18"/>
              </w:rPr>
              <w:t xml:space="preserve">16 Apr 1948 </w:t>
            </w:r>
          </w:p>
        </w:tc>
        <w:tc>
          <w:tcPr>
            <w:tcW w:w="4395" w:type="dxa"/>
          </w:tcPr>
          <w:p w14:paraId="0926D181" w14:textId="77777777" w:rsidR="00AB7F01" w:rsidRDefault="003B151D"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3</w:t>
            </w:r>
          </w:p>
          <w:p w14:paraId="313FE468" w14:textId="77777777" w:rsidR="003B151D" w:rsidRPr="00090E90" w:rsidRDefault="0040271E" w:rsidP="00612BBF">
            <w:pPr>
              <w:autoSpaceDE w:val="0"/>
              <w:spacing w:before="60" w:after="60"/>
              <w:rPr>
                <w:rFonts w:ascii="Arial" w:hAnsi="Arial" w:cs="Arial"/>
                <w:b/>
                <w:bCs/>
                <w:sz w:val="18"/>
                <w:szCs w:val="18"/>
              </w:rPr>
            </w:pPr>
            <w:r>
              <w:rPr>
                <w:rFonts w:ascii="Arial" w:hAnsi="Arial" w:cs="Arial"/>
                <w:sz w:val="18"/>
                <w:szCs w:val="18"/>
              </w:rPr>
              <w:t xml:space="preserve">Payment to Shoaib </w:t>
            </w:r>
            <w:r w:rsidR="006911AF">
              <w:rPr>
                <w:rFonts w:ascii="Arial" w:hAnsi="Arial" w:cs="Arial"/>
                <w:sz w:val="18"/>
                <w:szCs w:val="18"/>
              </w:rPr>
              <w:t>in the amount of £250,000 out of the Second Account</w:t>
            </w:r>
            <w:r w:rsidR="000D0176">
              <w:rPr>
                <w:rStyle w:val="FootnoteReference"/>
                <w:rFonts w:ascii="Arial" w:hAnsi="Arial" w:cs="Arial"/>
                <w:sz w:val="18"/>
                <w:szCs w:val="18"/>
              </w:rPr>
              <w:footnoteReference w:id="289"/>
            </w:r>
          </w:p>
        </w:tc>
        <w:tc>
          <w:tcPr>
            <w:tcW w:w="1606" w:type="dxa"/>
          </w:tcPr>
          <w:p w14:paraId="7B2A3980" w14:textId="77777777" w:rsidR="00AB7F01" w:rsidRPr="00612BBF" w:rsidRDefault="006911AF" w:rsidP="00612BBF">
            <w:pPr>
              <w:autoSpaceDE w:val="0"/>
              <w:spacing w:before="60" w:after="60"/>
              <w:rPr>
                <w:rFonts w:ascii="Arial" w:hAnsi="Arial" w:cs="Arial"/>
                <w:sz w:val="18"/>
                <w:szCs w:val="18"/>
              </w:rPr>
            </w:pPr>
            <w:r>
              <w:rPr>
                <w:rFonts w:ascii="Arial" w:hAnsi="Arial" w:cs="Arial"/>
                <w:sz w:val="18"/>
                <w:szCs w:val="18"/>
              </w:rPr>
              <w:t>£1,000,000</w:t>
            </w:r>
          </w:p>
        </w:tc>
        <w:tc>
          <w:tcPr>
            <w:tcW w:w="1606" w:type="dxa"/>
          </w:tcPr>
          <w:p w14:paraId="1DECEDE5" w14:textId="77777777" w:rsidR="00AB7F01" w:rsidRPr="00612BBF" w:rsidRDefault="006911AF" w:rsidP="00612BBF">
            <w:pPr>
              <w:autoSpaceDE w:val="0"/>
              <w:spacing w:before="60" w:after="60"/>
              <w:rPr>
                <w:rFonts w:ascii="Arial" w:hAnsi="Arial" w:cs="Arial"/>
                <w:sz w:val="18"/>
                <w:szCs w:val="18"/>
              </w:rPr>
            </w:pPr>
            <w:r>
              <w:rPr>
                <w:rFonts w:ascii="Arial" w:hAnsi="Arial" w:cs="Arial"/>
                <w:sz w:val="18"/>
                <w:szCs w:val="18"/>
              </w:rPr>
              <w:t>£</w:t>
            </w:r>
            <w:r w:rsidR="00090E90">
              <w:rPr>
                <w:rFonts w:ascii="Arial" w:hAnsi="Arial" w:cs="Arial"/>
                <w:sz w:val="18"/>
                <w:szCs w:val="18"/>
              </w:rPr>
              <w:t>750,000</w:t>
            </w:r>
          </w:p>
        </w:tc>
        <w:tc>
          <w:tcPr>
            <w:tcW w:w="1607" w:type="dxa"/>
            <w:shd w:val="clear" w:color="auto" w:fill="000000" w:themeFill="text1"/>
          </w:tcPr>
          <w:p w14:paraId="256F308D" w14:textId="77777777" w:rsidR="00AB7F01" w:rsidRPr="00612BBF" w:rsidRDefault="00AB7F01" w:rsidP="00612BBF">
            <w:pPr>
              <w:autoSpaceDE w:val="0"/>
              <w:spacing w:before="60" w:after="60"/>
              <w:rPr>
                <w:rFonts w:ascii="Arial" w:hAnsi="Arial" w:cs="Arial"/>
                <w:sz w:val="18"/>
                <w:szCs w:val="18"/>
              </w:rPr>
            </w:pPr>
          </w:p>
        </w:tc>
      </w:tr>
      <w:tr w:rsidR="00AB7F01" w14:paraId="17699DC0" w14:textId="77777777" w:rsidTr="008668AB">
        <w:tc>
          <w:tcPr>
            <w:tcW w:w="1276" w:type="dxa"/>
          </w:tcPr>
          <w:p w14:paraId="49DF5395" w14:textId="77777777" w:rsidR="00AB7F01" w:rsidRPr="00612BBF" w:rsidRDefault="00E42810" w:rsidP="00612BBF">
            <w:pPr>
              <w:autoSpaceDE w:val="0"/>
              <w:spacing w:before="60" w:after="60"/>
              <w:rPr>
                <w:rFonts w:ascii="Arial" w:hAnsi="Arial" w:cs="Arial"/>
                <w:sz w:val="18"/>
                <w:szCs w:val="18"/>
              </w:rPr>
            </w:pPr>
            <w:r>
              <w:rPr>
                <w:rFonts w:ascii="Arial" w:hAnsi="Arial" w:cs="Arial"/>
                <w:sz w:val="18"/>
                <w:szCs w:val="18"/>
              </w:rPr>
              <w:t>30 Apr 1948</w:t>
            </w:r>
          </w:p>
        </w:tc>
        <w:tc>
          <w:tcPr>
            <w:tcW w:w="4395" w:type="dxa"/>
          </w:tcPr>
          <w:p w14:paraId="17965B0A" w14:textId="77777777" w:rsidR="00AB7F01" w:rsidRDefault="00E42810"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4</w:t>
            </w:r>
          </w:p>
          <w:p w14:paraId="7E2F5549" w14:textId="77777777" w:rsidR="00E42810" w:rsidRPr="00C65762" w:rsidRDefault="00E42810" w:rsidP="00612BBF">
            <w:pPr>
              <w:autoSpaceDE w:val="0"/>
              <w:spacing w:before="60" w:after="60"/>
              <w:rPr>
                <w:rFonts w:ascii="Arial" w:hAnsi="Arial" w:cs="Arial"/>
                <w:b/>
                <w:bCs/>
                <w:sz w:val="18"/>
                <w:szCs w:val="18"/>
              </w:rPr>
            </w:pPr>
            <w:r>
              <w:rPr>
                <w:rFonts w:ascii="Arial" w:hAnsi="Arial" w:cs="Arial"/>
                <w:sz w:val="18"/>
                <w:szCs w:val="18"/>
              </w:rPr>
              <w:t>Payment to Shoaib in the amount of £500,000 out of the Second Account</w:t>
            </w:r>
          </w:p>
        </w:tc>
        <w:tc>
          <w:tcPr>
            <w:tcW w:w="1606" w:type="dxa"/>
          </w:tcPr>
          <w:p w14:paraId="78E7DCBC" w14:textId="77777777" w:rsidR="00AB7F01" w:rsidRPr="00612BBF" w:rsidRDefault="00E42810" w:rsidP="00612BBF">
            <w:pPr>
              <w:autoSpaceDE w:val="0"/>
              <w:spacing w:before="60" w:after="60"/>
              <w:rPr>
                <w:rFonts w:ascii="Arial" w:hAnsi="Arial" w:cs="Arial"/>
                <w:sz w:val="18"/>
                <w:szCs w:val="18"/>
              </w:rPr>
            </w:pPr>
            <w:r>
              <w:rPr>
                <w:rFonts w:ascii="Arial" w:hAnsi="Arial" w:cs="Arial"/>
                <w:sz w:val="18"/>
                <w:szCs w:val="18"/>
              </w:rPr>
              <w:t>£1,000,000</w:t>
            </w:r>
          </w:p>
        </w:tc>
        <w:tc>
          <w:tcPr>
            <w:tcW w:w="1606" w:type="dxa"/>
          </w:tcPr>
          <w:p w14:paraId="720C0504" w14:textId="77777777" w:rsidR="00AB7F01" w:rsidRPr="00612BBF" w:rsidRDefault="00A26862" w:rsidP="00612BBF">
            <w:pPr>
              <w:autoSpaceDE w:val="0"/>
              <w:spacing w:before="60" w:after="60"/>
              <w:rPr>
                <w:rFonts w:ascii="Arial" w:hAnsi="Arial" w:cs="Arial"/>
                <w:sz w:val="18"/>
                <w:szCs w:val="18"/>
              </w:rPr>
            </w:pPr>
            <w:r>
              <w:rPr>
                <w:rFonts w:ascii="Arial" w:hAnsi="Arial" w:cs="Arial"/>
                <w:sz w:val="18"/>
                <w:szCs w:val="18"/>
              </w:rPr>
              <w:t>£250,000</w:t>
            </w:r>
          </w:p>
        </w:tc>
        <w:tc>
          <w:tcPr>
            <w:tcW w:w="1607" w:type="dxa"/>
            <w:shd w:val="clear" w:color="auto" w:fill="000000" w:themeFill="text1"/>
          </w:tcPr>
          <w:p w14:paraId="522959DF" w14:textId="77777777" w:rsidR="00AB7F01" w:rsidRPr="00612BBF" w:rsidRDefault="00AB7F01" w:rsidP="00612BBF">
            <w:pPr>
              <w:autoSpaceDE w:val="0"/>
              <w:spacing w:before="60" w:after="60"/>
              <w:rPr>
                <w:rFonts w:ascii="Arial" w:hAnsi="Arial" w:cs="Arial"/>
                <w:sz w:val="18"/>
                <w:szCs w:val="18"/>
              </w:rPr>
            </w:pPr>
          </w:p>
        </w:tc>
      </w:tr>
      <w:tr w:rsidR="00AB7F01" w14:paraId="60899C2E" w14:textId="77777777" w:rsidTr="008668AB">
        <w:tc>
          <w:tcPr>
            <w:tcW w:w="1276" w:type="dxa"/>
          </w:tcPr>
          <w:p w14:paraId="49D58B24" w14:textId="77777777" w:rsidR="00AB7F01" w:rsidRPr="00612BBF" w:rsidRDefault="003E2B25" w:rsidP="00612BBF">
            <w:pPr>
              <w:autoSpaceDE w:val="0"/>
              <w:spacing w:before="60" w:after="60"/>
              <w:rPr>
                <w:rFonts w:ascii="Arial" w:hAnsi="Arial" w:cs="Arial"/>
                <w:sz w:val="18"/>
                <w:szCs w:val="18"/>
              </w:rPr>
            </w:pPr>
            <w:r>
              <w:rPr>
                <w:rFonts w:ascii="Arial" w:hAnsi="Arial" w:cs="Arial"/>
                <w:sz w:val="18"/>
                <w:szCs w:val="18"/>
              </w:rPr>
              <w:t>29 May 1948</w:t>
            </w:r>
          </w:p>
        </w:tc>
        <w:tc>
          <w:tcPr>
            <w:tcW w:w="4395" w:type="dxa"/>
          </w:tcPr>
          <w:p w14:paraId="2047CD5B" w14:textId="77777777" w:rsidR="00AB7F01" w:rsidRDefault="003E2B25"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5</w:t>
            </w:r>
          </w:p>
          <w:p w14:paraId="7D9DD766" w14:textId="77777777" w:rsidR="003E2B25" w:rsidRPr="003E2B25" w:rsidRDefault="003E2B25" w:rsidP="00612BBF">
            <w:pPr>
              <w:autoSpaceDE w:val="0"/>
              <w:spacing w:before="60" w:after="60"/>
              <w:rPr>
                <w:rFonts w:ascii="Arial" w:hAnsi="Arial" w:cs="Arial"/>
                <w:sz w:val="18"/>
                <w:szCs w:val="18"/>
              </w:rPr>
            </w:pPr>
            <w:r>
              <w:rPr>
                <w:rFonts w:ascii="Arial" w:hAnsi="Arial" w:cs="Arial"/>
                <w:sz w:val="18"/>
                <w:szCs w:val="18"/>
              </w:rPr>
              <w:t>Transfer of £1,000,000 (plus accrued interest) from the Hyderabad Government Account to the Second Account</w:t>
            </w:r>
          </w:p>
        </w:tc>
        <w:tc>
          <w:tcPr>
            <w:tcW w:w="1606" w:type="dxa"/>
          </w:tcPr>
          <w:p w14:paraId="2B5D5EDD" w14:textId="77777777" w:rsidR="00AB7F01" w:rsidRPr="00612BBF" w:rsidRDefault="000B425A" w:rsidP="00612BBF">
            <w:pPr>
              <w:autoSpaceDE w:val="0"/>
              <w:spacing w:before="60" w:after="60"/>
              <w:rPr>
                <w:rFonts w:ascii="Arial" w:hAnsi="Arial" w:cs="Arial"/>
                <w:sz w:val="18"/>
                <w:szCs w:val="18"/>
              </w:rPr>
            </w:pPr>
            <w:r>
              <w:rPr>
                <w:rFonts w:ascii="Arial" w:hAnsi="Arial" w:cs="Arial"/>
                <w:sz w:val="18"/>
                <w:szCs w:val="18"/>
              </w:rPr>
              <w:t>Nil</w:t>
            </w:r>
          </w:p>
        </w:tc>
        <w:tc>
          <w:tcPr>
            <w:tcW w:w="1606" w:type="dxa"/>
          </w:tcPr>
          <w:p w14:paraId="380D1309" w14:textId="77777777" w:rsidR="00AB7F01" w:rsidRPr="00612BBF" w:rsidRDefault="000B425A" w:rsidP="00612BBF">
            <w:pPr>
              <w:autoSpaceDE w:val="0"/>
              <w:spacing w:before="60" w:after="60"/>
              <w:rPr>
                <w:rFonts w:ascii="Arial" w:hAnsi="Arial" w:cs="Arial"/>
                <w:sz w:val="18"/>
                <w:szCs w:val="18"/>
              </w:rPr>
            </w:pPr>
            <w:r>
              <w:rPr>
                <w:rFonts w:ascii="Arial" w:hAnsi="Arial" w:cs="Arial"/>
                <w:sz w:val="18"/>
                <w:szCs w:val="18"/>
              </w:rPr>
              <w:t>£1,250,000</w:t>
            </w:r>
          </w:p>
        </w:tc>
        <w:tc>
          <w:tcPr>
            <w:tcW w:w="1607" w:type="dxa"/>
            <w:shd w:val="clear" w:color="auto" w:fill="000000" w:themeFill="text1"/>
          </w:tcPr>
          <w:p w14:paraId="68A0166F" w14:textId="77777777" w:rsidR="00AB7F01" w:rsidRPr="00612BBF" w:rsidRDefault="00AB7F01" w:rsidP="00612BBF">
            <w:pPr>
              <w:autoSpaceDE w:val="0"/>
              <w:spacing w:before="60" w:after="60"/>
              <w:rPr>
                <w:rFonts w:ascii="Arial" w:hAnsi="Arial" w:cs="Arial"/>
                <w:sz w:val="18"/>
                <w:szCs w:val="18"/>
              </w:rPr>
            </w:pPr>
          </w:p>
        </w:tc>
      </w:tr>
      <w:tr w:rsidR="00AB7F01" w14:paraId="1EB6D3F1" w14:textId="77777777" w:rsidTr="008668AB">
        <w:tc>
          <w:tcPr>
            <w:tcW w:w="1276" w:type="dxa"/>
          </w:tcPr>
          <w:p w14:paraId="1A397438" w14:textId="77777777" w:rsidR="00AB7F01" w:rsidRPr="00612BBF" w:rsidRDefault="00C65762" w:rsidP="00612BBF">
            <w:pPr>
              <w:autoSpaceDE w:val="0"/>
              <w:spacing w:before="60" w:after="60"/>
              <w:rPr>
                <w:rFonts w:ascii="Arial" w:hAnsi="Arial" w:cs="Arial"/>
                <w:sz w:val="18"/>
                <w:szCs w:val="18"/>
              </w:rPr>
            </w:pPr>
            <w:r>
              <w:rPr>
                <w:rFonts w:ascii="Arial" w:hAnsi="Arial" w:cs="Arial"/>
                <w:sz w:val="18"/>
                <w:szCs w:val="18"/>
              </w:rPr>
              <w:t>18 Jun 1948</w:t>
            </w:r>
          </w:p>
        </w:tc>
        <w:tc>
          <w:tcPr>
            <w:tcW w:w="4395" w:type="dxa"/>
          </w:tcPr>
          <w:p w14:paraId="292C4437" w14:textId="77777777" w:rsidR="00AB7F01" w:rsidRDefault="00C65762" w:rsidP="00612BBF">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6</w:t>
            </w:r>
          </w:p>
          <w:p w14:paraId="2241AA7B" w14:textId="77777777" w:rsidR="00C65762" w:rsidRPr="00FF7779" w:rsidRDefault="00C65762" w:rsidP="00612BBF">
            <w:pPr>
              <w:autoSpaceDE w:val="0"/>
              <w:spacing w:before="60" w:after="60"/>
              <w:rPr>
                <w:rFonts w:ascii="Arial" w:hAnsi="Arial" w:cs="Arial"/>
                <w:b/>
                <w:bCs/>
                <w:sz w:val="18"/>
                <w:szCs w:val="18"/>
              </w:rPr>
            </w:pPr>
            <w:r>
              <w:rPr>
                <w:rFonts w:ascii="Arial" w:hAnsi="Arial" w:cs="Arial"/>
                <w:sz w:val="18"/>
                <w:szCs w:val="18"/>
              </w:rPr>
              <w:t>Payment to Shoaib in the amo</w:t>
            </w:r>
            <w:r w:rsidR="00C31E19">
              <w:rPr>
                <w:rFonts w:ascii="Arial" w:hAnsi="Arial" w:cs="Arial"/>
                <w:sz w:val="18"/>
                <w:szCs w:val="18"/>
              </w:rPr>
              <w:t>unt of £100,000</w:t>
            </w:r>
            <w:r w:rsidR="009E1A08">
              <w:rPr>
                <w:rFonts w:ascii="Arial" w:hAnsi="Arial" w:cs="Arial"/>
                <w:sz w:val="18"/>
                <w:szCs w:val="18"/>
              </w:rPr>
              <w:t xml:space="preserve"> out of the Second Account</w:t>
            </w:r>
          </w:p>
        </w:tc>
        <w:tc>
          <w:tcPr>
            <w:tcW w:w="1606" w:type="dxa"/>
          </w:tcPr>
          <w:p w14:paraId="4C35E283" w14:textId="77777777" w:rsidR="00AB7F01" w:rsidRPr="00612BBF" w:rsidRDefault="009E1A08" w:rsidP="00612BBF">
            <w:pPr>
              <w:autoSpaceDE w:val="0"/>
              <w:spacing w:before="60" w:after="60"/>
              <w:rPr>
                <w:rFonts w:ascii="Arial" w:hAnsi="Arial" w:cs="Arial"/>
                <w:sz w:val="18"/>
                <w:szCs w:val="18"/>
              </w:rPr>
            </w:pPr>
            <w:r>
              <w:rPr>
                <w:rFonts w:ascii="Arial" w:hAnsi="Arial" w:cs="Arial"/>
                <w:sz w:val="18"/>
                <w:szCs w:val="18"/>
              </w:rPr>
              <w:t>Nil</w:t>
            </w:r>
          </w:p>
        </w:tc>
        <w:tc>
          <w:tcPr>
            <w:tcW w:w="1606" w:type="dxa"/>
          </w:tcPr>
          <w:p w14:paraId="4A3F8D69" w14:textId="77777777" w:rsidR="00AB7F01" w:rsidRPr="00612BBF" w:rsidRDefault="009E1A08" w:rsidP="00612BBF">
            <w:pPr>
              <w:autoSpaceDE w:val="0"/>
              <w:spacing w:before="60" w:after="60"/>
              <w:rPr>
                <w:rFonts w:ascii="Arial" w:hAnsi="Arial" w:cs="Arial"/>
                <w:sz w:val="18"/>
                <w:szCs w:val="18"/>
              </w:rPr>
            </w:pPr>
            <w:r>
              <w:rPr>
                <w:rFonts w:ascii="Arial" w:hAnsi="Arial" w:cs="Arial"/>
                <w:sz w:val="18"/>
                <w:szCs w:val="18"/>
              </w:rPr>
              <w:t>£1,150,000</w:t>
            </w:r>
          </w:p>
        </w:tc>
        <w:tc>
          <w:tcPr>
            <w:tcW w:w="1607" w:type="dxa"/>
            <w:shd w:val="clear" w:color="auto" w:fill="000000" w:themeFill="text1"/>
          </w:tcPr>
          <w:p w14:paraId="0320DC7A" w14:textId="77777777" w:rsidR="00AB7F01" w:rsidRPr="00612BBF" w:rsidRDefault="00AB7F01" w:rsidP="00612BBF">
            <w:pPr>
              <w:autoSpaceDE w:val="0"/>
              <w:spacing w:before="60" w:after="60"/>
              <w:rPr>
                <w:rFonts w:ascii="Arial" w:hAnsi="Arial" w:cs="Arial"/>
                <w:sz w:val="18"/>
                <w:szCs w:val="18"/>
              </w:rPr>
            </w:pPr>
          </w:p>
        </w:tc>
      </w:tr>
      <w:tr w:rsidR="00AB7F01" w14:paraId="01E160E0" w14:textId="77777777" w:rsidTr="008668AB">
        <w:tc>
          <w:tcPr>
            <w:tcW w:w="1276" w:type="dxa"/>
          </w:tcPr>
          <w:p w14:paraId="66ED910E" w14:textId="77777777" w:rsidR="00AB7F01" w:rsidRPr="00612BBF" w:rsidRDefault="009E1A08" w:rsidP="00612BBF">
            <w:pPr>
              <w:autoSpaceDE w:val="0"/>
              <w:spacing w:before="60" w:after="60"/>
              <w:rPr>
                <w:rFonts w:ascii="Arial" w:hAnsi="Arial" w:cs="Arial"/>
                <w:sz w:val="18"/>
                <w:szCs w:val="18"/>
              </w:rPr>
            </w:pPr>
            <w:r>
              <w:rPr>
                <w:rFonts w:ascii="Arial" w:hAnsi="Arial" w:cs="Arial"/>
                <w:sz w:val="18"/>
                <w:szCs w:val="18"/>
              </w:rPr>
              <w:t>21 Jun 1948</w:t>
            </w:r>
          </w:p>
        </w:tc>
        <w:tc>
          <w:tcPr>
            <w:tcW w:w="4395" w:type="dxa"/>
          </w:tcPr>
          <w:p w14:paraId="42E2A206" w14:textId="77777777" w:rsidR="00AB7F01" w:rsidRPr="0069711B" w:rsidRDefault="009E1A08" w:rsidP="00612BBF">
            <w:pPr>
              <w:autoSpaceDE w:val="0"/>
              <w:spacing w:before="60" w:after="60"/>
              <w:rPr>
                <w:rFonts w:ascii="Arial" w:hAnsi="Arial" w:cs="Arial"/>
                <w:b/>
                <w:bCs/>
                <w:sz w:val="18"/>
                <w:szCs w:val="18"/>
              </w:rPr>
            </w:pPr>
            <w:r w:rsidRPr="0069711B">
              <w:rPr>
                <w:rFonts w:ascii="Arial" w:hAnsi="Arial" w:cs="Arial"/>
                <w:b/>
                <w:bCs/>
                <w:sz w:val="18"/>
                <w:szCs w:val="18"/>
              </w:rPr>
              <w:t xml:space="preserve">Transaction </w:t>
            </w:r>
            <w:r w:rsidR="006152B8">
              <w:rPr>
                <w:rFonts w:ascii="Arial" w:hAnsi="Arial" w:cs="Arial"/>
                <w:b/>
                <w:bCs/>
                <w:sz w:val="18"/>
                <w:szCs w:val="18"/>
              </w:rPr>
              <w:t>7</w:t>
            </w:r>
          </w:p>
          <w:p w14:paraId="0B6E9527" w14:textId="77777777" w:rsidR="009E1A08" w:rsidRPr="00612BBF" w:rsidRDefault="0069711B" w:rsidP="00612BBF">
            <w:pPr>
              <w:autoSpaceDE w:val="0"/>
              <w:spacing w:before="60" w:after="60"/>
              <w:rPr>
                <w:rFonts w:ascii="Arial" w:hAnsi="Arial" w:cs="Arial"/>
                <w:sz w:val="18"/>
                <w:szCs w:val="18"/>
              </w:rPr>
            </w:pPr>
            <w:r>
              <w:rPr>
                <w:rFonts w:ascii="Arial" w:hAnsi="Arial" w:cs="Arial"/>
                <w:sz w:val="18"/>
                <w:szCs w:val="18"/>
              </w:rPr>
              <w:t>Payment to Shoaib in the amount of £44,000 out of the Second Account</w:t>
            </w:r>
          </w:p>
        </w:tc>
        <w:tc>
          <w:tcPr>
            <w:tcW w:w="1606" w:type="dxa"/>
          </w:tcPr>
          <w:p w14:paraId="2C5CABE5" w14:textId="77777777" w:rsidR="00AB7F01" w:rsidRPr="00612BBF" w:rsidRDefault="00877239" w:rsidP="00612BBF">
            <w:pPr>
              <w:autoSpaceDE w:val="0"/>
              <w:spacing w:before="60" w:after="60"/>
              <w:rPr>
                <w:rFonts w:ascii="Arial" w:hAnsi="Arial" w:cs="Arial"/>
                <w:sz w:val="18"/>
                <w:szCs w:val="18"/>
              </w:rPr>
            </w:pPr>
            <w:r>
              <w:rPr>
                <w:rFonts w:ascii="Arial" w:hAnsi="Arial" w:cs="Arial"/>
                <w:sz w:val="18"/>
                <w:szCs w:val="18"/>
              </w:rPr>
              <w:t>Nil</w:t>
            </w:r>
          </w:p>
        </w:tc>
        <w:tc>
          <w:tcPr>
            <w:tcW w:w="1606" w:type="dxa"/>
          </w:tcPr>
          <w:p w14:paraId="7A3B48E7" w14:textId="77777777" w:rsidR="00AB7F01" w:rsidRPr="00612BBF" w:rsidRDefault="00877239" w:rsidP="00612BBF">
            <w:pPr>
              <w:autoSpaceDE w:val="0"/>
              <w:spacing w:before="60" w:after="60"/>
              <w:rPr>
                <w:rFonts w:ascii="Arial" w:hAnsi="Arial" w:cs="Arial"/>
                <w:sz w:val="18"/>
                <w:szCs w:val="18"/>
              </w:rPr>
            </w:pPr>
            <w:r>
              <w:rPr>
                <w:rFonts w:ascii="Arial" w:hAnsi="Arial" w:cs="Arial"/>
                <w:sz w:val="18"/>
                <w:szCs w:val="18"/>
              </w:rPr>
              <w:t>£</w:t>
            </w:r>
            <w:r w:rsidR="00AB06C8">
              <w:rPr>
                <w:rFonts w:ascii="Arial" w:hAnsi="Arial" w:cs="Arial"/>
                <w:sz w:val="18"/>
                <w:szCs w:val="18"/>
              </w:rPr>
              <w:t>1,106,000</w:t>
            </w:r>
          </w:p>
        </w:tc>
        <w:tc>
          <w:tcPr>
            <w:tcW w:w="1607" w:type="dxa"/>
            <w:shd w:val="clear" w:color="auto" w:fill="000000" w:themeFill="text1"/>
          </w:tcPr>
          <w:p w14:paraId="4F68C884" w14:textId="77777777" w:rsidR="00AB7F01" w:rsidRPr="00612BBF" w:rsidRDefault="00AB7F01" w:rsidP="00612BBF">
            <w:pPr>
              <w:autoSpaceDE w:val="0"/>
              <w:spacing w:before="60" w:after="60"/>
              <w:rPr>
                <w:rFonts w:ascii="Arial" w:hAnsi="Arial" w:cs="Arial"/>
                <w:sz w:val="18"/>
                <w:szCs w:val="18"/>
              </w:rPr>
            </w:pPr>
          </w:p>
        </w:tc>
      </w:tr>
      <w:tr w:rsidR="0013292F" w14:paraId="31721287" w14:textId="77777777" w:rsidTr="008668AB">
        <w:tc>
          <w:tcPr>
            <w:tcW w:w="1276" w:type="dxa"/>
          </w:tcPr>
          <w:p w14:paraId="3E4E1A96" w14:textId="77777777" w:rsidR="0013292F" w:rsidRDefault="004703F1" w:rsidP="00612BBF">
            <w:pPr>
              <w:autoSpaceDE w:val="0"/>
              <w:spacing w:before="60" w:after="60"/>
              <w:rPr>
                <w:rFonts w:ascii="Arial" w:hAnsi="Arial" w:cs="Arial"/>
                <w:sz w:val="18"/>
                <w:szCs w:val="18"/>
              </w:rPr>
            </w:pPr>
            <w:r>
              <w:rPr>
                <w:rFonts w:ascii="Arial" w:hAnsi="Arial" w:cs="Arial"/>
                <w:sz w:val="18"/>
                <w:szCs w:val="18"/>
              </w:rPr>
              <w:t>23 Jun 1948</w:t>
            </w:r>
          </w:p>
        </w:tc>
        <w:tc>
          <w:tcPr>
            <w:tcW w:w="4395" w:type="dxa"/>
          </w:tcPr>
          <w:p w14:paraId="555EC296" w14:textId="77777777" w:rsidR="004703F1" w:rsidRPr="0069711B" w:rsidRDefault="004703F1" w:rsidP="004703F1">
            <w:pPr>
              <w:autoSpaceDE w:val="0"/>
              <w:spacing w:before="60" w:after="60"/>
              <w:rPr>
                <w:rFonts w:ascii="Arial" w:hAnsi="Arial" w:cs="Arial"/>
                <w:b/>
                <w:bCs/>
                <w:sz w:val="18"/>
                <w:szCs w:val="18"/>
              </w:rPr>
            </w:pPr>
            <w:r w:rsidRPr="0069711B">
              <w:rPr>
                <w:rFonts w:ascii="Arial" w:hAnsi="Arial" w:cs="Arial"/>
                <w:b/>
                <w:bCs/>
                <w:sz w:val="18"/>
                <w:szCs w:val="18"/>
              </w:rPr>
              <w:t xml:space="preserve">Transaction </w:t>
            </w:r>
            <w:r w:rsidR="006152B8">
              <w:rPr>
                <w:rFonts w:ascii="Arial" w:hAnsi="Arial" w:cs="Arial"/>
                <w:b/>
                <w:bCs/>
                <w:sz w:val="18"/>
                <w:szCs w:val="18"/>
              </w:rPr>
              <w:t>8</w:t>
            </w:r>
          </w:p>
          <w:p w14:paraId="2F5BDA05" w14:textId="77777777" w:rsidR="0013292F" w:rsidRPr="0069711B" w:rsidRDefault="004703F1" w:rsidP="004703F1">
            <w:pPr>
              <w:autoSpaceDE w:val="0"/>
              <w:spacing w:before="60" w:after="60"/>
              <w:rPr>
                <w:rFonts w:ascii="Arial" w:hAnsi="Arial" w:cs="Arial"/>
                <w:b/>
                <w:bCs/>
                <w:sz w:val="18"/>
                <w:szCs w:val="18"/>
              </w:rPr>
            </w:pPr>
            <w:r>
              <w:rPr>
                <w:rFonts w:ascii="Arial" w:hAnsi="Arial" w:cs="Arial"/>
                <w:sz w:val="18"/>
                <w:szCs w:val="18"/>
              </w:rPr>
              <w:t xml:space="preserve">Payment to Barclays Bank </w:t>
            </w:r>
            <w:r w:rsidR="003D6766">
              <w:rPr>
                <w:rFonts w:ascii="Arial" w:hAnsi="Arial" w:cs="Arial"/>
                <w:sz w:val="18"/>
                <w:szCs w:val="18"/>
              </w:rPr>
              <w:t xml:space="preserve">in the amount of £100,000 in favour of Cotton under control of </w:t>
            </w:r>
            <w:r>
              <w:rPr>
                <w:rFonts w:ascii="Arial" w:hAnsi="Arial" w:cs="Arial"/>
                <w:sz w:val="18"/>
                <w:szCs w:val="18"/>
              </w:rPr>
              <w:t xml:space="preserve">Shoaib out of the Second Account </w:t>
            </w:r>
          </w:p>
        </w:tc>
        <w:tc>
          <w:tcPr>
            <w:tcW w:w="1606" w:type="dxa"/>
          </w:tcPr>
          <w:p w14:paraId="71C7D060" w14:textId="77777777" w:rsidR="0013292F" w:rsidRDefault="00352162" w:rsidP="00612BBF">
            <w:pPr>
              <w:autoSpaceDE w:val="0"/>
              <w:spacing w:before="60" w:after="60"/>
              <w:rPr>
                <w:rFonts w:ascii="Arial" w:hAnsi="Arial" w:cs="Arial"/>
                <w:sz w:val="18"/>
                <w:szCs w:val="18"/>
              </w:rPr>
            </w:pPr>
            <w:r>
              <w:rPr>
                <w:rFonts w:ascii="Arial" w:hAnsi="Arial" w:cs="Arial"/>
                <w:sz w:val="18"/>
                <w:szCs w:val="18"/>
              </w:rPr>
              <w:t>Nil</w:t>
            </w:r>
          </w:p>
        </w:tc>
        <w:tc>
          <w:tcPr>
            <w:tcW w:w="1606" w:type="dxa"/>
          </w:tcPr>
          <w:p w14:paraId="1991D58F" w14:textId="77777777" w:rsidR="0013292F" w:rsidRDefault="00352162" w:rsidP="00612BBF">
            <w:pPr>
              <w:autoSpaceDE w:val="0"/>
              <w:spacing w:before="60" w:after="60"/>
              <w:rPr>
                <w:rFonts w:ascii="Arial" w:hAnsi="Arial" w:cs="Arial"/>
                <w:sz w:val="18"/>
                <w:szCs w:val="18"/>
              </w:rPr>
            </w:pPr>
            <w:r>
              <w:rPr>
                <w:rFonts w:ascii="Arial" w:hAnsi="Arial" w:cs="Arial"/>
                <w:sz w:val="18"/>
                <w:szCs w:val="18"/>
              </w:rPr>
              <w:t>£1,</w:t>
            </w:r>
            <w:r w:rsidR="00680F32">
              <w:rPr>
                <w:rFonts w:ascii="Arial" w:hAnsi="Arial" w:cs="Arial"/>
                <w:sz w:val="18"/>
                <w:szCs w:val="18"/>
              </w:rPr>
              <w:t>006,000</w:t>
            </w:r>
          </w:p>
        </w:tc>
        <w:tc>
          <w:tcPr>
            <w:tcW w:w="1607" w:type="dxa"/>
            <w:shd w:val="clear" w:color="auto" w:fill="000000" w:themeFill="text1"/>
          </w:tcPr>
          <w:p w14:paraId="0ABA8AF8" w14:textId="77777777" w:rsidR="0013292F" w:rsidRDefault="0013292F" w:rsidP="00612BBF">
            <w:pPr>
              <w:autoSpaceDE w:val="0"/>
              <w:spacing w:before="60" w:after="60"/>
              <w:rPr>
                <w:rFonts w:ascii="Arial" w:hAnsi="Arial" w:cs="Arial"/>
                <w:sz w:val="18"/>
                <w:szCs w:val="18"/>
              </w:rPr>
            </w:pPr>
          </w:p>
        </w:tc>
      </w:tr>
      <w:tr w:rsidR="007A30D9" w14:paraId="5589A6D8" w14:textId="77777777" w:rsidTr="007A30D9">
        <w:tc>
          <w:tcPr>
            <w:tcW w:w="10490" w:type="dxa"/>
            <w:gridSpan w:val="5"/>
            <w:shd w:val="clear" w:color="auto" w:fill="D9D9D9" w:themeFill="background1" w:themeFillShade="D9"/>
          </w:tcPr>
          <w:p w14:paraId="003D94FF" w14:textId="77777777" w:rsidR="007A30D9" w:rsidRDefault="007A30D9" w:rsidP="00612BBF">
            <w:pPr>
              <w:autoSpaceDE w:val="0"/>
              <w:spacing w:before="60" w:after="60"/>
              <w:rPr>
                <w:rFonts w:ascii="Arial" w:hAnsi="Arial" w:cs="Arial"/>
                <w:sz w:val="18"/>
                <w:szCs w:val="18"/>
              </w:rPr>
            </w:pPr>
            <w:r>
              <w:rPr>
                <w:rFonts w:ascii="Arial" w:hAnsi="Arial" w:cs="Arial"/>
                <w:b/>
                <w:bCs/>
                <w:sz w:val="18"/>
                <w:szCs w:val="18"/>
              </w:rPr>
              <w:t>ESTABLISHMENT OF THE RAHIMTOOLA ACCOUNT</w:t>
            </w:r>
          </w:p>
        </w:tc>
      </w:tr>
      <w:tr w:rsidR="00680F32" w14:paraId="6A381147" w14:textId="77777777" w:rsidTr="00BD3D56">
        <w:tc>
          <w:tcPr>
            <w:tcW w:w="1276" w:type="dxa"/>
          </w:tcPr>
          <w:p w14:paraId="1CD28CC1" w14:textId="77777777" w:rsidR="00680F32" w:rsidRDefault="00680F32" w:rsidP="00612BBF">
            <w:pPr>
              <w:autoSpaceDE w:val="0"/>
              <w:spacing w:before="60" w:after="60"/>
              <w:rPr>
                <w:rFonts w:ascii="Arial" w:hAnsi="Arial" w:cs="Arial"/>
                <w:sz w:val="18"/>
                <w:szCs w:val="18"/>
              </w:rPr>
            </w:pPr>
            <w:r>
              <w:rPr>
                <w:rFonts w:ascii="Arial" w:hAnsi="Arial" w:cs="Arial"/>
                <w:sz w:val="18"/>
                <w:szCs w:val="18"/>
              </w:rPr>
              <w:t>20 Sep 1948</w:t>
            </w:r>
          </w:p>
        </w:tc>
        <w:tc>
          <w:tcPr>
            <w:tcW w:w="4395" w:type="dxa"/>
          </w:tcPr>
          <w:p w14:paraId="546E99A2" w14:textId="77777777" w:rsidR="00680F32" w:rsidRDefault="00680F32" w:rsidP="004703F1">
            <w:pPr>
              <w:autoSpaceDE w:val="0"/>
              <w:spacing w:before="60" w:after="60"/>
              <w:rPr>
                <w:rFonts w:ascii="Arial" w:hAnsi="Arial" w:cs="Arial"/>
                <w:sz w:val="18"/>
                <w:szCs w:val="18"/>
              </w:rPr>
            </w:pPr>
            <w:r>
              <w:rPr>
                <w:rFonts w:ascii="Arial" w:hAnsi="Arial" w:cs="Arial"/>
                <w:b/>
                <w:bCs/>
                <w:sz w:val="18"/>
                <w:szCs w:val="18"/>
              </w:rPr>
              <w:t xml:space="preserve">Transaction </w:t>
            </w:r>
            <w:r w:rsidR="006152B8">
              <w:rPr>
                <w:rFonts w:ascii="Arial" w:hAnsi="Arial" w:cs="Arial"/>
                <w:b/>
                <w:bCs/>
                <w:sz w:val="18"/>
                <w:szCs w:val="18"/>
              </w:rPr>
              <w:t>9</w:t>
            </w:r>
          </w:p>
          <w:p w14:paraId="3208CDAB" w14:textId="77777777" w:rsidR="00680F32" w:rsidRPr="00680F32" w:rsidRDefault="00680F32" w:rsidP="004703F1">
            <w:pPr>
              <w:autoSpaceDE w:val="0"/>
              <w:spacing w:before="60" w:after="60"/>
              <w:rPr>
                <w:rFonts w:ascii="Arial" w:hAnsi="Arial" w:cs="Arial"/>
                <w:sz w:val="18"/>
                <w:szCs w:val="18"/>
              </w:rPr>
            </w:pPr>
            <w:r>
              <w:rPr>
                <w:rFonts w:ascii="Arial" w:hAnsi="Arial" w:cs="Arial"/>
                <w:sz w:val="18"/>
                <w:szCs w:val="18"/>
              </w:rPr>
              <w:t>The Transfer from the Second Account to the Rahimtoola Account</w:t>
            </w:r>
          </w:p>
        </w:tc>
        <w:tc>
          <w:tcPr>
            <w:tcW w:w="1606" w:type="dxa"/>
          </w:tcPr>
          <w:p w14:paraId="16C6EF97" w14:textId="77777777" w:rsidR="00680F32" w:rsidRDefault="00680F32" w:rsidP="00612BBF">
            <w:pPr>
              <w:autoSpaceDE w:val="0"/>
              <w:spacing w:before="60" w:after="60"/>
              <w:rPr>
                <w:rFonts w:ascii="Arial" w:hAnsi="Arial" w:cs="Arial"/>
                <w:sz w:val="18"/>
                <w:szCs w:val="18"/>
              </w:rPr>
            </w:pPr>
            <w:r>
              <w:rPr>
                <w:rFonts w:ascii="Arial" w:hAnsi="Arial" w:cs="Arial"/>
                <w:sz w:val="18"/>
                <w:szCs w:val="18"/>
              </w:rPr>
              <w:t>Nil</w:t>
            </w:r>
          </w:p>
        </w:tc>
        <w:tc>
          <w:tcPr>
            <w:tcW w:w="1606" w:type="dxa"/>
          </w:tcPr>
          <w:p w14:paraId="68E23EDB" w14:textId="77777777" w:rsidR="00680F32" w:rsidRDefault="00680F32" w:rsidP="00612BBF">
            <w:pPr>
              <w:autoSpaceDE w:val="0"/>
              <w:spacing w:before="60" w:after="60"/>
              <w:rPr>
                <w:rFonts w:ascii="Arial" w:hAnsi="Arial" w:cs="Arial"/>
                <w:sz w:val="18"/>
                <w:szCs w:val="18"/>
              </w:rPr>
            </w:pPr>
            <w:r>
              <w:rPr>
                <w:rFonts w:ascii="Arial" w:hAnsi="Arial" w:cs="Arial"/>
                <w:sz w:val="18"/>
                <w:szCs w:val="18"/>
              </w:rPr>
              <w:t>Nil</w:t>
            </w:r>
          </w:p>
        </w:tc>
        <w:tc>
          <w:tcPr>
            <w:tcW w:w="1607" w:type="dxa"/>
          </w:tcPr>
          <w:p w14:paraId="4A9250F1" w14:textId="77777777" w:rsidR="00680F32" w:rsidRDefault="00680F32" w:rsidP="00612BBF">
            <w:pPr>
              <w:autoSpaceDE w:val="0"/>
              <w:spacing w:before="60" w:after="60"/>
              <w:rPr>
                <w:rFonts w:ascii="Arial" w:hAnsi="Arial" w:cs="Arial"/>
                <w:sz w:val="18"/>
                <w:szCs w:val="18"/>
              </w:rPr>
            </w:pPr>
            <w:r>
              <w:rPr>
                <w:rFonts w:ascii="Arial" w:hAnsi="Arial" w:cs="Arial"/>
                <w:sz w:val="18"/>
                <w:szCs w:val="18"/>
              </w:rPr>
              <w:t>£1,007,9</w:t>
            </w:r>
            <w:r w:rsidR="00BF1AAC">
              <w:rPr>
                <w:rFonts w:ascii="Arial" w:hAnsi="Arial" w:cs="Arial"/>
                <w:sz w:val="18"/>
                <w:szCs w:val="18"/>
              </w:rPr>
              <w:t>40.45</w:t>
            </w:r>
          </w:p>
        </w:tc>
      </w:tr>
    </w:tbl>
    <w:p w14:paraId="03FBC7EF" w14:textId="77777777" w:rsidR="004A7618" w:rsidRDefault="004A7618" w:rsidP="004A7618">
      <w:pPr>
        <w:autoSpaceDE w:val="0"/>
        <w:spacing w:before="240" w:after="240"/>
        <w:rPr>
          <w:b/>
          <w:bCs/>
        </w:rPr>
      </w:pPr>
    </w:p>
    <w:sectPr w:rsidR="004A7618" w:rsidSect="00B349F4">
      <w:headerReference w:type="default" r:id="rId13"/>
      <w:footerReference w:type="even" r:id="rId14"/>
      <w:footerReference w:type="default" r:id="rId15"/>
      <w:pgSz w:w="11906" w:h="16838"/>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8B2A2" w14:textId="77777777" w:rsidR="00931407" w:rsidRDefault="00931407">
      <w:r>
        <w:separator/>
      </w:r>
    </w:p>
  </w:endnote>
  <w:endnote w:type="continuationSeparator" w:id="0">
    <w:p w14:paraId="6108FB27" w14:textId="77777777" w:rsidR="00931407" w:rsidRDefault="00931407">
      <w:r>
        <w:continuationSeparator/>
      </w:r>
    </w:p>
  </w:endnote>
  <w:endnote w:type="continuationNotice" w:id="1">
    <w:p w14:paraId="4E5D92DD" w14:textId="77777777" w:rsidR="00931407" w:rsidRDefault="0093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80000287" w:usb1="00000000" w:usb2="00000000" w:usb3="00000000" w:csb0="0000000F" w:csb1="00000000"/>
  </w:font>
  <w:font w:name="Arial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9815618"/>
      <w:docPartObj>
        <w:docPartGallery w:val="Page Numbers (Bottom of Page)"/>
        <w:docPartUnique/>
      </w:docPartObj>
    </w:sdtPr>
    <w:sdtEndPr>
      <w:rPr>
        <w:rStyle w:val="PageNumber"/>
      </w:rPr>
    </w:sdtEndPr>
    <w:sdtContent>
      <w:p w14:paraId="098B2EE9" w14:textId="77777777" w:rsidR="00225B8B" w:rsidRDefault="00225B8B" w:rsidP="00C20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B9358C4" w14:textId="77777777" w:rsidR="00225B8B" w:rsidRDefault="00225B8B" w:rsidP="00C208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sz w:val="22"/>
        <w:szCs w:val="22"/>
      </w:rPr>
      <w:id w:val="-909535749"/>
      <w:docPartObj>
        <w:docPartGallery w:val="Page Numbers (Bottom of Page)"/>
        <w:docPartUnique/>
      </w:docPartObj>
    </w:sdtPr>
    <w:sdtEndPr>
      <w:rPr>
        <w:rStyle w:val="PageNumber"/>
      </w:rPr>
    </w:sdtEndPr>
    <w:sdtContent>
      <w:p w14:paraId="74CB216F" w14:textId="6E34E83B" w:rsidR="00225B8B" w:rsidRPr="00C2080A" w:rsidRDefault="00225B8B" w:rsidP="00C2080A">
        <w:pPr>
          <w:pStyle w:val="Footer"/>
          <w:framePr w:wrap="none" w:vAnchor="text" w:hAnchor="margin" w:xAlign="center" w:y="1"/>
          <w:rPr>
            <w:rStyle w:val="PageNumber"/>
            <w:rFonts w:ascii="Times New Roman" w:hAnsi="Times New Roman"/>
            <w:sz w:val="22"/>
            <w:szCs w:val="22"/>
          </w:rPr>
        </w:pPr>
        <w:r w:rsidRPr="00C2080A">
          <w:rPr>
            <w:rStyle w:val="PageNumber"/>
            <w:rFonts w:ascii="Times New Roman" w:hAnsi="Times New Roman"/>
            <w:sz w:val="22"/>
            <w:szCs w:val="22"/>
          </w:rPr>
          <w:fldChar w:fldCharType="begin"/>
        </w:r>
        <w:r w:rsidRPr="00C2080A">
          <w:rPr>
            <w:rStyle w:val="PageNumber"/>
            <w:rFonts w:ascii="Times New Roman" w:hAnsi="Times New Roman"/>
            <w:sz w:val="22"/>
            <w:szCs w:val="22"/>
          </w:rPr>
          <w:instrText xml:space="preserve"> PAGE </w:instrText>
        </w:r>
        <w:r w:rsidRPr="00C2080A">
          <w:rPr>
            <w:rStyle w:val="PageNumber"/>
            <w:rFonts w:ascii="Times New Roman" w:hAnsi="Times New Roman"/>
            <w:sz w:val="22"/>
            <w:szCs w:val="22"/>
          </w:rPr>
          <w:fldChar w:fldCharType="separate"/>
        </w:r>
        <w:r w:rsidR="009B43EE">
          <w:rPr>
            <w:rStyle w:val="PageNumber"/>
            <w:rFonts w:ascii="Times New Roman" w:hAnsi="Times New Roman"/>
            <w:noProof/>
            <w:sz w:val="22"/>
            <w:szCs w:val="22"/>
          </w:rPr>
          <w:t>21</w:t>
        </w:r>
        <w:r w:rsidRPr="00C2080A">
          <w:rPr>
            <w:rStyle w:val="PageNumber"/>
            <w:rFonts w:ascii="Times New Roman" w:hAnsi="Times New Roman"/>
            <w:sz w:val="22"/>
            <w:szCs w:val="22"/>
          </w:rPr>
          <w:fldChar w:fldCharType="end"/>
        </w:r>
      </w:p>
    </w:sdtContent>
  </w:sdt>
  <w:p w14:paraId="2FCE84C7" w14:textId="77777777" w:rsidR="00225B8B" w:rsidRDefault="00225B8B" w:rsidP="00C2080A">
    <w:pPr>
      <w:pStyle w:val="Footer"/>
      <w:ind w:right="360"/>
      <w:jc w:val="cen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0E2E" w14:textId="77777777" w:rsidR="00931407" w:rsidRDefault="00931407">
      <w:r>
        <w:rPr>
          <w:color w:val="000000"/>
        </w:rPr>
        <w:separator/>
      </w:r>
    </w:p>
  </w:footnote>
  <w:footnote w:type="continuationSeparator" w:id="0">
    <w:p w14:paraId="28FC9DE2" w14:textId="77777777" w:rsidR="00931407" w:rsidRDefault="00931407">
      <w:r>
        <w:continuationSeparator/>
      </w:r>
    </w:p>
  </w:footnote>
  <w:footnote w:type="continuationNotice" w:id="1">
    <w:p w14:paraId="37B9BB95" w14:textId="77777777" w:rsidR="00931407" w:rsidRDefault="00931407"/>
  </w:footnote>
  <w:footnote w:id="2">
    <w:p w14:paraId="453DCCA1" w14:textId="77777777" w:rsidR="00225B8B" w:rsidRDefault="00225B8B" w:rsidP="00A85020">
      <w:pPr>
        <w:pStyle w:val="FootnoteText"/>
        <w:spacing w:before="60" w:after="60"/>
        <w:jc w:val="both"/>
      </w:pPr>
      <w:r>
        <w:rPr>
          <w:rStyle w:val="FootnoteReference"/>
        </w:rPr>
        <w:footnoteRef/>
      </w:r>
      <w:r>
        <w:t xml:space="preserve"> A glossary of names and terms used in this Judgment is at Annex 1. The facts of this case involve many people having many different titles and some names of great similarity. I have, for ease of reading, referred to these persons by their most distinctive name and have generally refrained from giving titles on each occasion. No discourtesy is thereby intended.</w:t>
      </w:r>
    </w:p>
  </w:footnote>
  <w:footnote w:id="3">
    <w:p w14:paraId="6EE02696" w14:textId="77777777" w:rsidR="00225B8B" w:rsidRDefault="00225B8B" w:rsidP="00A85020">
      <w:pPr>
        <w:pStyle w:val="FootnoteText"/>
        <w:spacing w:before="60" w:after="60"/>
        <w:jc w:val="both"/>
      </w:pPr>
      <w:r>
        <w:rPr>
          <w:rStyle w:val="FootnoteReference"/>
        </w:rPr>
        <w:footnoteRef/>
      </w:r>
      <w:r>
        <w:t xml:space="preserve"> Since 1948, Westminster Bank has undergone a number of name changes and re-organisations. Nothing turns on this, and I shall refer to Westminster Bank, in all its emanations, simply as the Bank.</w:t>
      </w:r>
    </w:p>
  </w:footnote>
  <w:footnote w:id="4">
    <w:p w14:paraId="28352A20" w14:textId="77777777" w:rsidR="00225B8B" w:rsidRDefault="00225B8B" w:rsidP="00A85020">
      <w:pPr>
        <w:pStyle w:val="FootnoteText"/>
        <w:spacing w:before="60" w:after="60"/>
        <w:jc w:val="both"/>
      </w:pPr>
      <w:r>
        <w:rPr>
          <w:rStyle w:val="FootnoteReference"/>
        </w:rPr>
        <w:footnoteRef/>
      </w:r>
      <w:r>
        <w:t xml:space="preserve"> The Union of India was originally the Dominion of India. I use the terms India or Union of India to refer to all emanations of India.</w:t>
      </w:r>
    </w:p>
  </w:footnote>
  <w:footnote w:id="5">
    <w:p w14:paraId="1A9DDB2E" w14:textId="77777777" w:rsidR="00225B8B" w:rsidRDefault="00225B8B" w:rsidP="00A85020">
      <w:pPr>
        <w:pStyle w:val="FootnoteText"/>
        <w:spacing w:before="60" w:after="60"/>
        <w:jc w:val="both"/>
      </w:pPr>
      <w:r>
        <w:rPr>
          <w:rStyle w:val="FootnoteReference"/>
        </w:rPr>
        <w:footnoteRef/>
      </w:r>
      <w:r>
        <w:t xml:space="preserve"> The Islamic Republic of Pakistan was originally the Dominion of Pakistan. I use the term Pakistan to refer to all emanations of Pakistan.</w:t>
      </w:r>
    </w:p>
  </w:footnote>
  <w:footnote w:id="6">
    <w:p w14:paraId="34EE271D" w14:textId="77777777" w:rsidR="00225B8B" w:rsidRDefault="00225B8B" w:rsidP="00A85020">
      <w:pPr>
        <w:pStyle w:val="FootnoteText"/>
        <w:spacing w:before="60" w:after="60"/>
        <w:jc w:val="both"/>
      </w:pPr>
      <w:r>
        <w:rPr>
          <w:rStyle w:val="FootnoteReference"/>
        </w:rPr>
        <w:footnoteRef/>
      </w:r>
      <w:r>
        <w:t xml:space="preserve"> See my order dated 25 October 2018. Paragraph 11 of that order provided:</w:t>
      </w:r>
    </w:p>
    <w:p w14:paraId="2F5F4E3D" w14:textId="77777777" w:rsidR="00225B8B" w:rsidRDefault="00225B8B" w:rsidP="00A85020">
      <w:pPr>
        <w:pStyle w:val="FootnoteText"/>
        <w:spacing w:before="60" w:after="60"/>
        <w:jc w:val="both"/>
      </w:pPr>
      <w:r>
        <w:t>“All sums and assets paid into Court to the credit of these proceedings shall be held on a special account, together with all accrued interest, to be dealt with as this Court may direct. The Fund shall be held in Court on terms that for the purpose of considering the parties’ pleaded claims to the Fund the Court will consider the position as if the Fund were still held in the Rahimtoola Account.”</w:t>
      </w:r>
    </w:p>
  </w:footnote>
  <w:footnote w:id="7">
    <w:p w14:paraId="764957AB" w14:textId="77777777" w:rsidR="00225B8B" w:rsidRDefault="00225B8B" w:rsidP="00A85020">
      <w:pPr>
        <w:pStyle w:val="FootnoteText"/>
        <w:spacing w:before="60" w:after="60"/>
        <w:jc w:val="both"/>
      </w:pPr>
      <w:r>
        <w:rPr>
          <w:rStyle w:val="FootnoteReference"/>
        </w:rPr>
        <w:footnoteRef/>
      </w:r>
      <w:r>
        <w:t xml:space="preserve"> All quotations omit footnotes where these are present, and correct minor typographical errors. On occasion, I have considered it appropriate to substitute one of the Annex 1 terms in place of the wording actually used. Where I have done so, I have indicated the change using square brackets.</w:t>
      </w:r>
    </w:p>
  </w:footnote>
  <w:footnote w:id="8">
    <w:p w14:paraId="76B52F55" w14:textId="77777777" w:rsidR="00225B8B" w:rsidRDefault="00225B8B" w:rsidP="00A85020">
      <w:pPr>
        <w:pStyle w:val="FootnoteText"/>
        <w:spacing w:before="60" w:after="60"/>
        <w:jc w:val="both"/>
      </w:pPr>
      <w:r>
        <w:rPr>
          <w:rStyle w:val="FootnoteReference"/>
        </w:rPr>
        <w:footnoteRef/>
      </w:r>
      <w:r>
        <w:t xml:space="preserve"> [1958] AC 379.</w:t>
      </w:r>
    </w:p>
  </w:footnote>
  <w:footnote w:id="9">
    <w:p w14:paraId="1FE5C598" w14:textId="77777777" w:rsidR="00225B8B" w:rsidRDefault="00225B8B" w:rsidP="00A85020">
      <w:pPr>
        <w:pStyle w:val="FootnoteText"/>
        <w:spacing w:before="60" w:after="60"/>
        <w:jc w:val="both"/>
      </w:pPr>
      <w:r>
        <w:rPr>
          <w:rStyle w:val="FootnoteReference"/>
        </w:rPr>
        <w:footnoteRef/>
      </w:r>
      <w:r>
        <w:t xml:space="preserve"> The decisions of Upjohn J and the Court of Appeal are reported at [1957] Ch 185.</w:t>
      </w:r>
    </w:p>
  </w:footnote>
  <w:footnote w:id="10">
    <w:p w14:paraId="4CDA197B" w14:textId="77777777" w:rsidR="00225B8B" w:rsidRDefault="00225B8B" w:rsidP="00A85020">
      <w:pPr>
        <w:pStyle w:val="FootnoteText"/>
        <w:spacing w:before="60" w:after="60"/>
        <w:jc w:val="both"/>
      </w:pPr>
      <w:r>
        <w:rPr>
          <w:rStyle w:val="FootnoteReference"/>
        </w:rPr>
        <w:footnoteRef/>
      </w:r>
      <w:r>
        <w:t xml:space="preserve"> The primary claimant was Nizam VII: Hyderabad was very much joined for the avoidance of doubt, as is further described in paragraphs 164-166 below.</w:t>
      </w:r>
    </w:p>
  </w:footnote>
  <w:footnote w:id="11">
    <w:p w14:paraId="6610658A" w14:textId="77777777" w:rsidR="00225B8B" w:rsidRPr="00AB0248" w:rsidRDefault="00225B8B" w:rsidP="00A85020">
      <w:pPr>
        <w:pStyle w:val="FootnoteText"/>
        <w:spacing w:before="60" w:after="60"/>
        <w:jc w:val="both"/>
        <w:rPr>
          <w:b/>
          <w:bCs/>
        </w:rPr>
      </w:pPr>
      <w:r>
        <w:rPr>
          <w:rStyle w:val="FootnoteReference"/>
        </w:rPr>
        <w:footnoteRef/>
      </w:r>
      <w:r>
        <w:t xml:space="preserve"> See paragraphs 1 and 3 of the Re-Amended Particulars of Claim (</w:t>
      </w:r>
      <w:r w:rsidRPr="002074CE">
        <w:rPr>
          <w:b/>
          <w:bCs/>
        </w:rPr>
        <w:t>Pakistan’s Pleading</w:t>
      </w:r>
      <w:r>
        <w:t>).</w:t>
      </w:r>
    </w:p>
  </w:footnote>
  <w:footnote w:id="12">
    <w:p w14:paraId="1E144184" w14:textId="77777777" w:rsidR="00225B8B" w:rsidRPr="00D56281" w:rsidRDefault="00225B8B" w:rsidP="00A85020">
      <w:pPr>
        <w:pStyle w:val="FootnoteText"/>
        <w:spacing w:before="60" w:after="60"/>
        <w:jc w:val="both"/>
        <w:rPr>
          <w:b/>
          <w:bCs/>
        </w:rPr>
      </w:pPr>
      <w:r>
        <w:rPr>
          <w:rStyle w:val="FootnoteReference"/>
        </w:rPr>
        <w:footnoteRef/>
      </w:r>
      <w:r>
        <w:t xml:space="preserve"> See paragraph 6 of the Re-Re-Re-Amended Defence and Counterclaim on behalf of India and the President of India (</w:t>
      </w:r>
      <w:r>
        <w:rPr>
          <w:b/>
          <w:bCs/>
        </w:rPr>
        <w:t>India’s Pleading</w:t>
      </w:r>
      <w:r>
        <w:t>).</w:t>
      </w:r>
    </w:p>
  </w:footnote>
  <w:footnote w:id="13">
    <w:p w14:paraId="0A222B64" w14:textId="77777777" w:rsidR="00225B8B" w:rsidRPr="00CA1C20" w:rsidRDefault="00225B8B" w:rsidP="00A85020">
      <w:pPr>
        <w:pStyle w:val="FootnoteText"/>
        <w:spacing w:before="60" w:after="60"/>
        <w:jc w:val="both"/>
      </w:pPr>
      <w:r>
        <w:rPr>
          <w:rStyle w:val="FootnoteReference"/>
        </w:rPr>
        <w:footnoteRef/>
      </w:r>
      <w:r>
        <w:t xml:space="preserve"> See paragraph 1 of the Re-Re-Re-Amended Defence and Interpleader Claim of Hillview (</w:t>
      </w:r>
      <w:r>
        <w:rPr>
          <w:b/>
          <w:bCs/>
        </w:rPr>
        <w:t>Nizam VIII’s Pleading</w:t>
      </w:r>
      <w:r>
        <w:t>).</w:t>
      </w:r>
    </w:p>
  </w:footnote>
  <w:footnote w:id="14">
    <w:p w14:paraId="5BE744E9" w14:textId="77777777" w:rsidR="00225B8B" w:rsidRPr="00C2218F" w:rsidRDefault="00225B8B" w:rsidP="00A85020">
      <w:pPr>
        <w:pStyle w:val="FootnoteText"/>
        <w:spacing w:before="60" w:after="60"/>
        <w:jc w:val="both"/>
      </w:pPr>
      <w:r>
        <w:rPr>
          <w:rStyle w:val="FootnoteReference"/>
        </w:rPr>
        <w:footnoteRef/>
      </w:r>
      <w:r>
        <w:t xml:space="preserve"> See paragraph 2 of the Re-Re-Amended Defence and Interpleader Claim of Prince Muffakham and Shannon (</w:t>
      </w:r>
      <w:r>
        <w:rPr>
          <w:b/>
          <w:bCs/>
        </w:rPr>
        <w:t>Prince Muffakham’s Pleading</w:t>
      </w:r>
      <w:r>
        <w:t>).</w:t>
      </w:r>
    </w:p>
  </w:footnote>
  <w:footnote w:id="15">
    <w:p w14:paraId="524B9794" w14:textId="77777777" w:rsidR="00225B8B" w:rsidRDefault="00225B8B" w:rsidP="00A85020">
      <w:pPr>
        <w:pStyle w:val="FootnoteText"/>
        <w:spacing w:before="60" w:after="60"/>
        <w:jc w:val="both"/>
      </w:pPr>
      <w:r>
        <w:rPr>
          <w:rStyle w:val="FootnoteReference"/>
        </w:rPr>
        <w:footnoteRef/>
      </w:r>
      <w:r>
        <w:t xml:space="preserve"> As was common ground between all of the parties before me.</w:t>
      </w:r>
    </w:p>
  </w:footnote>
  <w:footnote w:id="16">
    <w:p w14:paraId="3902E90D" w14:textId="77777777" w:rsidR="00225B8B" w:rsidRDefault="00225B8B" w:rsidP="00A85020">
      <w:pPr>
        <w:pStyle w:val="FootnoteText"/>
        <w:spacing w:before="60" w:after="60"/>
        <w:jc w:val="both"/>
      </w:pPr>
      <w:r>
        <w:rPr>
          <w:rStyle w:val="FootnoteReference"/>
        </w:rPr>
        <w:footnoteRef/>
      </w:r>
      <w:r>
        <w:t xml:space="preserve"> In the run-up to the trial, I received communications from someone purporting to have a claim in right of Nizam VII. I forwarded these communications on to Mr Lintott’s solicitors for their attention, as this was a matter not for me but for Mr Lintott. This was also made clear to the person writing directly to me. Mr Lintott was, in these proceedings, given every opportunity to consider whether to advance a positive case on behalf of others claiming an interest through Nizam VII, and he decided (for reasons quite rightly unknown to me) not to do so. After the trial, whilst writing this judgment, I received a further communication from this person, apparently making a claim to the Fund. His communication contained various materials, apparently in support of such a claim. I have ignored this communication and have done nothing in response to it. It </w:t>
      </w:r>
      <w:r w:rsidRPr="000D3782">
        <w:t>having been</w:t>
      </w:r>
      <w:r>
        <w:t xml:space="preserve"> made clear to this person that his appropriate interlocutor was Mr Lintott and not me, it seemed to me that this was the correct course to take, given the entirely inappropriate nature of this communication to me. </w:t>
      </w:r>
      <w:r w:rsidRPr="00005049">
        <w:t>Should the parties wish</w:t>
      </w:r>
      <w:r>
        <w:t xml:space="preserve"> to see this communication, they should apply to me: but it has had no effect on the terms of this Judgment.</w:t>
      </w:r>
    </w:p>
  </w:footnote>
  <w:footnote w:id="17">
    <w:p w14:paraId="3FB35ADC" w14:textId="77777777" w:rsidR="00225B8B" w:rsidRDefault="00225B8B" w:rsidP="00A85020">
      <w:pPr>
        <w:pStyle w:val="FootnoteText"/>
        <w:spacing w:before="60" w:after="60"/>
        <w:jc w:val="both"/>
      </w:pPr>
      <w:r>
        <w:rPr>
          <w:rStyle w:val="FootnoteReference"/>
        </w:rPr>
        <w:footnoteRef/>
      </w:r>
      <w:r>
        <w:t xml:space="preserve"> The Arms for Money Argument is considered in Section G below.</w:t>
      </w:r>
    </w:p>
  </w:footnote>
  <w:footnote w:id="18">
    <w:p w14:paraId="5EB17A2B" w14:textId="77777777" w:rsidR="00225B8B" w:rsidRDefault="00225B8B" w:rsidP="00A85020">
      <w:pPr>
        <w:pStyle w:val="FootnoteText"/>
        <w:spacing w:before="60" w:after="60"/>
        <w:jc w:val="both"/>
      </w:pPr>
      <w:r>
        <w:rPr>
          <w:rStyle w:val="FootnoteReference"/>
        </w:rPr>
        <w:footnoteRef/>
      </w:r>
      <w:r>
        <w:t xml:space="preserve"> The Safeguarding Argument is considered in Section H below.</w:t>
      </w:r>
    </w:p>
  </w:footnote>
  <w:footnote w:id="19">
    <w:p w14:paraId="59A8B210" w14:textId="77777777" w:rsidR="00225B8B" w:rsidRDefault="00225B8B" w:rsidP="00A85020">
      <w:pPr>
        <w:pStyle w:val="FootnoteText"/>
        <w:spacing w:before="60" w:after="60"/>
        <w:jc w:val="both"/>
      </w:pPr>
      <w:r>
        <w:rPr>
          <w:rStyle w:val="FootnoteReference"/>
        </w:rPr>
        <w:footnoteRef/>
      </w:r>
      <w:r>
        <w:t xml:space="preserve"> See Nizam VIII’s Pleading at paragraph 13; Prince Muffakham’s Pleading at paragraphs 13 and 13A; India’s Pleading at paragraph 13.</w:t>
      </w:r>
    </w:p>
  </w:footnote>
  <w:footnote w:id="20">
    <w:p w14:paraId="37C405FA" w14:textId="77777777" w:rsidR="00225B8B" w:rsidRDefault="00225B8B" w:rsidP="00A85020">
      <w:pPr>
        <w:pStyle w:val="FootnoteText"/>
        <w:spacing w:before="60" w:after="60"/>
        <w:jc w:val="both"/>
      </w:pPr>
      <w:r>
        <w:rPr>
          <w:rStyle w:val="FootnoteReference"/>
        </w:rPr>
        <w:footnoteRef/>
      </w:r>
      <w:r>
        <w:t xml:space="preserve"> Or, presumably, by his successors in title, Rahimtoola himself having died a number of years ago.</w:t>
      </w:r>
    </w:p>
  </w:footnote>
  <w:footnote w:id="21">
    <w:p w14:paraId="76260C74" w14:textId="77777777" w:rsidR="00225B8B" w:rsidRDefault="00225B8B" w:rsidP="00A85020">
      <w:pPr>
        <w:pStyle w:val="FootnoteText"/>
        <w:spacing w:before="60" w:after="60"/>
        <w:jc w:val="both"/>
      </w:pPr>
      <w:r>
        <w:rPr>
          <w:rStyle w:val="FootnoteReference"/>
        </w:rPr>
        <w:footnoteRef/>
      </w:r>
      <w:r>
        <w:t xml:space="preserve"> See Nizam VIII’s Pleading at paragraph 13A; Prince Muffakham’s Pleading at paragraph 16(a); India’s Pleading at paragraph 20.</w:t>
      </w:r>
    </w:p>
  </w:footnote>
  <w:footnote w:id="22">
    <w:p w14:paraId="2CB8A6AB" w14:textId="77777777" w:rsidR="00225B8B" w:rsidRDefault="00225B8B" w:rsidP="00A85020">
      <w:pPr>
        <w:pStyle w:val="FootnoteText"/>
        <w:spacing w:before="60" w:after="60"/>
        <w:jc w:val="both"/>
      </w:pPr>
      <w:r>
        <w:rPr>
          <w:rStyle w:val="FootnoteReference"/>
        </w:rPr>
        <w:footnoteRef/>
      </w:r>
      <w:r>
        <w:t xml:space="preserve"> This is considered in Sections F and H below.</w:t>
      </w:r>
    </w:p>
  </w:footnote>
  <w:footnote w:id="23">
    <w:p w14:paraId="42DEB095" w14:textId="77777777" w:rsidR="00225B8B" w:rsidRDefault="00225B8B" w:rsidP="00A85020">
      <w:pPr>
        <w:pStyle w:val="FootnoteText"/>
        <w:spacing w:before="60" w:after="60"/>
        <w:jc w:val="both"/>
      </w:pPr>
      <w:r>
        <w:rPr>
          <w:rStyle w:val="FootnoteReference"/>
        </w:rPr>
        <w:footnoteRef/>
      </w:r>
      <w:r>
        <w:t xml:space="preserve"> This is considered in Section H(3)</w:t>
      </w:r>
      <w:r>
        <w:rPr>
          <w:i/>
          <w:iCs/>
        </w:rPr>
        <w:t>(c)</w:t>
      </w:r>
      <w:r>
        <w:t xml:space="preserve"> below.</w:t>
      </w:r>
    </w:p>
  </w:footnote>
  <w:footnote w:id="24">
    <w:p w14:paraId="74292263" w14:textId="77777777" w:rsidR="00225B8B" w:rsidRPr="00313DA8" w:rsidRDefault="00225B8B" w:rsidP="00091CD4">
      <w:pPr>
        <w:pStyle w:val="FootnoteText"/>
        <w:spacing w:before="60" w:after="60"/>
        <w:jc w:val="both"/>
      </w:pPr>
      <w:r>
        <w:rPr>
          <w:rStyle w:val="FootnoteReference"/>
        </w:rPr>
        <w:footnoteRef/>
      </w:r>
      <w:r>
        <w:t xml:space="preserve"> This is considered in Section H(3)</w:t>
      </w:r>
      <w:r>
        <w:rPr>
          <w:i/>
          <w:iCs/>
        </w:rPr>
        <w:t>(d)</w:t>
      </w:r>
      <w:r>
        <w:t xml:space="preserve"> below.</w:t>
      </w:r>
    </w:p>
  </w:footnote>
  <w:footnote w:id="25">
    <w:p w14:paraId="69191D22" w14:textId="77777777" w:rsidR="00225B8B" w:rsidRDefault="00225B8B" w:rsidP="00A85020">
      <w:pPr>
        <w:pStyle w:val="FootnoteText"/>
        <w:spacing w:before="60" w:after="60"/>
        <w:jc w:val="both"/>
      </w:pPr>
      <w:r>
        <w:rPr>
          <w:rStyle w:val="FootnoteReference"/>
        </w:rPr>
        <w:footnoteRef/>
      </w:r>
      <w:r>
        <w:t xml:space="preserve"> See Nizam VIII’s Pleading at paragraph 13; Prince Muffakham’s Pleading at paragraph 16; India’s Pleading at paragraph 12.</w:t>
      </w:r>
    </w:p>
  </w:footnote>
  <w:footnote w:id="26">
    <w:p w14:paraId="037F9438" w14:textId="77777777" w:rsidR="00225B8B" w:rsidRDefault="00225B8B" w:rsidP="00A85020">
      <w:pPr>
        <w:pStyle w:val="FootnoteText"/>
        <w:spacing w:before="60" w:after="60"/>
        <w:jc w:val="both"/>
      </w:pPr>
      <w:r>
        <w:rPr>
          <w:rStyle w:val="FootnoteReference"/>
        </w:rPr>
        <w:footnoteRef/>
      </w:r>
      <w:r>
        <w:t xml:space="preserve"> Pakistan’s Pleading at paragraph 20.1.</w:t>
      </w:r>
    </w:p>
  </w:footnote>
  <w:footnote w:id="27">
    <w:p w14:paraId="5065ED47" w14:textId="77777777" w:rsidR="00225B8B" w:rsidRDefault="00225B8B" w:rsidP="00A85020">
      <w:pPr>
        <w:pStyle w:val="FootnoteText"/>
        <w:spacing w:before="60" w:after="60"/>
        <w:jc w:val="both"/>
      </w:pPr>
      <w:r>
        <w:rPr>
          <w:rStyle w:val="FootnoteReference"/>
        </w:rPr>
        <w:footnoteRef/>
      </w:r>
      <w:r>
        <w:t xml:space="preserve"> See Nizam VIII’s Pleading at paragraphs 13B and 14; Prince Muffakham’s Pleading at paragraph 16(b); India’s Pleading at paragraph 20.</w:t>
      </w:r>
    </w:p>
  </w:footnote>
  <w:footnote w:id="28">
    <w:p w14:paraId="714C9AD3" w14:textId="77777777" w:rsidR="00225B8B" w:rsidRPr="00A43A31" w:rsidRDefault="00225B8B" w:rsidP="00A85020">
      <w:pPr>
        <w:pStyle w:val="FootnoteText"/>
        <w:spacing w:before="60" w:after="60"/>
        <w:jc w:val="both"/>
      </w:pPr>
      <w:r>
        <w:rPr>
          <w:rStyle w:val="FootnoteReference"/>
        </w:rPr>
        <w:footnoteRef/>
      </w:r>
      <w:r>
        <w:t xml:space="preserve"> See, for example, Pakistan’s Re-Re-Re-Amended Reply to India’s Pleading (</w:t>
      </w:r>
      <w:r>
        <w:rPr>
          <w:b/>
          <w:bCs/>
        </w:rPr>
        <w:t>Pakistan’s Reply</w:t>
      </w:r>
      <w:r>
        <w:t>) at paragraphs 3(e) and 35. Pakistan, of course, served Replies to Nizam VIII’s Pleading and to Prince Muffakham’s Pleading as well. However, since the points she took were the same in all cases, I shall, for convenience, refer only to Pakistan’s Reply to India’s Pleading.</w:t>
      </w:r>
    </w:p>
  </w:footnote>
  <w:footnote w:id="29">
    <w:p w14:paraId="22DC8F49" w14:textId="77777777" w:rsidR="00225B8B" w:rsidRDefault="00225B8B" w:rsidP="00A85020">
      <w:pPr>
        <w:pStyle w:val="FootnoteText"/>
        <w:spacing w:before="60" w:after="60"/>
        <w:jc w:val="both"/>
      </w:pPr>
      <w:r>
        <w:rPr>
          <w:rStyle w:val="FootnoteReference"/>
        </w:rPr>
        <w:footnoteRef/>
      </w:r>
      <w:r>
        <w:t xml:space="preserve"> See Henderson J’s judgment at [2016] EWHC 1465 (Ch).</w:t>
      </w:r>
    </w:p>
  </w:footnote>
  <w:footnote w:id="30">
    <w:p w14:paraId="0271961A" w14:textId="77777777" w:rsidR="00225B8B" w:rsidRDefault="00225B8B" w:rsidP="00A85020">
      <w:pPr>
        <w:pStyle w:val="FootnoteText"/>
        <w:spacing w:before="60" w:after="60"/>
        <w:jc w:val="both"/>
      </w:pPr>
      <w:r>
        <w:rPr>
          <w:rStyle w:val="FootnoteReference"/>
        </w:rPr>
        <w:footnoteRef/>
      </w:r>
      <w:r>
        <w:t xml:space="preserve"> These points are all considered in Section J below.</w:t>
      </w:r>
    </w:p>
  </w:footnote>
  <w:footnote w:id="31">
    <w:p w14:paraId="5A9807DC" w14:textId="77777777" w:rsidR="00225B8B" w:rsidRDefault="00225B8B" w:rsidP="00A85020">
      <w:pPr>
        <w:pStyle w:val="FootnoteText"/>
        <w:spacing w:before="60" w:after="60"/>
        <w:jc w:val="both"/>
      </w:pPr>
      <w:r>
        <w:rPr>
          <w:rStyle w:val="FootnoteReference"/>
        </w:rPr>
        <w:footnoteRef/>
      </w:r>
      <w:r>
        <w:t xml:space="preserve"> In Section K below. When I put this point to Mr Qureshi, QC in the course of submissions, he did not dissent from this.</w:t>
      </w:r>
    </w:p>
  </w:footnote>
  <w:footnote w:id="32">
    <w:p w14:paraId="15726768" w14:textId="77777777" w:rsidR="00225B8B" w:rsidRDefault="00225B8B" w:rsidP="00A85020">
      <w:pPr>
        <w:pStyle w:val="FootnoteText"/>
        <w:spacing w:before="60" w:after="60"/>
        <w:jc w:val="both"/>
      </w:pPr>
      <w:r>
        <w:rPr>
          <w:rStyle w:val="FootnoteReference"/>
        </w:rPr>
        <w:footnoteRef/>
      </w:r>
      <w:r>
        <w:t xml:space="preserve"> I fully appreciate that this is a contentious topic, on which Pakistan and India diverged. Although I appreciate that the term “invasion” is something of a loaded one, so too is the term “police action”. In this judgment, I use the term “invasion”, but I do so neutrally, so as to be indifferent as between the act that was contrary to law as alleged by Pakistan and the police action that India alleged was consistent with law.</w:t>
      </w:r>
    </w:p>
  </w:footnote>
  <w:footnote w:id="33">
    <w:p w14:paraId="60F5BB26" w14:textId="77777777" w:rsidR="00225B8B" w:rsidRDefault="00225B8B" w:rsidP="00A85020">
      <w:pPr>
        <w:pStyle w:val="FootnoteText"/>
        <w:spacing w:before="60" w:after="60"/>
        <w:jc w:val="both"/>
      </w:pPr>
      <w:r>
        <w:rPr>
          <w:rStyle w:val="FootnoteReference"/>
        </w:rPr>
        <w:footnoteRef/>
      </w:r>
      <w:r>
        <w:t xml:space="preserve"> See paragraph 17(1) above.</w:t>
      </w:r>
    </w:p>
  </w:footnote>
  <w:footnote w:id="34">
    <w:p w14:paraId="4E198DC0" w14:textId="77777777" w:rsidR="00225B8B" w:rsidRDefault="00225B8B" w:rsidP="00A85020">
      <w:pPr>
        <w:pStyle w:val="FootnoteText"/>
        <w:spacing w:before="60" w:after="60"/>
        <w:jc w:val="both"/>
      </w:pPr>
      <w:r>
        <w:rPr>
          <w:rStyle w:val="FootnoteReference"/>
        </w:rPr>
        <w:footnoteRef/>
      </w:r>
      <w:r>
        <w:t xml:space="preserve"> See paragraph 17(2) above.</w:t>
      </w:r>
    </w:p>
  </w:footnote>
  <w:footnote w:id="35">
    <w:p w14:paraId="455FDCA3" w14:textId="77777777" w:rsidR="00225B8B" w:rsidRDefault="00225B8B" w:rsidP="00A85020">
      <w:pPr>
        <w:pStyle w:val="FootnoteText"/>
        <w:spacing w:before="60" w:after="60"/>
        <w:jc w:val="both"/>
      </w:pPr>
      <w:r>
        <w:rPr>
          <w:rStyle w:val="FootnoteReference"/>
        </w:rPr>
        <w:footnoteRef/>
      </w:r>
      <w:r>
        <w:t xml:space="preserve"> See paragraph 19 above.</w:t>
      </w:r>
    </w:p>
  </w:footnote>
  <w:footnote w:id="36">
    <w:p w14:paraId="09A0238C" w14:textId="77777777" w:rsidR="00225B8B" w:rsidRDefault="00225B8B" w:rsidP="00A85020">
      <w:pPr>
        <w:pStyle w:val="FootnoteText"/>
        <w:spacing w:before="60" w:after="60"/>
        <w:jc w:val="both"/>
      </w:pPr>
      <w:r>
        <w:rPr>
          <w:rStyle w:val="FootnoteReference"/>
        </w:rPr>
        <w:footnoteRef/>
      </w:r>
      <w:r>
        <w:t xml:space="preserve"> See paragraph 26 above.</w:t>
      </w:r>
    </w:p>
  </w:footnote>
  <w:footnote w:id="37">
    <w:p w14:paraId="5F806C87" w14:textId="77777777" w:rsidR="00225B8B" w:rsidRDefault="00225B8B" w:rsidP="00A85020">
      <w:pPr>
        <w:pStyle w:val="FootnoteText"/>
        <w:spacing w:before="60" w:after="60"/>
        <w:jc w:val="both"/>
      </w:pPr>
      <w:r>
        <w:rPr>
          <w:rStyle w:val="FootnoteReference"/>
        </w:rPr>
        <w:footnoteRef/>
      </w:r>
      <w:r>
        <w:t xml:space="preserve"> See Section A(3)</w:t>
      </w:r>
      <w:r>
        <w:rPr>
          <w:i/>
          <w:iCs/>
        </w:rPr>
        <w:t xml:space="preserve">(e) </w:t>
      </w:r>
      <w:r>
        <w:t>above.</w:t>
      </w:r>
    </w:p>
  </w:footnote>
  <w:footnote w:id="38">
    <w:p w14:paraId="5CD0597F" w14:textId="77777777" w:rsidR="00225B8B" w:rsidRDefault="00225B8B" w:rsidP="00A85020">
      <w:pPr>
        <w:pStyle w:val="FootnoteText"/>
        <w:spacing w:before="60" w:after="60"/>
        <w:jc w:val="both"/>
      </w:pPr>
      <w:r>
        <w:rPr>
          <w:rStyle w:val="FootnoteReference"/>
        </w:rPr>
        <w:footnoteRef/>
      </w:r>
      <w:r>
        <w:t xml:space="preserve"> Summarised in paragraph 27(1) above.</w:t>
      </w:r>
    </w:p>
  </w:footnote>
  <w:footnote w:id="39">
    <w:p w14:paraId="400650E7" w14:textId="77777777" w:rsidR="00225B8B" w:rsidRDefault="00225B8B" w:rsidP="00A85020">
      <w:pPr>
        <w:pStyle w:val="FootnoteText"/>
        <w:spacing w:before="60" w:after="60"/>
        <w:jc w:val="both"/>
      </w:pPr>
      <w:r>
        <w:rPr>
          <w:rStyle w:val="FootnoteReference"/>
        </w:rPr>
        <w:footnoteRef/>
      </w:r>
      <w:r>
        <w:t xml:space="preserve"> Summarised in paragraph 27(2) above.</w:t>
      </w:r>
    </w:p>
  </w:footnote>
  <w:footnote w:id="40">
    <w:p w14:paraId="4D5A79BF" w14:textId="77777777" w:rsidR="00225B8B" w:rsidRPr="00A83F99" w:rsidRDefault="00225B8B" w:rsidP="00A85020">
      <w:pPr>
        <w:pStyle w:val="FootnoteText"/>
        <w:spacing w:before="60" w:after="60"/>
        <w:jc w:val="both"/>
      </w:pPr>
      <w:r>
        <w:rPr>
          <w:rStyle w:val="FootnoteReference"/>
        </w:rPr>
        <w:footnoteRef/>
      </w:r>
      <w:r>
        <w:t xml:space="preserve"> See paragraph 4 of my order dated 12 March 2018</w:t>
      </w:r>
      <w:r>
        <w:rPr>
          <w:b/>
          <w:bCs/>
        </w:rPr>
        <w:t xml:space="preserve"> </w:t>
      </w:r>
      <w:r>
        <w:t>and paragraph 9 of my order dated 25 October 2018.</w:t>
      </w:r>
    </w:p>
  </w:footnote>
  <w:footnote w:id="41">
    <w:p w14:paraId="22FD6756" w14:textId="77777777" w:rsidR="00225B8B" w:rsidRPr="0049240E" w:rsidRDefault="00225B8B" w:rsidP="00A85020">
      <w:pPr>
        <w:pStyle w:val="FootnoteText"/>
        <w:spacing w:before="60" w:after="60"/>
        <w:jc w:val="both"/>
        <w:rPr>
          <w:b/>
          <w:bCs/>
        </w:rPr>
      </w:pPr>
      <w:r>
        <w:rPr>
          <w:rStyle w:val="FootnoteReference"/>
        </w:rPr>
        <w:footnoteRef/>
      </w:r>
      <w:r>
        <w:t xml:space="preserve"> Day 2/p.21 (cross-examination of Prince Muffakham). The precise subject matter is irrelevant: it is Prince Muffakham’s recollection of events independent of the documents that I am considering.</w:t>
      </w:r>
    </w:p>
  </w:footnote>
  <w:footnote w:id="42">
    <w:p w14:paraId="6E7204A3" w14:textId="77777777" w:rsidR="00225B8B" w:rsidRDefault="00225B8B" w:rsidP="00A85020">
      <w:pPr>
        <w:pStyle w:val="FootnoteText"/>
        <w:spacing w:before="60" w:after="60"/>
        <w:jc w:val="both"/>
      </w:pPr>
      <w:r>
        <w:rPr>
          <w:rStyle w:val="FootnoteReference"/>
        </w:rPr>
        <w:footnoteRef/>
      </w:r>
      <w:r>
        <w:t xml:space="preserve"> Day 2/pp.11-12 (cross-examination of Prince Muffakham).</w:t>
      </w:r>
    </w:p>
  </w:footnote>
  <w:footnote w:id="43">
    <w:p w14:paraId="2728DC79" w14:textId="77777777" w:rsidR="00225B8B" w:rsidRDefault="00225B8B" w:rsidP="00A85020">
      <w:pPr>
        <w:pStyle w:val="FootnoteText"/>
        <w:spacing w:before="60" w:after="60"/>
        <w:jc w:val="both"/>
      </w:pPr>
      <w:r>
        <w:rPr>
          <w:rStyle w:val="FootnoteReference"/>
        </w:rPr>
        <w:footnoteRef/>
      </w:r>
      <w:r>
        <w:t xml:space="preserve"> In the 1954 Proceedings, [1957] 3 All ER 441 at 444 Viscount Simonds noted: “…it was asserted by the Nizam that the action was unauthorised by him. When the matter was before Upjohn J the evidence was rightly regarded by him as inadequate, but in the Court of Appeal further evidence was admitted, an affidavit by the Nizam himself, containing his statement, which has not been challenged, that Moin had no authority to make the transfer in question…”.</w:t>
      </w:r>
    </w:p>
  </w:footnote>
  <w:footnote w:id="44">
    <w:p w14:paraId="659EE027" w14:textId="77777777" w:rsidR="00225B8B" w:rsidRPr="00041AA0" w:rsidRDefault="00225B8B" w:rsidP="00A85020">
      <w:pPr>
        <w:pStyle w:val="FootnoteText"/>
        <w:spacing w:before="60" w:after="60"/>
        <w:jc w:val="both"/>
      </w:pPr>
      <w:r>
        <w:rPr>
          <w:rStyle w:val="FootnoteReference"/>
        </w:rPr>
        <w:footnoteRef/>
      </w:r>
      <w:r>
        <w:t xml:space="preserve"> It is clear that the Ministry had copy-typed versions from the Ministry’s letter to the Embassy dated 21 June 1977, which describes the documents in the Ministry’s possession.</w:t>
      </w:r>
    </w:p>
  </w:footnote>
  <w:footnote w:id="45">
    <w:p w14:paraId="1B0A1BFA" w14:textId="77777777" w:rsidR="00225B8B" w:rsidRDefault="00225B8B" w:rsidP="00A85020">
      <w:pPr>
        <w:pStyle w:val="FootnoteText"/>
        <w:spacing w:before="60" w:after="60"/>
        <w:jc w:val="both"/>
      </w:pPr>
      <w:r>
        <w:rPr>
          <w:rStyle w:val="FootnoteReference"/>
        </w:rPr>
        <w:footnoteRef/>
      </w:r>
      <w:r>
        <w:t xml:space="preserve"> Between 1972 and 1989, Pakistan was not a member of the Commonwealth of Nations. What was previously its High Commission became Pakistan’s Embassy.</w:t>
      </w:r>
    </w:p>
  </w:footnote>
  <w:footnote w:id="46">
    <w:p w14:paraId="6DDFF732" w14:textId="77777777" w:rsidR="00225B8B" w:rsidRDefault="00225B8B" w:rsidP="00A85020">
      <w:pPr>
        <w:pStyle w:val="FootnoteText"/>
        <w:spacing w:before="60" w:after="60"/>
        <w:jc w:val="both"/>
      </w:pPr>
      <w:r>
        <w:rPr>
          <w:rStyle w:val="FootnoteReference"/>
        </w:rPr>
        <w:footnoteRef/>
      </w:r>
      <w:r>
        <w:t xml:space="preserve"> See paragraph 33 above.</w:t>
      </w:r>
    </w:p>
  </w:footnote>
  <w:footnote w:id="47">
    <w:p w14:paraId="441B2DE7" w14:textId="77777777" w:rsidR="00225B8B" w:rsidRPr="00644538" w:rsidRDefault="00225B8B" w:rsidP="00A85020">
      <w:pPr>
        <w:pStyle w:val="FootnoteText"/>
        <w:spacing w:before="60" w:after="60"/>
        <w:jc w:val="both"/>
      </w:pPr>
      <w:r>
        <w:rPr>
          <w:rStyle w:val="FootnoteReference"/>
        </w:rPr>
        <w:footnoteRef/>
      </w:r>
      <w:r>
        <w:t xml:space="preserve"> </w:t>
      </w:r>
      <w:r>
        <w:rPr>
          <w:i/>
          <w:iCs/>
        </w:rPr>
        <w:t>Hoyle v. Rogers</w:t>
      </w:r>
      <w:r>
        <w:t>, [2014] EWCA Civ 257 at [61] to [63] (</w:t>
      </w:r>
      <w:r>
        <w:rPr>
          <w:i/>
          <w:iCs/>
        </w:rPr>
        <w:t xml:space="preserve">per </w:t>
      </w:r>
      <w:r>
        <w:t>Christopher Clarke LJ).</w:t>
      </w:r>
    </w:p>
  </w:footnote>
  <w:footnote w:id="48">
    <w:p w14:paraId="61BCD0C1" w14:textId="77777777" w:rsidR="00225B8B" w:rsidRDefault="00225B8B" w:rsidP="00A85020">
      <w:pPr>
        <w:pStyle w:val="FootnoteText"/>
        <w:spacing w:before="60" w:after="60"/>
        <w:jc w:val="both"/>
      </w:pPr>
      <w:r>
        <w:rPr>
          <w:rStyle w:val="FootnoteReference"/>
        </w:rPr>
        <w:footnoteRef/>
      </w:r>
      <w:r>
        <w:t xml:space="preserve"> </w:t>
      </w:r>
      <w:r>
        <w:rPr>
          <w:i/>
          <w:iCs/>
        </w:rPr>
        <w:t>Hoyle v. Rogers</w:t>
      </w:r>
      <w:r>
        <w:t>, [2014] EWCA Civ 257 at [64] (</w:t>
      </w:r>
      <w:r>
        <w:rPr>
          <w:i/>
          <w:iCs/>
        </w:rPr>
        <w:t xml:space="preserve">per </w:t>
      </w:r>
      <w:r>
        <w:t>Christopher Clarke LJ).</w:t>
      </w:r>
    </w:p>
  </w:footnote>
  <w:footnote w:id="49">
    <w:p w14:paraId="23A17427" w14:textId="77777777" w:rsidR="00225B8B" w:rsidRDefault="00225B8B" w:rsidP="00A85020">
      <w:pPr>
        <w:pStyle w:val="FootnoteText"/>
        <w:spacing w:before="60" w:after="60"/>
        <w:jc w:val="both"/>
      </w:pPr>
      <w:r>
        <w:rPr>
          <w:rStyle w:val="FootnoteReference"/>
        </w:rPr>
        <w:footnoteRef/>
      </w:r>
      <w:r>
        <w:t xml:space="preserve"> See paragraph 32 above.</w:t>
      </w:r>
    </w:p>
  </w:footnote>
  <w:footnote w:id="50">
    <w:p w14:paraId="03F1AF33" w14:textId="77777777" w:rsidR="00225B8B" w:rsidRDefault="00225B8B" w:rsidP="00A85020">
      <w:pPr>
        <w:pStyle w:val="FootnoteText"/>
        <w:spacing w:before="60" w:after="60"/>
        <w:jc w:val="both"/>
      </w:pPr>
      <w:r>
        <w:rPr>
          <w:rStyle w:val="FootnoteReference"/>
        </w:rPr>
        <w:footnoteRef/>
      </w:r>
      <w:r>
        <w:t xml:space="preserve"> [1987] 1 Lloyd’s Rep. 207 at 215.</w:t>
      </w:r>
    </w:p>
  </w:footnote>
  <w:footnote w:id="51">
    <w:p w14:paraId="69DADF63" w14:textId="77777777" w:rsidR="00225B8B" w:rsidRDefault="00225B8B" w:rsidP="00A85020">
      <w:pPr>
        <w:pStyle w:val="FootnoteText"/>
        <w:spacing w:before="60" w:after="60"/>
        <w:jc w:val="both"/>
      </w:pPr>
      <w:r>
        <w:rPr>
          <w:rStyle w:val="FootnoteReference"/>
        </w:rPr>
        <w:footnoteRef/>
      </w:r>
      <w:r>
        <w:t xml:space="preserve"> See paragraphs 43 to 50 above.</w:t>
      </w:r>
    </w:p>
  </w:footnote>
  <w:footnote w:id="52">
    <w:p w14:paraId="0CB8CB16" w14:textId="77777777" w:rsidR="00225B8B" w:rsidRDefault="00225B8B" w:rsidP="00A85020">
      <w:pPr>
        <w:pStyle w:val="FootnoteText"/>
        <w:spacing w:before="60" w:after="60"/>
        <w:jc w:val="both"/>
      </w:pPr>
      <w:r>
        <w:rPr>
          <w:rStyle w:val="FootnoteReference"/>
        </w:rPr>
        <w:footnoteRef/>
      </w:r>
      <w:r>
        <w:t xml:space="preserve"> See section 1(2) of the Indian Independence Act 1947.</w:t>
      </w:r>
    </w:p>
  </w:footnote>
  <w:footnote w:id="53">
    <w:p w14:paraId="2853B09C" w14:textId="77777777" w:rsidR="00225B8B" w:rsidRDefault="00225B8B" w:rsidP="00A85020">
      <w:pPr>
        <w:pStyle w:val="FootnoteText"/>
        <w:spacing w:before="60" w:after="60"/>
        <w:jc w:val="both"/>
      </w:pPr>
      <w:r>
        <w:rPr>
          <w:rStyle w:val="FootnoteReference"/>
        </w:rPr>
        <w:footnoteRef/>
      </w:r>
      <w:r>
        <w:t xml:space="preserve"> Section 1(1) of the Indian Independence Act 1947.</w:t>
      </w:r>
    </w:p>
  </w:footnote>
  <w:footnote w:id="54">
    <w:p w14:paraId="2DAB0B31" w14:textId="77777777" w:rsidR="00225B8B" w:rsidRDefault="00225B8B" w:rsidP="00A85020">
      <w:pPr>
        <w:pStyle w:val="FootnoteText"/>
        <w:spacing w:before="60" w:after="60"/>
        <w:jc w:val="both"/>
      </w:pPr>
      <w:r>
        <w:rPr>
          <w:rStyle w:val="FootnoteReference"/>
        </w:rPr>
        <w:footnoteRef/>
      </w:r>
      <w:r>
        <w:t xml:space="preserve"> See section 6(1).</w:t>
      </w:r>
    </w:p>
  </w:footnote>
  <w:footnote w:id="55">
    <w:p w14:paraId="15D92B53" w14:textId="77777777" w:rsidR="00225B8B" w:rsidRPr="00B73F05" w:rsidRDefault="00225B8B" w:rsidP="00A85020">
      <w:pPr>
        <w:pStyle w:val="FootnoteText"/>
        <w:spacing w:before="60" w:after="60"/>
        <w:jc w:val="both"/>
      </w:pPr>
      <w:r>
        <w:rPr>
          <w:rStyle w:val="FootnoteReference"/>
        </w:rPr>
        <w:footnoteRef/>
      </w:r>
      <w:r>
        <w:t xml:space="preserve"> In an internal Foreign Office briefing note dated 6 May 1948, it was noted: “Hyderabad, however, which has a Muslim ruler and ruling class, and a population which is about 80 per cent Hindu, has been reluctant to accede to India although surrounded by Indian territory. The sympathy of the ruling class lies with Pakistan, but geographically and economically the State is completely within the Indian orbit.”</w:t>
      </w:r>
    </w:p>
  </w:footnote>
  <w:footnote w:id="56">
    <w:p w14:paraId="475FBE6F" w14:textId="77777777" w:rsidR="00225B8B" w:rsidRDefault="00225B8B" w:rsidP="00A85020">
      <w:pPr>
        <w:pStyle w:val="FootnoteText"/>
        <w:spacing w:before="60" w:after="60"/>
        <w:jc w:val="both"/>
      </w:pPr>
      <w:r>
        <w:rPr>
          <w:rStyle w:val="FootnoteReference"/>
        </w:rPr>
        <w:footnoteRef/>
      </w:r>
      <w:r>
        <w:t xml:space="preserve"> See the proviso in section 7(1) of the 1947 Act: see paragraph 66 above.</w:t>
      </w:r>
    </w:p>
  </w:footnote>
  <w:footnote w:id="57">
    <w:p w14:paraId="3F197367" w14:textId="77777777" w:rsidR="00225B8B" w:rsidRDefault="00225B8B" w:rsidP="00A85020">
      <w:pPr>
        <w:pStyle w:val="FootnoteText"/>
        <w:spacing w:before="60" w:after="60"/>
        <w:jc w:val="both"/>
      </w:pPr>
      <w:r>
        <w:rPr>
          <w:rStyle w:val="FootnoteReference"/>
        </w:rPr>
        <w:footnoteRef/>
      </w:r>
      <w:r>
        <w:t xml:space="preserve"> This is the effect of section 2(4) of the 1947 Act: see paragraph 64 above.</w:t>
      </w:r>
    </w:p>
  </w:footnote>
  <w:footnote w:id="58">
    <w:p w14:paraId="4E6D1068" w14:textId="77777777" w:rsidR="00225B8B" w:rsidRPr="006F1053" w:rsidRDefault="00225B8B" w:rsidP="00A85020">
      <w:pPr>
        <w:pStyle w:val="FootnoteText"/>
        <w:spacing w:before="60" w:after="60"/>
        <w:jc w:val="both"/>
        <w:rPr>
          <w:b/>
          <w:bCs/>
        </w:rPr>
      </w:pPr>
      <w:r>
        <w:rPr>
          <w:rStyle w:val="FootnoteReference"/>
        </w:rPr>
        <w:footnoteRef/>
      </w:r>
      <w:r>
        <w:t xml:space="preserve"> Paragraph 1 of the note.</w:t>
      </w:r>
    </w:p>
  </w:footnote>
  <w:footnote w:id="59">
    <w:p w14:paraId="491B4564" w14:textId="77777777" w:rsidR="00225B8B" w:rsidRPr="00227FBE" w:rsidRDefault="00225B8B" w:rsidP="00A85020">
      <w:pPr>
        <w:pStyle w:val="FootnoteText"/>
        <w:spacing w:before="60" w:after="60"/>
        <w:jc w:val="both"/>
        <w:rPr>
          <w:b/>
          <w:bCs/>
        </w:rPr>
      </w:pPr>
      <w:r>
        <w:rPr>
          <w:rStyle w:val="FootnoteReference"/>
        </w:rPr>
        <w:footnoteRef/>
      </w:r>
      <w:r>
        <w:t xml:space="preserve"> Paragraph 2 of the note.</w:t>
      </w:r>
    </w:p>
  </w:footnote>
  <w:footnote w:id="60">
    <w:p w14:paraId="3641DE7A" w14:textId="77777777" w:rsidR="00225B8B" w:rsidRPr="004410A7" w:rsidRDefault="00225B8B" w:rsidP="00A85020">
      <w:pPr>
        <w:pStyle w:val="FootnoteText"/>
        <w:spacing w:before="60" w:after="60"/>
        <w:jc w:val="both"/>
        <w:rPr>
          <w:b/>
          <w:bCs/>
        </w:rPr>
      </w:pPr>
      <w:r>
        <w:rPr>
          <w:rStyle w:val="FootnoteReference"/>
        </w:rPr>
        <w:footnoteRef/>
      </w:r>
      <w:r>
        <w:t xml:space="preserve"> Paragraph 6 of the note.</w:t>
      </w:r>
    </w:p>
  </w:footnote>
  <w:footnote w:id="61">
    <w:p w14:paraId="1800BD4C" w14:textId="77777777" w:rsidR="00225B8B" w:rsidRDefault="00225B8B" w:rsidP="00A85020">
      <w:pPr>
        <w:pStyle w:val="FootnoteText"/>
        <w:spacing w:before="60" w:after="60"/>
        <w:jc w:val="both"/>
      </w:pPr>
      <w:r>
        <w:rPr>
          <w:rStyle w:val="FootnoteReference"/>
        </w:rPr>
        <w:footnoteRef/>
      </w:r>
      <w:r>
        <w:t xml:space="preserve"> See paragraphs 80</w:t>
      </w:r>
      <w:r>
        <w:rPr>
          <w:i/>
          <w:iCs/>
        </w:rPr>
        <w:t>ff</w:t>
      </w:r>
      <w:r>
        <w:t xml:space="preserve"> below.</w:t>
      </w:r>
    </w:p>
  </w:footnote>
  <w:footnote w:id="62">
    <w:p w14:paraId="6F6AD151" w14:textId="77777777" w:rsidR="00225B8B" w:rsidRDefault="00225B8B" w:rsidP="00A85020">
      <w:pPr>
        <w:pStyle w:val="FootnoteText"/>
        <w:spacing w:before="60" w:after="60"/>
        <w:jc w:val="both"/>
      </w:pPr>
      <w:r>
        <w:rPr>
          <w:rStyle w:val="FootnoteReference"/>
        </w:rPr>
        <w:footnoteRef/>
      </w:r>
      <w:r>
        <w:t xml:space="preserve"> A city in Hyderabad.</w:t>
      </w:r>
    </w:p>
  </w:footnote>
  <w:footnote w:id="63">
    <w:p w14:paraId="6FECFFEB" w14:textId="77777777" w:rsidR="00225B8B" w:rsidRDefault="00225B8B" w:rsidP="00A85020">
      <w:pPr>
        <w:pStyle w:val="FootnoteText"/>
        <w:spacing w:before="60" w:after="60"/>
        <w:jc w:val="both"/>
      </w:pPr>
      <w:r>
        <w:rPr>
          <w:rStyle w:val="FootnoteReference"/>
        </w:rPr>
        <w:footnoteRef/>
      </w:r>
      <w:r>
        <w:t xml:space="preserve"> A locality within the city of Secunderabad.</w:t>
      </w:r>
    </w:p>
  </w:footnote>
  <w:footnote w:id="64">
    <w:p w14:paraId="7222BEFF" w14:textId="77777777" w:rsidR="00225B8B" w:rsidRDefault="00225B8B" w:rsidP="00A85020">
      <w:pPr>
        <w:pStyle w:val="FootnoteText"/>
        <w:spacing w:before="60" w:after="60"/>
        <w:jc w:val="both"/>
      </w:pPr>
      <w:r>
        <w:rPr>
          <w:rStyle w:val="FootnoteReference"/>
        </w:rPr>
        <w:footnoteRef/>
      </w:r>
      <w:r>
        <w:t xml:space="preserve"> The United Kingdom extends to some 93,600 square miles, if that comparison assists.</w:t>
      </w:r>
    </w:p>
  </w:footnote>
  <w:footnote w:id="65">
    <w:p w14:paraId="3A063ABE" w14:textId="77777777" w:rsidR="00225B8B" w:rsidRPr="002377B9" w:rsidRDefault="00225B8B" w:rsidP="00A85020">
      <w:pPr>
        <w:pStyle w:val="FootnoteText"/>
        <w:spacing w:before="60" w:after="60"/>
        <w:jc w:val="both"/>
      </w:pPr>
      <w:r>
        <w:rPr>
          <w:rStyle w:val="FootnoteReference"/>
        </w:rPr>
        <w:footnoteRef/>
      </w:r>
      <w:r>
        <w:t xml:space="preserve"> I was provided with extracts from Aggarawala and Aiyar, </w:t>
      </w:r>
      <w:r>
        <w:rPr>
          <w:i/>
          <w:iCs/>
        </w:rPr>
        <w:t>The Constitution of India</w:t>
      </w:r>
      <w:r>
        <w:t>, 1</w:t>
      </w:r>
      <w:r w:rsidRPr="002377B9">
        <w:rPr>
          <w:vertAlign w:val="superscript"/>
        </w:rPr>
        <w:t>st</w:t>
      </w:r>
      <w:r>
        <w:t xml:space="preserve"> ed (1950), which makes absolutely clear that in 1950 Hyderabad was viewed by these authors as part of the territory of India.</w:t>
      </w:r>
    </w:p>
  </w:footnote>
  <w:footnote w:id="66">
    <w:p w14:paraId="1C08597A" w14:textId="77777777" w:rsidR="00225B8B" w:rsidRDefault="00225B8B" w:rsidP="00A85020">
      <w:pPr>
        <w:pStyle w:val="FootnoteText"/>
        <w:spacing w:before="60" w:after="60"/>
        <w:jc w:val="both"/>
      </w:pPr>
      <w:r>
        <w:rPr>
          <w:rStyle w:val="FootnoteReference"/>
        </w:rPr>
        <w:footnoteRef/>
      </w:r>
      <w:r>
        <w:t xml:space="preserve"> India’s Pleading states, at paragraph 99(i), as follows:</w:t>
      </w:r>
    </w:p>
    <w:p w14:paraId="075D579E" w14:textId="77777777" w:rsidR="00225B8B" w:rsidRDefault="00225B8B" w:rsidP="00A85020">
      <w:pPr>
        <w:pStyle w:val="FootnoteText"/>
        <w:spacing w:before="60" w:after="60"/>
        <w:jc w:val="both"/>
      </w:pPr>
      <w:r>
        <w:t>“For many years until 15 August 1947, Hyderabad had been a vassal state of the British Crown. The arrangements between Hyderabad and the Crown included that Hyderabad had no external relations, these being conducted by the Crown. While it is denied that such matters are material to the true issues in the present proceedings, India has taken the position that Hyderabad was not an independent sovereign state either before or after 15 August 1947.”</w:t>
      </w:r>
    </w:p>
  </w:footnote>
  <w:footnote w:id="67">
    <w:p w14:paraId="22F70804" w14:textId="77777777" w:rsidR="00225B8B" w:rsidRPr="00B414E1" w:rsidRDefault="00225B8B" w:rsidP="00A85020">
      <w:pPr>
        <w:pStyle w:val="FootnoteText"/>
        <w:spacing w:before="60" w:after="60"/>
        <w:jc w:val="both"/>
      </w:pPr>
      <w:r>
        <w:rPr>
          <w:rStyle w:val="FootnoteReference"/>
        </w:rPr>
        <w:footnoteRef/>
      </w:r>
      <w:r>
        <w:t xml:space="preserve"> There is a </w:t>
      </w:r>
      <w:r w:rsidRPr="00AC6E59">
        <w:rPr>
          <w:u w:val="single"/>
        </w:rPr>
        <w:t>draft</w:t>
      </w:r>
      <w:r>
        <w:t xml:space="preserve"> letter to the Bank explicitly referring to the High Commissioner being a signatory: this was prepared by the Bank and given to Mir, but never drawn up and sent to the Bank.  There is also a letter dated 30 April 1948 from the Bank to Moin stating that “[d]uring a subsequent interview with the Agent General [i.e. Mir], we were informed that a further signature was to be added as operative on the account”.</w:t>
      </w:r>
    </w:p>
  </w:footnote>
  <w:footnote w:id="68">
    <w:p w14:paraId="79FB3D18" w14:textId="77777777" w:rsidR="00225B8B" w:rsidRDefault="00225B8B" w:rsidP="00A85020">
      <w:pPr>
        <w:pStyle w:val="FootnoteText"/>
        <w:spacing w:before="60" w:after="60"/>
        <w:jc w:val="both"/>
      </w:pPr>
      <w:r>
        <w:rPr>
          <w:rStyle w:val="FootnoteReference"/>
        </w:rPr>
        <w:footnoteRef/>
      </w:r>
      <w:r>
        <w:t xml:space="preserve"> See paragraphs 43-50 above.</w:t>
      </w:r>
    </w:p>
  </w:footnote>
  <w:footnote w:id="69">
    <w:p w14:paraId="3663B20A" w14:textId="77777777" w:rsidR="00225B8B" w:rsidRPr="005C1CA7" w:rsidRDefault="00225B8B" w:rsidP="00A85020">
      <w:pPr>
        <w:pStyle w:val="FootnoteText"/>
        <w:spacing w:before="60" w:after="60"/>
        <w:jc w:val="both"/>
        <w:rPr>
          <w:b/>
          <w:bCs/>
        </w:rPr>
      </w:pPr>
      <w:r>
        <w:rPr>
          <w:rStyle w:val="FootnoteReference"/>
        </w:rPr>
        <w:footnoteRef/>
      </w:r>
      <w:r>
        <w:t xml:space="preserve"> There are a number of other letters dated 14 September 1948, signed or counter-signed by Moin, giving the address of the Dorchester in London.</w:t>
      </w:r>
    </w:p>
  </w:footnote>
  <w:footnote w:id="70">
    <w:p w14:paraId="29B1E7E6" w14:textId="77777777" w:rsidR="00225B8B" w:rsidRDefault="00225B8B" w:rsidP="00A85020">
      <w:pPr>
        <w:pStyle w:val="FootnoteText"/>
        <w:spacing w:before="60" w:after="60"/>
        <w:jc w:val="both"/>
      </w:pPr>
      <w:r>
        <w:rPr>
          <w:rStyle w:val="FootnoteReference"/>
        </w:rPr>
        <w:footnoteRef/>
      </w:r>
      <w:r>
        <w:t xml:space="preserve"> These are the letters the subject of Civil Evidence Act notices: see paragraph 46 above. They are set out in paragraphs 108-109 below.</w:t>
      </w:r>
    </w:p>
  </w:footnote>
  <w:footnote w:id="71">
    <w:p w14:paraId="291A3A39" w14:textId="77777777" w:rsidR="00225B8B" w:rsidRDefault="00225B8B" w:rsidP="00A85020">
      <w:pPr>
        <w:pStyle w:val="FootnoteText"/>
        <w:spacing w:before="60" w:after="60"/>
        <w:jc w:val="both"/>
      </w:pPr>
      <w:r>
        <w:rPr>
          <w:rStyle w:val="FootnoteReference"/>
        </w:rPr>
        <w:footnoteRef/>
      </w:r>
      <w:r>
        <w:t xml:space="preserve"> See paragraph 79 above.</w:t>
      </w:r>
    </w:p>
  </w:footnote>
  <w:footnote w:id="72">
    <w:p w14:paraId="6E38641C" w14:textId="77777777" w:rsidR="00225B8B" w:rsidRDefault="00225B8B" w:rsidP="00A85020">
      <w:pPr>
        <w:pStyle w:val="FootnoteText"/>
        <w:spacing w:before="60" w:after="60"/>
        <w:jc w:val="both"/>
      </w:pPr>
      <w:r>
        <w:rPr>
          <w:rStyle w:val="FootnoteReference"/>
        </w:rPr>
        <w:footnoteRef/>
      </w:r>
      <w:r>
        <w:t xml:space="preserve"> This is evident from the Bank’s letter to Moin dated 20 September 1948 (quoted in paragraph 116 below), which refers to the letter being “handed to us today by Mr Khan”.</w:t>
      </w:r>
    </w:p>
  </w:footnote>
  <w:footnote w:id="73">
    <w:p w14:paraId="04658A59" w14:textId="77777777" w:rsidR="00225B8B" w:rsidRPr="0004033D" w:rsidRDefault="00225B8B" w:rsidP="00A85020">
      <w:pPr>
        <w:pStyle w:val="FootnoteText"/>
        <w:spacing w:before="60" w:after="60"/>
        <w:jc w:val="both"/>
        <w:rPr>
          <w:b/>
          <w:bCs/>
        </w:rPr>
      </w:pPr>
      <w:r>
        <w:rPr>
          <w:rStyle w:val="FootnoteReference"/>
        </w:rPr>
        <w:footnoteRef/>
      </w:r>
      <w:r>
        <w:t xml:space="preserve"> This wording was also used in a letter between Bank officers dated 1 January 1951 (though evidently, from its content, written on 1 January 1952).</w:t>
      </w:r>
    </w:p>
  </w:footnote>
  <w:footnote w:id="74">
    <w:p w14:paraId="46793BB1" w14:textId="77777777" w:rsidR="00225B8B" w:rsidRDefault="00225B8B" w:rsidP="00A85020">
      <w:pPr>
        <w:pStyle w:val="FootnoteText"/>
        <w:spacing w:before="60" w:after="60"/>
        <w:jc w:val="both"/>
      </w:pPr>
      <w:r>
        <w:rPr>
          <w:rStyle w:val="FootnoteReference"/>
        </w:rPr>
        <w:footnoteRef/>
      </w:r>
      <w:r>
        <w:t xml:space="preserve"> For perfectly understandable reasons, which I describe below, Mr Qureshi, QC was unable to mount a full-fronted attack on these letters. His submission was never, therefore, that I was obliged to ignore the letters because, e.g. they were forgeries and so not material evidence at all. Mr Qureshi, QC made clear throughout his submissions that, bearing his professional obligations in mind, he could not properly make so extreme a point. As a result, he was obliged to pull his punches and his contention was as I have described. </w:t>
      </w:r>
    </w:p>
  </w:footnote>
  <w:footnote w:id="75">
    <w:p w14:paraId="33F3DA74" w14:textId="77777777" w:rsidR="00225B8B" w:rsidRDefault="00225B8B" w:rsidP="00A85020">
      <w:pPr>
        <w:pStyle w:val="FootnoteText"/>
        <w:spacing w:before="60" w:after="60"/>
        <w:jc w:val="both"/>
      </w:pPr>
      <w:r>
        <w:rPr>
          <w:rStyle w:val="FootnoteReference"/>
        </w:rPr>
        <w:footnoteRef/>
      </w:r>
      <w:r>
        <w:t xml:space="preserve"> Transcript Day 7/p.1 (submissions of Mr Otty, QC).</w:t>
      </w:r>
    </w:p>
  </w:footnote>
  <w:footnote w:id="76">
    <w:p w14:paraId="2D107639" w14:textId="77777777" w:rsidR="00225B8B" w:rsidRDefault="00225B8B" w:rsidP="00A85020">
      <w:pPr>
        <w:pStyle w:val="FootnoteText"/>
        <w:spacing w:before="60" w:after="60"/>
        <w:jc w:val="both"/>
      </w:pPr>
      <w:r>
        <w:rPr>
          <w:rStyle w:val="FootnoteReference"/>
        </w:rPr>
        <w:footnoteRef/>
      </w:r>
      <w:r>
        <w:t xml:space="preserve"> Thus paragraph 3 of Rahimtoola 1 (quoted in paragraph 111 above) dates the agreement to effect the Transfer by reference to the letter to the Bank of 16 September 1948.</w:t>
      </w:r>
    </w:p>
  </w:footnote>
  <w:footnote w:id="77">
    <w:p w14:paraId="6B9439A1" w14:textId="77777777" w:rsidR="00225B8B" w:rsidRDefault="00225B8B" w:rsidP="00A85020">
      <w:pPr>
        <w:pStyle w:val="FootnoteText"/>
        <w:spacing w:before="60" w:after="60"/>
        <w:jc w:val="both"/>
      </w:pPr>
      <w:r>
        <w:rPr>
          <w:rStyle w:val="FootnoteReference"/>
        </w:rPr>
        <w:footnoteRef/>
      </w:r>
      <w:r>
        <w:t xml:space="preserve"> Paragraph 3 of Rahimtoola 1 (quoted in paragraph 111 above) notes that the Bank received the letter on 20 September 1948 – a fact that can only been known from the correspondence.</w:t>
      </w:r>
    </w:p>
  </w:footnote>
  <w:footnote w:id="78">
    <w:p w14:paraId="3073B5EC" w14:textId="77777777" w:rsidR="00225B8B" w:rsidRDefault="00225B8B" w:rsidP="00A85020">
      <w:pPr>
        <w:pStyle w:val="FootnoteText"/>
        <w:spacing w:before="60" w:after="60"/>
        <w:jc w:val="both"/>
      </w:pPr>
      <w:r>
        <w:rPr>
          <w:rStyle w:val="FootnoteReference"/>
        </w:rPr>
        <w:footnoteRef/>
      </w:r>
      <w:r>
        <w:t xml:space="preserve"> In paragraph 4 of Rahimtoola 2 (quoted in paragraph 112 above), Rahimtoola expresses uncertainty as to whether he dealt with Moin or Mir, although he was certain it was one or other of them.</w:t>
      </w:r>
    </w:p>
  </w:footnote>
  <w:footnote w:id="79">
    <w:p w14:paraId="6216EFE1" w14:textId="77777777" w:rsidR="00225B8B" w:rsidRDefault="00225B8B" w:rsidP="00A85020">
      <w:pPr>
        <w:pStyle w:val="FootnoteText"/>
        <w:spacing w:before="60" w:after="60"/>
        <w:jc w:val="both"/>
      </w:pPr>
      <w:r>
        <w:rPr>
          <w:rStyle w:val="FootnoteReference"/>
        </w:rPr>
        <w:footnoteRef/>
      </w:r>
      <w:r>
        <w:t xml:space="preserve"> Thus, in the 1954 Proceedings [1958] AC 379 at 394-395, Lord Simonds noted: “Much stress has been laid on the fact that [Pakistan] has not asserted a beneficial interest in the fund. But why should it? It is not concerned to admit, assert or deny. It has the legal title, which cannot be displaced except by litigation, which it is entitled to decline…”. In argument before Upjohn J [1957] Ch 185 at 198-199, Pakistan’s counsel (Mr McKenna, QC) responded to the question as to what beneficial claim, if any, Pakistan made to the Fund as follows: “The Government’s attitude is that the court has no jurisdiction on this motion to inquire into the terms of this transfer.” Mr McKenna, QC made absolutely clear that Pakistan’s case rested on the legal title alone.  </w:t>
      </w:r>
    </w:p>
  </w:footnote>
  <w:footnote w:id="80">
    <w:p w14:paraId="24FD8014" w14:textId="77777777" w:rsidR="00225B8B" w:rsidRDefault="00225B8B" w:rsidP="00A85020">
      <w:pPr>
        <w:pStyle w:val="FootnoteText"/>
        <w:spacing w:before="60" w:after="60"/>
        <w:jc w:val="both"/>
      </w:pPr>
      <w:r>
        <w:rPr>
          <w:rStyle w:val="FootnoteReference"/>
        </w:rPr>
        <w:footnoteRef/>
      </w:r>
      <w:r>
        <w:t xml:space="preserve"> See, for example, the letter quoted at paragraph 47 above.</w:t>
      </w:r>
    </w:p>
  </w:footnote>
  <w:footnote w:id="81">
    <w:p w14:paraId="2C2743FA" w14:textId="77777777" w:rsidR="00225B8B" w:rsidRDefault="00225B8B">
      <w:pPr>
        <w:pStyle w:val="FootnoteText"/>
      </w:pPr>
      <w:r>
        <w:rPr>
          <w:rStyle w:val="FootnoteReference"/>
        </w:rPr>
        <w:footnoteRef/>
      </w:r>
      <w:r>
        <w:t xml:space="preserve"> The letters are dated 15 September 1948. Moin flew out to Paris on that date (see paragraph 107 above) and given the meetings he was arranging on that date, this is likely to have been an early flight. Whilst Moin appears to have been back in London on 16 September 1948 (see paragraph 113 above), it is not known precisely when he returned (see paragraph 113 above).</w:t>
      </w:r>
    </w:p>
  </w:footnote>
  <w:footnote w:id="82">
    <w:p w14:paraId="796796F2" w14:textId="77777777" w:rsidR="00225B8B" w:rsidRDefault="00225B8B">
      <w:pPr>
        <w:pStyle w:val="FootnoteText"/>
      </w:pPr>
      <w:r>
        <w:rPr>
          <w:rStyle w:val="FootnoteReference"/>
        </w:rPr>
        <w:footnoteRef/>
      </w:r>
      <w:r>
        <w:t xml:space="preserve"> This is the letter at paragraph 108 above.</w:t>
      </w:r>
    </w:p>
  </w:footnote>
  <w:footnote w:id="83">
    <w:p w14:paraId="1616CCE9" w14:textId="77777777" w:rsidR="00225B8B" w:rsidRPr="00377A0E" w:rsidRDefault="00225B8B" w:rsidP="00A85020">
      <w:pPr>
        <w:pStyle w:val="FootnoteText"/>
        <w:spacing w:before="60" w:after="60"/>
        <w:jc w:val="both"/>
      </w:pPr>
      <w:r>
        <w:rPr>
          <w:rStyle w:val="FootnoteReference"/>
        </w:rPr>
        <w:footnoteRef/>
      </w:r>
      <w:r>
        <w:t xml:space="preserve"> Transcript Day 3/pp.85</w:t>
      </w:r>
      <w:r>
        <w:rPr>
          <w:i/>
          <w:iCs/>
        </w:rPr>
        <w:t>ff</w:t>
      </w:r>
      <w:r>
        <w:t xml:space="preserve"> (submissions of Mr Qureshi, QC).</w:t>
      </w:r>
    </w:p>
  </w:footnote>
  <w:footnote w:id="84">
    <w:p w14:paraId="03BFB807" w14:textId="77777777" w:rsidR="00225B8B" w:rsidRPr="008C1086" w:rsidRDefault="00225B8B" w:rsidP="00A85020">
      <w:pPr>
        <w:pStyle w:val="FootnoteText"/>
        <w:spacing w:before="60" w:after="60"/>
        <w:jc w:val="both"/>
      </w:pPr>
      <w:r>
        <w:rPr>
          <w:rStyle w:val="FootnoteReference"/>
        </w:rPr>
        <w:footnoteRef/>
      </w:r>
      <w:r>
        <w:t xml:space="preserve"> Transcript Day 3/pp.90</w:t>
      </w:r>
      <w:r>
        <w:rPr>
          <w:i/>
          <w:iCs/>
        </w:rPr>
        <w:t>ff</w:t>
      </w:r>
      <w:r>
        <w:t>.</w:t>
      </w:r>
    </w:p>
  </w:footnote>
  <w:footnote w:id="85">
    <w:p w14:paraId="6D038C8D" w14:textId="77777777" w:rsidR="00225B8B" w:rsidRDefault="00225B8B" w:rsidP="00A85020">
      <w:pPr>
        <w:pStyle w:val="FootnoteText"/>
        <w:spacing w:before="60" w:after="60"/>
        <w:jc w:val="both"/>
      </w:pPr>
      <w:r>
        <w:rPr>
          <w:rStyle w:val="FootnoteReference"/>
        </w:rPr>
        <w:footnoteRef/>
      </w:r>
      <w:r>
        <w:t xml:space="preserve"> Transcript Day 3/pp.91-92.</w:t>
      </w:r>
    </w:p>
  </w:footnote>
  <w:footnote w:id="86">
    <w:p w14:paraId="3C33FD47" w14:textId="77777777" w:rsidR="00225B8B" w:rsidRDefault="00225B8B" w:rsidP="00A85020">
      <w:pPr>
        <w:pStyle w:val="FootnoteText"/>
        <w:spacing w:before="60" w:after="60"/>
        <w:jc w:val="both"/>
      </w:pPr>
      <w:r>
        <w:rPr>
          <w:rStyle w:val="FootnoteReference"/>
        </w:rPr>
        <w:footnoteRef/>
      </w:r>
      <w:r>
        <w:t xml:space="preserve"> By an application notice dated 17 June 2019.</w:t>
      </w:r>
    </w:p>
  </w:footnote>
  <w:footnote w:id="87">
    <w:p w14:paraId="3188509B" w14:textId="77777777" w:rsidR="00225B8B" w:rsidRDefault="00225B8B">
      <w:pPr>
        <w:pStyle w:val="FootnoteText"/>
      </w:pPr>
      <w:r>
        <w:rPr>
          <w:rStyle w:val="FootnoteReference"/>
        </w:rPr>
        <w:footnoteRef/>
      </w:r>
      <w:r>
        <w:t xml:space="preserve"> See the description at paragraphs 45-50 above.</w:t>
      </w:r>
    </w:p>
  </w:footnote>
  <w:footnote w:id="88">
    <w:p w14:paraId="55890C8B" w14:textId="77777777" w:rsidR="00225B8B" w:rsidRDefault="00225B8B" w:rsidP="00A85020">
      <w:pPr>
        <w:pStyle w:val="FootnoteText"/>
        <w:spacing w:before="60" w:after="60"/>
        <w:jc w:val="both"/>
      </w:pPr>
      <w:r>
        <w:rPr>
          <w:rStyle w:val="FootnoteReference"/>
        </w:rPr>
        <w:footnoteRef/>
      </w:r>
      <w:r>
        <w:t xml:space="preserve"> Transcript Day 5/p.210.</w:t>
      </w:r>
    </w:p>
  </w:footnote>
  <w:footnote w:id="89">
    <w:p w14:paraId="05B32038" w14:textId="77777777" w:rsidR="00225B8B" w:rsidRDefault="00225B8B">
      <w:pPr>
        <w:pStyle w:val="FootnoteText"/>
      </w:pPr>
      <w:r>
        <w:rPr>
          <w:rStyle w:val="FootnoteReference"/>
        </w:rPr>
        <w:footnoteRef/>
      </w:r>
      <w:r>
        <w:t xml:space="preserve"> See paragraph 10 of Fordham 7.</w:t>
      </w:r>
    </w:p>
  </w:footnote>
  <w:footnote w:id="90">
    <w:p w14:paraId="43E7B127" w14:textId="77777777" w:rsidR="00225B8B" w:rsidRDefault="00225B8B" w:rsidP="00A85020">
      <w:pPr>
        <w:pStyle w:val="FootnoteText"/>
        <w:spacing w:before="60" w:after="60"/>
        <w:jc w:val="both"/>
      </w:pPr>
      <w:r>
        <w:rPr>
          <w:rStyle w:val="FootnoteReference"/>
        </w:rPr>
        <w:footnoteRef/>
      </w:r>
      <w:r>
        <w:t xml:space="preserve"> See paragraph 115 above.</w:t>
      </w:r>
    </w:p>
  </w:footnote>
  <w:footnote w:id="91">
    <w:p w14:paraId="2A83F079" w14:textId="77777777" w:rsidR="00225B8B" w:rsidRDefault="00225B8B" w:rsidP="00A85020">
      <w:pPr>
        <w:pStyle w:val="FootnoteText"/>
        <w:spacing w:before="60" w:after="60"/>
        <w:jc w:val="both"/>
      </w:pPr>
      <w:r>
        <w:rPr>
          <w:rStyle w:val="FootnoteReference"/>
        </w:rPr>
        <w:footnoteRef/>
      </w:r>
      <w:r>
        <w:t xml:space="preserve"> See paragraph 77 above.</w:t>
      </w:r>
    </w:p>
  </w:footnote>
  <w:footnote w:id="92">
    <w:p w14:paraId="22AD1A7D" w14:textId="77777777" w:rsidR="00225B8B" w:rsidRDefault="00225B8B" w:rsidP="00A85020">
      <w:pPr>
        <w:pStyle w:val="FootnoteText"/>
        <w:spacing w:before="60" w:after="60"/>
        <w:jc w:val="both"/>
      </w:pPr>
      <w:r>
        <w:rPr>
          <w:rStyle w:val="FootnoteReference"/>
        </w:rPr>
        <w:footnoteRef/>
      </w:r>
      <w:r>
        <w:t xml:space="preserve"> See paragraph 79 above.</w:t>
      </w:r>
    </w:p>
  </w:footnote>
  <w:footnote w:id="93">
    <w:p w14:paraId="65DE00A7" w14:textId="77777777" w:rsidR="00225B8B" w:rsidRDefault="00225B8B" w:rsidP="00A85020">
      <w:pPr>
        <w:pStyle w:val="FootnoteText"/>
        <w:spacing w:before="60" w:after="60"/>
        <w:jc w:val="both"/>
      </w:pPr>
      <w:r>
        <w:rPr>
          <w:rStyle w:val="FootnoteReference"/>
        </w:rPr>
        <w:footnoteRef/>
      </w:r>
      <w:r>
        <w:t xml:space="preserve"> See paragraph 77 above.</w:t>
      </w:r>
    </w:p>
  </w:footnote>
  <w:footnote w:id="94">
    <w:p w14:paraId="10CBFF4E" w14:textId="77777777" w:rsidR="00225B8B" w:rsidRDefault="00225B8B" w:rsidP="00A85020">
      <w:pPr>
        <w:pStyle w:val="FootnoteText"/>
        <w:spacing w:before="60" w:after="60"/>
        <w:jc w:val="both"/>
      </w:pPr>
      <w:r>
        <w:rPr>
          <w:rStyle w:val="FootnoteReference"/>
        </w:rPr>
        <w:footnoteRef/>
      </w:r>
      <w:r>
        <w:t xml:space="preserve"> See paragraphs 43-50 above.</w:t>
      </w:r>
    </w:p>
  </w:footnote>
  <w:footnote w:id="95">
    <w:p w14:paraId="7D0E17BE" w14:textId="77777777" w:rsidR="00225B8B" w:rsidRDefault="00225B8B" w:rsidP="00A85020">
      <w:pPr>
        <w:pStyle w:val="FootnoteText"/>
        <w:spacing w:before="60" w:after="60"/>
        <w:jc w:val="both"/>
      </w:pPr>
      <w:r>
        <w:rPr>
          <w:rStyle w:val="FootnoteReference"/>
        </w:rPr>
        <w:footnoteRef/>
      </w:r>
      <w:r>
        <w:t xml:space="preserve"> See paragraph 113 above.</w:t>
      </w:r>
    </w:p>
  </w:footnote>
  <w:footnote w:id="96">
    <w:p w14:paraId="20B1CE02" w14:textId="77777777" w:rsidR="00225B8B" w:rsidRDefault="00225B8B" w:rsidP="00A85020">
      <w:pPr>
        <w:pStyle w:val="FootnoteText"/>
        <w:spacing w:before="60" w:after="60"/>
        <w:jc w:val="both"/>
      </w:pPr>
      <w:r>
        <w:rPr>
          <w:rStyle w:val="FootnoteReference"/>
        </w:rPr>
        <w:footnoteRef/>
      </w:r>
      <w:r>
        <w:t xml:space="preserve"> Although Rahimtoola was unsure whether he was approached by Mir or Moin, he said it was one of these two: see paragraph 112 above, which sets out the relevant parts of Rahimtoola’s evidence.</w:t>
      </w:r>
    </w:p>
  </w:footnote>
  <w:footnote w:id="97">
    <w:p w14:paraId="6038F179" w14:textId="77777777" w:rsidR="00225B8B" w:rsidRDefault="00225B8B" w:rsidP="00A85020">
      <w:pPr>
        <w:pStyle w:val="FootnoteText"/>
        <w:spacing w:before="60" w:after="60"/>
        <w:jc w:val="both"/>
      </w:pPr>
      <w:r>
        <w:rPr>
          <w:rStyle w:val="FootnoteReference"/>
        </w:rPr>
        <w:footnoteRef/>
      </w:r>
      <w:r>
        <w:t xml:space="preserve"> See paragraph 3 of Rahimtoola 2, quoted in paragraph 112 above. India referred me to at least one occasion prior to this when Rahimtoola had dealt with Moin. More significantly, Rahimtoola was clearly involved, prior to the establishment of the Rahimtoola Account, in transactions taking place on the Second Account. Rahimtoola initiated Transaction 3 in Annex 3: see paragraph 211(2)(a) below. Although Transaction 3 did not on the face of it involve Moin but Mir, what is significant is that Rahimtoola was involved in the affairs of Hyderabad before September 1948.</w:t>
      </w:r>
    </w:p>
  </w:footnote>
  <w:footnote w:id="98">
    <w:p w14:paraId="0394AB7E" w14:textId="77777777" w:rsidR="00225B8B" w:rsidRDefault="00225B8B" w:rsidP="00A85020">
      <w:pPr>
        <w:pStyle w:val="FootnoteText"/>
        <w:spacing w:before="60" w:after="60"/>
        <w:jc w:val="both"/>
      </w:pPr>
      <w:r>
        <w:rPr>
          <w:rStyle w:val="FootnoteReference"/>
        </w:rPr>
        <w:footnoteRef/>
      </w:r>
      <w:r>
        <w:t xml:space="preserve"> See paragraph 99 above.</w:t>
      </w:r>
    </w:p>
  </w:footnote>
  <w:footnote w:id="99">
    <w:p w14:paraId="7983AFE6" w14:textId="77777777" w:rsidR="00225B8B" w:rsidRDefault="00225B8B" w:rsidP="00751778">
      <w:pPr>
        <w:pStyle w:val="FootnoteText"/>
        <w:jc w:val="both"/>
      </w:pPr>
      <w:r>
        <w:rPr>
          <w:rStyle w:val="FootnoteReference"/>
        </w:rPr>
        <w:footnoteRef/>
      </w:r>
      <w:r>
        <w:t xml:space="preserve"> Rahimtoola is unclear as to the precise date of the meeting, but it would have been around 15 September 1948, although (given Moin’s travels) probably not actually on that date.</w:t>
      </w:r>
    </w:p>
  </w:footnote>
  <w:footnote w:id="100">
    <w:p w14:paraId="4C00146C" w14:textId="77777777" w:rsidR="00225B8B" w:rsidRDefault="00225B8B" w:rsidP="00A85020">
      <w:pPr>
        <w:pStyle w:val="FootnoteText"/>
        <w:spacing w:before="60" w:after="60"/>
        <w:jc w:val="both"/>
      </w:pPr>
      <w:r>
        <w:rPr>
          <w:rStyle w:val="FootnoteReference"/>
        </w:rPr>
        <w:footnoteRef/>
      </w:r>
      <w:r>
        <w:t xml:space="preserve"> See paragraph 49(2) above.</w:t>
      </w:r>
    </w:p>
  </w:footnote>
  <w:footnote w:id="101">
    <w:p w14:paraId="3A1C5577" w14:textId="77777777" w:rsidR="00225B8B" w:rsidRDefault="00225B8B" w:rsidP="00A85020">
      <w:pPr>
        <w:pStyle w:val="FootnoteText"/>
        <w:spacing w:before="60" w:after="60"/>
        <w:jc w:val="both"/>
      </w:pPr>
      <w:r>
        <w:rPr>
          <w:rStyle w:val="FootnoteReference"/>
        </w:rPr>
        <w:footnoteRef/>
      </w:r>
      <w:r>
        <w:t xml:space="preserve"> See paragraph 95 above.</w:t>
      </w:r>
    </w:p>
  </w:footnote>
  <w:footnote w:id="102">
    <w:p w14:paraId="6C079516" w14:textId="77777777" w:rsidR="00225B8B" w:rsidRDefault="00225B8B" w:rsidP="00A85020">
      <w:pPr>
        <w:pStyle w:val="FootnoteText"/>
        <w:spacing w:before="60" w:after="60"/>
        <w:jc w:val="both"/>
      </w:pPr>
      <w:r>
        <w:rPr>
          <w:rStyle w:val="FootnoteReference"/>
        </w:rPr>
        <w:footnoteRef/>
      </w:r>
      <w:r>
        <w:t xml:space="preserve"> Again, this is the letter at paragraph 95 above.</w:t>
      </w:r>
    </w:p>
  </w:footnote>
  <w:footnote w:id="103">
    <w:p w14:paraId="79EF6B8B" w14:textId="77777777" w:rsidR="00225B8B" w:rsidRPr="0082426E" w:rsidRDefault="00225B8B" w:rsidP="00A85020">
      <w:pPr>
        <w:pStyle w:val="FootnoteText"/>
        <w:spacing w:before="60" w:after="60"/>
        <w:jc w:val="both"/>
      </w:pPr>
      <w:r>
        <w:rPr>
          <w:rStyle w:val="FootnoteReference"/>
        </w:rPr>
        <w:footnoteRef/>
      </w:r>
      <w:r>
        <w:t xml:space="preserve"> E.g. on 11 October 1948; 18 November 1948; 1 December 1948.</w:t>
      </w:r>
    </w:p>
  </w:footnote>
  <w:footnote w:id="104">
    <w:p w14:paraId="70FDABC1" w14:textId="77777777" w:rsidR="00225B8B" w:rsidRPr="00F10B72" w:rsidRDefault="00225B8B" w:rsidP="00A85020">
      <w:pPr>
        <w:pStyle w:val="FootnoteText"/>
        <w:spacing w:before="60" w:after="60"/>
        <w:jc w:val="both"/>
      </w:pPr>
      <w:r>
        <w:rPr>
          <w:rStyle w:val="FootnoteReference"/>
        </w:rPr>
        <w:footnoteRef/>
      </w:r>
      <w:r>
        <w:t xml:space="preserve"> Subsequently, Nizam VII appointed his financial advisor Mr Taraporvala as his attorney.</w:t>
      </w:r>
    </w:p>
  </w:footnote>
  <w:footnote w:id="105">
    <w:p w14:paraId="4EB2F97B" w14:textId="77777777" w:rsidR="00225B8B" w:rsidRDefault="00225B8B" w:rsidP="00A85020">
      <w:pPr>
        <w:pStyle w:val="FootnoteText"/>
        <w:spacing w:before="60" w:after="60"/>
        <w:jc w:val="both"/>
      </w:pPr>
      <w:r>
        <w:rPr>
          <w:rStyle w:val="FootnoteReference"/>
        </w:rPr>
        <w:footnoteRef/>
      </w:r>
      <w:r>
        <w:t xml:space="preserve"> See paragraph 137 above.</w:t>
      </w:r>
    </w:p>
  </w:footnote>
  <w:footnote w:id="106">
    <w:p w14:paraId="4319D2F4" w14:textId="77777777" w:rsidR="00225B8B" w:rsidRPr="00E42DDA" w:rsidRDefault="00225B8B" w:rsidP="00A85020">
      <w:pPr>
        <w:pStyle w:val="FootnoteText"/>
        <w:spacing w:before="60" w:after="60"/>
        <w:jc w:val="both"/>
      </w:pPr>
      <w:r>
        <w:rPr>
          <w:rStyle w:val="FootnoteReference"/>
        </w:rPr>
        <w:footnoteRef/>
      </w:r>
      <w:r>
        <w:t xml:space="preserve"> See the Bank’s communications dated 1 January 1952 and 2 January 1952.</w:t>
      </w:r>
    </w:p>
  </w:footnote>
  <w:footnote w:id="107">
    <w:p w14:paraId="50BEAA5D" w14:textId="77777777" w:rsidR="00225B8B" w:rsidRDefault="00225B8B" w:rsidP="00A85020">
      <w:pPr>
        <w:pStyle w:val="FootnoteText"/>
        <w:spacing w:before="60" w:after="60"/>
        <w:jc w:val="both"/>
      </w:pPr>
      <w:r>
        <w:rPr>
          <w:rStyle w:val="FootnoteReference"/>
        </w:rPr>
        <w:footnoteRef/>
      </w:r>
      <w:r>
        <w:t xml:space="preserve"> Rahimtoola was also formally directed by Pakistan to send the letter.</w:t>
      </w:r>
    </w:p>
  </w:footnote>
  <w:footnote w:id="108">
    <w:p w14:paraId="3D9A95D1" w14:textId="77777777" w:rsidR="00225B8B" w:rsidRDefault="00225B8B" w:rsidP="00A85020">
      <w:pPr>
        <w:pStyle w:val="FootnoteText"/>
        <w:spacing w:before="60" w:after="60"/>
        <w:jc w:val="both"/>
      </w:pPr>
      <w:r>
        <w:rPr>
          <w:rStyle w:val="FootnoteReference"/>
        </w:rPr>
        <w:footnoteRef/>
      </w:r>
      <w:r>
        <w:t xml:space="preserve"> Set out in paragraph 152 above.</w:t>
      </w:r>
    </w:p>
  </w:footnote>
  <w:footnote w:id="109">
    <w:p w14:paraId="6E723935" w14:textId="77777777" w:rsidR="00225B8B" w:rsidRDefault="00225B8B" w:rsidP="00A85020">
      <w:pPr>
        <w:pStyle w:val="FootnoteText"/>
        <w:spacing w:before="60" w:after="60"/>
        <w:jc w:val="both"/>
      </w:pPr>
      <w:r>
        <w:rPr>
          <w:rStyle w:val="FootnoteReference"/>
        </w:rPr>
        <w:footnoteRef/>
      </w:r>
      <w:r>
        <w:t xml:space="preserve"> See paragraph 124 above.</w:t>
      </w:r>
    </w:p>
  </w:footnote>
  <w:footnote w:id="110">
    <w:p w14:paraId="2F098EA1" w14:textId="77777777" w:rsidR="00225B8B" w:rsidRDefault="00225B8B" w:rsidP="00A85020">
      <w:pPr>
        <w:pStyle w:val="FootnoteText"/>
        <w:spacing w:before="60" w:after="60"/>
        <w:jc w:val="both"/>
      </w:pPr>
      <w:r>
        <w:rPr>
          <w:rStyle w:val="FootnoteReference"/>
        </w:rPr>
        <w:footnoteRef/>
      </w:r>
      <w:r>
        <w:t xml:space="preserve"> Reported at [1957] 1 Ch 185.</w:t>
      </w:r>
    </w:p>
  </w:footnote>
  <w:footnote w:id="111">
    <w:p w14:paraId="1CB19161" w14:textId="77777777" w:rsidR="00225B8B" w:rsidRDefault="00225B8B" w:rsidP="00A85020">
      <w:pPr>
        <w:pStyle w:val="FootnoteText"/>
        <w:spacing w:before="60" w:after="60"/>
        <w:jc w:val="both"/>
      </w:pPr>
      <w:r>
        <w:rPr>
          <w:rStyle w:val="FootnoteReference"/>
        </w:rPr>
        <w:footnoteRef/>
      </w:r>
      <w:r>
        <w:t xml:space="preserve"> Reported at [1957] Ch 185.</w:t>
      </w:r>
    </w:p>
  </w:footnote>
  <w:footnote w:id="112">
    <w:p w14:paraId="6322F660" w14:textId="77777777" w:rsidR="00225B8B" w:rsidRDefault="00225B8B" w:rsidP="00A85020">
      <w:pPr>
        <w:pStyle w:val="FootnoteText"/>
        <w:spacing w:before="60" w:after="60"/>
        <w:jc w:val="both"/>
      </w:pPr>
      <w:r>
        <w:rPr>
          <w:rStyle w:val="FootnoteReference"/>
        </w:rPr>
        <w:footnoteRef/>
      </w:r>
      <w:r>
        <w:t xml:space="preserve"> Reported at [1958] AC 379.</w:t>
      </w:r>
    </w:p>
  </w:footnote>
  <w:footnote w:id="113">
    <w:p w14:paraId="4F52AD4C" w14:textId="77777777" w:rsidR="00225B8B" w:rsidRDefault="00225B8B" w:rsidP="00A85020">
      <w:pPr>
        <w:pStyle w:val="FootnoteText"/>
        <w:spacing w:before="60" w:after="60"/>
        <w:jc w:val="both"/>
      </w:pPr>
      <w:r>
        <w:rPr>
          <w:rStyle w:val="FootnoteReference"/>
        </w:rPr>
        <w:footnoteRef/>
      </w:r>
      <w:r>
        <w:t xml:space="preserve"> See paragraph 124 above.</w:t>
      </w:r>
    </w:p>
  </w:footnote>
  <w:footnote w:id="114">
    <w:p w14:paraId="31CF1015" w14:textId="77777777" w:rsidR="00225B8B" w:rsidRDefault="00225B8B" w:rsidP="00A85020">
      <w:pPr>
        <w:pStyle w:val="FootnoteText"/>
        <w:spacing w:before="60" w:after="60"/>
        <w:jc w:val="both"/>
      </w:pPr>
      <w:r>
        <w:rPr>
          <w:rStyle w:val="FootnoteReference"/>
        </w:rPr>
        <w:footnoteRef/>
      </w:r>
      <w:r>
        <w:t xml:space="preserve"> See paragraph 156 above.</w:t>
      </w:r>
    </w:p>
  </w:footnote>
  <w:footnote w:id="115">
    <w:p w14:paraId="6FA8B670" w14:textId="77777777" w:rsidR="00225B8B" w:rsidRDefault="00225B8B" w:rsidP="00A85020">
      <w:pPr>
        <w:pStyle w:val="FootnoteText"/>
        <w:spacing w:before="60" w:after="60"/>
        <w:jc w:val="both"/>
      </w:pPr>
      <w:r>
        <w:rPr>
          <w:rStyle w:val="FootnoteReference"/>
        </w:rPr>
        <w:footnoteRef/>
      </w:r>
      <w:r>
        <w:t xml:space="preserve"> See paragraph 159 above.</w:t>
      </w:r>
    </w:p>
  </w:footnote>
  <w:footnote w:id="116">
    <w:p w14:paraId="366BEB76" w14:textId="77777777" w:rsidR="00225B8B" w:rsidRPr="00D5782F" w:rsidRDefault="00225B8B" w:rsidP="00A85020">
      <w:pPr>
        <w:pStyle w:val="FootnoteText"/>
        <w:spacing w:before="60" w:after="60"/>
        <w:jc w:val="both"/>
      </w:pPr>
      <w:r>
        <w:rPr>
          <w:rStyle w:val="FootnoteReference"/>
        </w:rPr>
        <w:footnoteRef/>
      </w:r>
      <w:r>
        <w:t xml:space="preserve"> See paragraph 5 of the order; and see my judgment on this point at [2018] EWHC 3146 (Ch) at [21] to [30].</w:t>
      </w:r>
    </w:p>
  </w:footnote>
  <w:footnote w:id="117">
    <w:p w14:paraId="6534E29C" w14:textId="77777777" w:rsidR="00225B8B" w:rsidRDefault="00225B8B" w:rsidP="00A85020">
      <w:pPr>
        <w:pStyle w:val="FootnoteText"/>
        <w:spacing w:before="60" w:after="60"/>
        <w:jc w:val="both"/>
      </w:pPr>
      <w:r>
        <w:rPr>
          <w:rStyle w:val="FootnoteReference"/>
        </w:rPr>
        <w:footnoteRef/>
      </w:r>
      <w:r>
        <w:t xml:space="preserve"> See paragraphs 130-134 above.</w:t>
      </w:r>
    </w:p>
  </w:footnote>
  <w:footnote w:id="118">
    <w:p w14:paraId="38E66538" w14:textId="77777777" w:rsidR="00225B8B" w:rsidRPr="00E715D5" w:rsidRDefault="00225B8B" w:rsidP="00A85020">
      <w:pPr>
        <w:pStyle w:val="FootnoteText"/>
        <w:spacing w:before="60" w:after="60"/>
        <w:jc w:val="both"/>
      </w:pPr>
      <w:r>
        <w:rPr>
          <w:rStyle w:val="FootnoteReference"/>
        </w:rPr>
        <w:footnoteRef/>
      </w:r>
      <w:r>
        <w:t xml:space="preserve"> </w:t>
      </w:r>
      <w:r>
        <w:rPr>
          <w:i/>
          <w:iCs/>
        </w:rPr>
        <w:t>Haugesund Kommune v. Depfa ACS Bank</w:t>
      </w:r>
      <w:r>
        <w:t>, [2010] EWCA Civ 579 at [38].</w:t>
      </w:r>
    </w:p>
  </w:footnote>
  <w:footnote w:id="119">
    <w:p w14:paraId="79C5FA6B" w14:textId="77777777" w:rsidR="00225B8B" w:rsidRDefault="00225B8B" w:rsidP="00A85020">
      <w:pPr>
        <w:pStyle w:val="FootnoteText"/>
        <w:spacing w:before="60" w:after="60"/>
        <w:jc w:val="both"/>
      </w:pPr>
      <w:r>
        <w:rPr>
          <w:rStyle w:val="FootnoteReference"/>
        </w:rPr>
        <w:footnoteRef/>
      </w:r>
      <w:r>
        <w:t xml:space="preserve"> [2010] EWCA Civ 579.</w:t>
      </w:r>
    </w:p>
  </w:footnote>
  <w:footnote w:id="120">
    <w:p w14:paraId="3B24DC59" w14:textId="77777777" w:rsidR="00225B8B" w:rsidRDefault="00225B8B" w:rsidP="00A85020">
      <w:pPr>
        <w:pStyle w:val="FootnoteText"/>
        <w:spacing w:before="60" w:after="60"/>
        <w:jc w:val="both"/>
      </w:pPr>
      <w:r>
        <w:rPr>
          <w:rStyle w:val="FootnoteReference"/>
        </w:rPr>
        <w:footnoteRef/>
      </w:r>
      <w:r>
        <w:t xml:space="preserve"> At [47].</w:t>
      </w:r>
    </w:p>
  </w:footnote>
  <w:footnote w:id="121">
    <w:p w14:paraId="10261761" w14:textId="77777777" w:rsidR="00225B8B" w:rsidRDefault="00225B8B" w:rsidP="00A85020">
      <w:pPr>
        <w:pStyle w:val="FootnoteText"/>
        <w:spacing w:before="60" w:after="60"/>
        <w:jc w:val="both"/>
      </w:pPr>
      <w:r>
        <w:rPr>
          <w:rStyle w:val="FootnoteReference"/>
        </w:rPr>
        <w:footnoteRef/>
      </w:r>
      <w:r>
        <w:t xml:space="preserve"> At [27]-[28].</w:t>
      </w:r>
    </w:p>
  </w:footnote>
  <w:footnote w:id="122">
    <w:p w14:paraId="205B9DEF" w14:textId="77777777" w:rsidR="00225B8B" w:rsidRDefault="00225B8B" w:rsidP="00A85020">
      <w:pPr>
        <w:pStyle w:val="FootnoteText"/>
        <w:spacing w:before="60" w:after="60"/>
        <w:jc w:val="both"/>
      </w:pPr>
      <w:r>
        <w:rPr>
          <w:rStyle w:val="FootnoteReference"/>
        </w:rPr>
        <w:footnoteRef/>
      </w:r>
      <w:r>
        <w:t xml:space="preserve"> (1888) 13 App Cas 88 at 108.</w:t>
      </w:r>
    </w:p>
  </w:footnote>
  <w:footnote w:id="123">
    <w:p w14:paraId="75C6AE6A" w14:textId="77777777" w:rsidR="00225B8B" w:rsidRPr="00F40B8C" w:rsidRDefault="00225B8B" w:rsidP="00A85020">
      <w:pPr>
        <w:pStyle w:val="FootnoteText"/>
        <w:spacing w:before="60" w:after="60"/>
        <w:jc w:val="both"/>
      </w:pPr>
      <w:r>
        <w:rPr>
          <w:rStyle w:val="FootnoteReference"/>
        </w:rPr>
        <w:footnoteRef/>
      </w:r>
      <w:r>
        <w:t xml:space="preserve"> Collins (ed), </w:t>
      </w:r>
      <w:r>
        <w:rPr>
          <w:i/>
          <w:iCs/>
        </w:rPr>
        <w:t>Dicey, Morris &amp; Collins: The Conflict of Laws</w:t>
      </w:r>
      <w:r>
        <w:t>, 15</w:t>
      </w:r>
      <w:r w:rsidRPr="003D5459">
        <w:rPr>
          <w:vertAlign w:val="superscript"/>
        </w:rPr>
        <w:t>th</w:t>
      </w:r>
      <w:r>
        <w:t xml:space="preserve"> ed (2012) (</w:t>
      </w:r>
      <w:r>
        <w:rPr>
          <w:b/>
          <w:bCs/>
          <w:i/>
          <w:iCs/>
        </w:rPr>
        <w:t>Dicey &amp; Morris</w:t>
      </w:r>
      <w:r>
        <w:t>) at [32-172].</w:t>
      </w:r>
    </w:p>
  </w:footnote>
  <w:footnote w:id="124">
    <w:p w14:paraId="621E1B7B" w14:textId="77777777" w:rsidR="00225B8B" w:rsidRDefault="00225B8B" w:rsidP="00A85020">
      <w:pPr>
        <w:pStyle w:val="FootnoteText"/>
        <w:spacing w:before="60" w:after="60"/>
        <w:jc w:val="both"/>
      </w:pPr>
      <w:r>
        <w:rPr>
          <w:rStyle w:val="FootnoteReference"/>
        </w:rPr>
        <w:footnoteRef/>
      </w:r>
      <w:r>
        <w:t xml:space="preserve"> </w:t>
      </w:r>
      <w:r w:rsidRPr="00360B48">
        <w:rPr>
          <w:i/>
          <w:iCs/>
        </w:rPr>
        <w:t>Dicey &amp; Morris</w:t>
      </w:r>
      <w:r>
        <w:t xml:space="preserve"> at [33-410].</w:t>
      </w:r>
    </w:p>
  </w:footnote>
  <w:footnote w:id="125">
    <w:p w14:paraId="38112B01" w14:textId="77777777" w:rsidR="00225B8B" w:rsidRPr="00360B48" w:rsidRDefault="00225B8B" w:rsidP="00A85020">
      <w:pPr>
        <w:pStyle w:val="FootnoteText"/>
        <w:spacing w:before="60" w:after="60"/>
        <w:jc w:val="both"/>
      </w:pPr>
      <w:r>
        <w:rPr>
          <w:rStyle w:val="FootnoteReference"/>
        </w:rPr>
        <w:footnoteRef/>
      </w:r>
      <w:r>
        <w:t xml:space="preserve"> </w:t>
      </w:r>
      <w:r>
        <w:rPr>
          <w:i/>
          <w:iCs/>
        </w:rPr>
        <w:t xml:space="preserve">Dicey &amp; Morris </w:t>
      </w:r>
      <w:r>
        <w:t>at [25R-001].</w:t>
      </w:r>
    </w:p>
  </w:footnote>
  <w:footnote w:id="126">
    <w:p w14:paraId="05AB9FBB" w14:textId="77777777" w:rsidR="00225B8B" w:rsidRPr="0082297B" w:rsidRDefault="00225B8B" w:rsidP="00A85020">
      <w:pPr>
        <w:pStyle w:val="FootnoteText"/>
        <w:spacing w:before="60" w:after="60"/>
        <w:jc w:val="both"/>
      </w:pPr>
      <w:r>
        <w:rPr>
          <w:rStyle w:val="FootnoteReference"/>
        </w:rPr>
        <w:footnoteRef/>
      </w:r>
      <w:r>
        <w:t xml:space="preserve"> </w:t>
      </w:r>
      <w:r>
        <w:rPr>
          <w:i/>
          <w:iCs/>
        </w:rPr>
        <w:t>Belhaj v. Straw</w:t>
      </w:r>
      <w:r>
        <w:t>, [2017] UKSC 3 at [11(iii)(a)], [35]-[36] (</w:t>
      </w:r>
      <w:r>
        <w:rPr>
          <w:i/>
          <w:iCs/>
        </w:rPr>
        <w:t xml:space="preserve">per </w:t>
      </w:r>
      <w:r>
        <w:t>Lord Mance), [121]-[122], [135]-[136] (</w:t>
      </w:r>
      <w:r>
        <w:rPr>
          <w:i/>
          <w:iCs/>
        </w:rPr>
        <w:t xml:space="preserve">per </w:t>
      </w:r>
      <w:r>
        <w:t>Lord Neuberger).</w:t>
      </w:r>
    </w:p>
  </w:footnote>
  <w:footnote w:id="127">
    <w:p w14:paraId="241B7EA9" w14:textId="77777777" w:rsidR="00225B8B" w:rsidRDefault="00225B8B" w:rsidP="00A85020">
      <w:pPr>
        <w:pStyle w:val="FootnoteText"/>
        <w:spacing w:before="60" w:after="60"/>
        <w:jc w:val="both"/>
      </w:pPr>
      <w:r>
        <w:rPr>
          <w:rStyle w:val="FootnoteReference"/>
        </w:rPr>
        <w:footnoteRef/>
      </w:r>
      <w:r>
        <w:t xml:space="preserve"> See paragraph 7(i) of India’s Pleading. The other parties did not adopt so explicit a position, either for or against the application of Hyderabad law.</w:t>
      </w:r>
    </w:p>
  </w:footnote>
  <w:footnote w:id="128">
    <w:p w14:paraId="4DD6D5F0" w14:textId="77777777" w:rsidR="00225B8B" w:rsidRPr="006829FD" w:rsidRDefault="00225B8B" w:rsidP="00A85020">
      <w:pPr>
        <w:pStyle w:val="FootnoteText"/>
        <w:spacing w:before="60" w:after="60"/>
        <w:jc w:val="both"/>
      </w:pPr>
      <w:r>
        <w:rPr>
          <w:rStyle w:val="FootnoteReference"/>
        </w:rPr>
        <w:footnoteRef/>
      </w:r>
      <w:r>
        <w:t xml:space="preserve"> </w:t>
      </w:r>
      <w:r>
        <w:rPr>
          <w:i/>
          <w:iCs/>
        </w:rPr>
        <w:t>Dicey &amp; Morris</w:t>
      </w:r>
      <w:r>
        <w:t>, [1-065].</w:t>
      </w:r>
    </w:p>
  </w:footnote>
  <w:footnote w:id="129">
    <w:p w14:paraId="45DA2909" w14:textId="77777777" w:rsidR="00225B8B" w:rsidRDefault="00225B8B" w:rsidP="00A85020">
      <w:pPr>
        <w:pStyle w:val="FootnoteText"/>
        <w:spacing w:before="60" w:after="60"/>
        <w:jc w:val="both"/>
      </w:pPr>
      <w:r>
        <w:rPr>
          <w:rStyle w:val="FootnoteReference"/>
        </w:rPr>
        <w:footnoteRef/>
      </w:r>
      <w:r>
        <w:t xml:space="preserve"> See paragraphs 71-73 above.</w:t>
      </w:r>
    </w:p>
  </w:footnote>
  <w:footnote w:id="130">
    <w:p w14:paraId="5D6517BC" w14:textId="77777777" w:rsidR="00225B8B" w:rsidRDefault="00225B8B" w:rsidP="00A85020">
      <w:pPr>
        <w:pStyle w:val="FootnoteText"/>
        <w:spacing w:before="60" w:after="60"/>
        <w:jc w:val="both"/>
      </w:pPr>
      <w:r>
        <w:rPr>
          <w:rStyle w:val="FootnoteReference"/>
        </w:rPr>
        <w:footnoteRef/>
      </w:r>
      <w:r>
        <w:t xml:space="preserve"> More fully: the Convention on Rights and Duties of States adopted by the Seventh International Conference of American States, 26 December 1933.</w:t>
      </w:r>
    </w:p>
  </w:footnote>
  <w:footnote w:id="131">
    <w:p w14:paraId="0A4C5C7E" w14:textId="77777777" w:rsidR="00225B8B" w:rsidRPr="00B043F4" w:rsidRDefault="00225B8B" w:rsidP="00A85020">
      <w:pPr>
        <w:pStyle w:val="FootnoteText"/>
        <w:spacing w:before="60" w:after="60"/>
        <w:jc w:val="both"/>
      </w:pPr>
      <w:r>
        <w:rPr>
          <w:rStyle w:val="FootnoteReference"/>
        </w:rPr>
        <w:footnoteRef/>
      </w:r>
      <w:r>
        <w:t xml:space="preserve"> See, further, Crawford, </w:t>
      </w:r>
      <w:r>
        <w:rPr>
          <w:i/>
          <w:iCs/>
        </w:rPr>
        <w:t>Brownlie’s Principles of Public International Law</w:t>
      </w:r>
      <w:r>
        <w:t>, 9</w:t>
      </w:r>
      <w:r w:rsidRPr="00B043F4">
        <w:rPr>
          <w:vertAlign w:val="superscript"/>
        </w:rPr>
        <w:t>th</w:t>
      </w:r>
      <w:r>
        <w:t xml:space="preserve"> ed (2019), at 119-126.</w:t>
      </w:r>
    </w:p>
  </w:footnote>
  <w:footnote w:id="132">
    <w:p w14:paraId="2E851568" w14:textId="77777777" w:rsidR="00225B8B" w:rsidRPr="00AE7120" w:rsidRDefault="00225B8B" w:rsidP="00A85020">
      <w:pPr>
        <w:pStyle w:val="FootnoteText"/>
        <w:spacing w:before="60" w:after="60"/>
        <w:jc w:val="both"/>
      </w:pPr>
      <w:r>
        <w:rPr>
          <w:rStyle w:val="FootnoteReference"/>
        </w:rPr>
        <w:footnoteRef/>
      </w:r>
      <w:r>
        <w:t xml:space="preserve"> Mann, </w:t>
      </w:r>
      <w:r>
        <w:rPr>
          <w:i/>
          <w:iCs/>
        </w:rPr>
        <w:t>Foreign Affairs in English Courts</w:t>
      </w:r>
      <w:r>
        <w:t>, 1</w:t>
      </w:r>
      <w:r w:rsidRPr="00AE7120">
        <w:rPr>
          <w:vertAlign w:val="superscript"/>
        </w:rPr>
        <w:t>st</w:t>
      </w:r>
      <w:r>
        <w:t xml:space="preserve"> ed (1986), at 23.</w:t>
      </w:r>
    </w:p>
  </w:footnote>
  <w:footnote w:id="133">
    <w:p w14:paraId="42930322" w14:textId="77777777" w:rsidR="00225B8B" w:rsidRDefault="00225B8B" w:rsidP="00A85020">
      <w:pPr>
        <w:pStyle w:val="FootnoteText"/>
        <w:spacing w:before="60" w:after="60"/>
        <w:jc w:val="both"/>
      </w:pPr>
      <w:r>
        <w:rPr>
          <w:rStyle w:val="FootnoteReference"/>
        </w:rPr>
        <w:footnoteRef/>
      </w:r>
      <w:r>
        <w:t xml:space="preserve"> Mann, </w:t>
      </w:r>
      <w:r>
        <w:rPr>
          <w:i/>
          <w:iCs/>
        </w:rPr>
        <w:t>Foreign Affairs in English Courts</w:t>
      </w:r>
      <w:r>
        <w:t>, 1</w:t>
      </w:r>
      <w:r w:rsidRPr="00AE7120">
        <w:rPr>
          <w:vertAlign w:val="superscript"/>
        </w:rPr>
        <w:t>st</w:t>
      </w:r>
      <w:r>
        <w:t xml:space="preserve"> ed (1986), at 30-32, 37-41 and 42-46.</w:t>
      </w:r>
    </w:p>
  </w:footnote>
  <w:footnote w:id="134">
    <w:p w14:paraId="1CEC0CB7" w14:textId="77777777" w:rsidR="00225B8B" w:rsidRDefault="00225B8B" w:rsidP="00A85020">
      <w:pPr>
        <w:pStyle w:val="FootnoteText"/>
        <w:spacing w:before="60" w:after="60"/>
        <w:jc w:val="both"/>
      </w:pPr>
      <w:r>
        <w:rPr>
          <w:rStyle w:val="FootnoteReference"/>
        </w:rPr>
        <w:footnoteRef/>
      </w:r>
      <w:r>
        <w:t xml:space="preserve"> [2019] EWHC 306 (Comm).</w:t>
      </w:r>
    </w:p>
  </w:footnote>
  <w:footnote w:id="135">
    <w:p w14:paraId="26B08865" w14:textId="77777777" w:rsidR="00225B8B" w:rsidRPr="00D90A7E" w:rsidRDefault="00225B8B" w:rsidP="00A85020">
      <w:pPr>
        <w:pStyle w:val="FootnoteText"/>
        <w:spacing w:before="60" w:after="60"/>
        <w:jc w:val="both"/>
      </w:pPr>
      <w:r>
        <w:rPr>
          <w:rStyle w:val="FootnoteReference"/>
        </w:rPr>
        <w:footnoteRef/>
      </w:r>
      <w:r>
        <w:t xml:space="preserve"> See McLachlan, </w:t>
      </w:r>
      <w:r>
        <w:rPr>
          <w:i/>
          <w:iCs/>
        </w:rPr>
        <w:t>Foreign Relations Law</w:t>
      </w:r>
      <w:r>
        <w:t>, 1</w:t>
      </w:r>
      <w:r w:rsidRPr="001D3F21">
        <w:rPr>
          <w:vertAlign w:val="superscript"/>
        </w:rPr>
        <w:t>st</w:t>
      </w:r>
      <w:r>
        <w:t xml:space="preserve"> ed (2014) (</w:t>
      </w:r>
      <w:r w:rsidRPr="003C7393">
        <w:rPr>
          <w:b/>
          <w:bCs/>
          <w:i/>
          <w:iCs/>
        </w:rPr>
        <w:t>McLachlan</w:t>
      </w:r>
      <w:r>
        <w:t>), at [10.32]</w:t>
      </w:r>
      <w:r>
        <w:rPr>
          <w:i/>
          <w:iCs/>
        </w:rPr>
        <w:t>ff</w:t>
      </w:r>
      <w:r>
        <w:t xml:space="preserve"> and in particular [10.49]-[10.59] and the authorities there cited.</w:t>
      </w:r>
    </w:p>
  </w:footnote>
  <w:footnote w:id="136">
    <w:p w14:paraId="5D6D6235" w14:textId="77777777" w:rsidR="00225B8B" w:rsidRDefault="00225B8B" w:rsidP="00A85020">
      <w:pPr>
        <w:pStyle w:val="FootnoteText"/>
        <w:spacing w:before="60" w:after="60"/>
        <w:jc w:val="both"/>
      </w:pPr>
      <w:r>
        <w:rPr>
          <w:rStyle w:val="FootnoteReference"/>
        </w:rPr>
        <w:footnoteRef/>
      </w:r>
      <w:r>
        <w:t xml:space="preserve"> See paragraphs 69-70 above.</w:t>
      </w:r>
    </w:p>
  </w:footnote>
  <w:footnote w:id="137">
    <w:p w14:paraId="485D6B16" w14:textId="77777777" w:rsidR="00225B8B" w:rsidRDefault="00225B8B" w:rsidP="00A85020">
      <w:pPr>
        <w:pStyle w:val="FootnoteText"/>
        <w:spacing w:before="60" w:after="60"/>
        <w:jc w:val="both"/>
      </w:pPr>
      <w:r>
        <w:rPr>
          <w:rStyle w:val="FootnoteReference"/>
        </w:rPr>
        <w:footnoteRef/>
      </w:r>
      <w:r>
        <w:t xml:space="preserve"> See paragraphs 69-70 above.</w:t>
      </w:r>
    </w:p>
  </w:footnote>
  <w:footnote w:id="138">
    <w:p w14:paraId="42E2110B" w14:textId="77777777" w:rsidR="00225B8B" w:rsidRDefault="00225B8B" w:rsidP="00A85020">
      <w:pPr>
        <w:pStyle w:val="FootnoteText"/>
        <w:spacing w:before="60" w:after="60"/>
        <w:jc w:val="both"/>
      </w:pPr>
      <w:r>
        <w:rPr>
          <w:rStyle w:val="FootnoteReference"/>
        </w:rPr>
        <w:footnoteRef/>
      </w:r>
      <w:r>
        <w:t xml:space="preserve"> As described in paragraph 166 above.</w:t>
      </w:r>
    </w:p>
  </w:footnote>
  <w:footnote w:id="139">
    <w:p w14:paraId="75B4BBF8" w14:textId="77777777" w:rsidR="00225B8B" w:rsidRDefault="00225B8B" w:rsidP="00A85020">
      <w:pPr>
        <w:pStyle w:val="FootnoteText"/>
        <w:spacing w:before="60" w:after="60"/>
        <w:jc w:val="both"/>
      </w:pPr>
      <w:r>
        <w:rPr>
          <w:rStyle w:val="FootnoteReference"/>
        </w:rPr>
        <w:footnoteRef/>
      </w:r>
      <w:r>
        <w:t xml:space="preserve"> Mr Smith was prescient. During the hearing, Mr Qureshi, QC confirmed that the matter of Hyderabad remained on the agenda.</w:t>
      </w:r>
    </w:p>
  </w:footnote>
  <w:footnote w:id="140">
    <w:p w14:paraId="319C054B" w14:textId="77777777" w:rsidR="00225B8B" w:rsidRDefault="00225B8B" w:rsidP="00A85020">
      <w:pPr>
        <w:pStyle w:val="FootnoteText"/>
        <w:spacing w:before="60" w:after="60"/>
        <w:jc w:val="both"/>
      </w:pPr>
      <w:r>
        <w:rPr>
          <w:rStyle w:val="FootnoteReference"/>
        </w:rPr>
        <w:footnoteRef/>
      </w:r>
      <w:r>
        <w:t xml:space="preserve"> Paragraph 2 of Raghavan 1.</w:t>
      </w:r>
    </w:p>
  </w:footnote>
  <w:footnote w:id="141">
    <w:p w14:paraId="4983CCD0" w14:textId="77777777" w:rsidR="00225B8B" w:rsidRDefault="00225B8B" w:rsidP="00A85020">
      <w:pPr>
        <w:pStyle w:val="FootnoteText"/>
        <w:spacing w:before="60" w:after="60"/>
        <w:jc w:val="both"/>
      </w:pPr>
      <w:r>
        <w:rPr>
          <w:rStyle w:val="FootnoteReference"/>
        </w:rPr>
        <w:footnoteRef/>
      </w:r>
      <w:r>
        <w:t xml:space="preserve"> Paragraph 3 of Raghavan 1.</w:t>
      </w:r>
    </w:p>
  </w:footnote>
  <w:footnote w:id="142">
    <w:p w14:paraId="605514BD" w14:textId="77777777" w:rsidR="00225B8B" w:rsidRDefault="00225B8B" w:rsidP="00A85020">
      <w:pPr>
        <w:pStyle w:val="FootnoteText"/>
        <w:spacing w:before="60" w:after="60"/>
        <w:jc w:val="both"/>
      </w:pPr>
      <w:r>
        <w:rPr>
          <w:rStyle w:val="FootnoteReference"/>
        </w:rPr>
        <w:footnoteRef/>
      </w:r>
      <w:r>
        <w:t xml:space="preserve"> Paragraph 3 of Raghavan 1.</w:t>
      </w:r>
    </w:p>
  </w:footnote>
  <w:footnote w:id="143">
    <w:p w14:paraId="3B0973F2" w14:textId="77777777" w:rsidR="00225B8B" w:rsidRDefault="00225B8B" w:rsidP="00A85020">
      <w:pPr>
        <w:pStyle w:val="FootnoteText"/>
        <w:spacing w:before="60" w:after="60"/>
        <w:jc w:val="both"/>
      </w:pPr>
      <w:r>
        <w:rPr>
          <w:rStyle w:val="FootnoteReference"/>
        </w:rPr>
        <w:footnoteRef/>
      </w:r>
      <w:r>
        <w:t xml:space="preserve"> Paragraph 4 of Raghavan 1.</w:t>
      </w:r>
    </w:p>
  </w:footnote>
  <w:footnote w:id="144">
    <w:p w14:paraId="74B1EA38" w14:textId="77777777" w:rsidR="00225B8B" w:rsidRDefault="00225B8B" w:rsidP="00A85020">
      <w:pPr>
        <w:pStyle w:val="FootnoteText"/>
        <w:spacing w:before="60" w:after="60"/>
        <w:jc w:val="both"/>
      </w:pPr>
      <w:r>
        <w:rPr>
          <w:rStyle w:val="FootnoteReference"/>
        </w:rPr>
        <w:footnoteRef/>
      </w:r>
      <w:r>
        <w:t xml:space="preserve"> See paragraphs 221</w:t>
      </w:r>
      <w:r>
        <w:rPr>
          <w:i/>
          <w:iCs/>
        </w:rPr>
        <w:t>ff</w:t>
      </w:r>
      <w:r>
        <w:t xml:space="preserve"> below.</w:t>
      </w:r>
    </w:p>
  </w:footnote>
  <w:footnote w:id="145">
    <w:p w14:paraId="68736858" w14:textId="77777777" w:rsidR="00225B8B" w:rsidRDefault="00225B8B" w:rsidP="00A85020">
      <w:pPr>
        <w:pStyle w:val="FootnoteText"/>
        <w:spacing w:before="60" w:after="60"/>
        <w:jc w:val="both"/>
      </w:pPr>
      <w:r>
        <w:rPr>
          <w:rStyle w:val="FootnoteReference"/>
        </w:rPr>
        <w:footnoteRef/>
      </w:r>
      <w:r>
        <w:t xml:space="preserve"> See paragraph 79 above.</w:t>
      </w:r>
    </w:p>
  </w:footnote>
  <w:footnote w:id="146">
    <w:p w14:paraId="2E76D781" w14:textId="77777777" w:rsidR="00225B8B" w:rsidRPr="00FC26AD" w:rsidRDefault="00225B8B" w:rsidP="00A85020">
      <w:pPr>
        <w:pStyle w:val="FootnoteText"/>
        <w:spacing w:before="60" w:after="60"/>
        <w:jc w:val="both"/>
        <w:rPr>
          <w:b/>
          <w:bCs/>
        </w:rPr>
      </w:pPr>
      <w:r>
        <w:rPr>
          <w:rStyle w:val="FootnoteReference"/>
        </w:rPr>
        <w:footnoteRef/>
      </w:r>
      <w:r>
        <w:t xml:space="preserve"> See paragraph 1.2 of Pakistan’s Response to the Part 18 Request of India.</w:t>
      </w:r>
    </w:p>
  </w:footnote>
  <w:footnote w:id="147">
    <w:p w14:paraId="20363A0B" w14:textId="77777777" w:rsidR="00225B8B" w:rsidRPr="00F414C4" w:rsidRDefault="00225B8B" w:rsidP="00A85020">
      <w:pPr>
        <w:pStyle w:val="FootnoteText"/>
        <w:spacing w:before="60" w:after="60"/>
        <w:jc w:val="both"/>
      </w:pPr>
      <w:r>
        <w:rPr>
          <w:rStyle w:val="FootnoteReference"/>
        </w:rPr>
        <w:footnoteRef/>
      </w:r>
      <w:r>
        <w:t xml:space="preserve"> See the statement of Major J Henry Luschwitz (</w:t>
      </w:r>
      <w:r>
        <w:rPr>
          <w:b/>
          <w:bCs/>
        </w:rPr>
        <w:t>Luschwitz</w:t>
      </w:r>
      <w:r>
        <w:t>), the director of music of the Hyderabad Army, dated 6 October 1948 at p.4. Luschwitz provided to two statements regarding the gun-running into Pakistan and Hyderabad, dated respectively 8 October 1948 (</w:t>
      </w:r>
      <w:r>
        <w:rPr>
          <w:b/>
          <w:bCs/>
        </w:rPr>
        <w:t>Luschwitz 1</w:t>
      </w:r>
      <w:r>
        <w:t xml:space="preserve">) and 9 October 1948 </w:t>
      </w:r>
      <w:r>
        <w:rPr>
          <w:b/>
          <w:bCs/>
        </w:rPr>
        <w:t>(Luschwitz 2</w:t>
      </w:r>
      <w:r>
        <w:t>).</w:t>
      </w:r>
    </w:p>
  </w:footnote>
  <w:footnote w:id="148">
    <w:p w14:paraId="5B5D8B17" w14:textId="77777777" w:rsidR="00225B8B" w:rsidRDefault="00225B8B" w:rsidP="00A85020">
      <w:pPr>
        <w:pStyle w:val="FootnoteText"/>
        <w:spacing w:before="60" w:after="60"/>
        <w:jc w:val="both"/>
      </w:pPr>
      <w:r>
        <w:rPr>
          <w:rStyle w:val="FootnoteReference"/>
        </w:rPr>
        <w:footnoteRef/>
      </w:r>
      <w:r>
        <w:t xml:space="preserve"> The perception being that of the Hyderabad and Pakistan Governments.</w:t>
      </w:r>
    </w:p>
  </w:footnote>
  <w:footnote w:id="149">
    <w:p w14:paraId="2EADDC0E" w14:textId="77777777" w:rsidR="00225B8B" w:rsidRDefault="00225B8B" w:rsidP="00A85020">
      <w:pPr>
        <w:pStyle w:val="FootnoteText"/>
        <w:spacing w:before="60" w:after="60"/>
        <w:jc w:val="both"/>
      </w:pPr>
      <w:r>
        <w:rPr>
          <w:rStyle w:val="FootnoteReference"/>
        </w:rPr>
        <w:footnoteRef/>
      </w:r>
      <w:r>
        <w:t xml:space="preserve"> I use this term in as neutral a sense as is possible to describe the position of Hyderabad after the success of Operation Polo.</w:t>
      </w:r>
    </w:p>
  </w:footnote>
  <w:footnote w:id="150">
    <w:p w14:paraId="5EDFD1BC" w14:textId="77777777" w:rsidR="00225B8B" w:rsidRPr="004C7AF6" w:rsidRDefault="00225B8B" w:rsidP="00A85020">
      <w:pPr>
        <w:pStyle w:val="FootnoteText"/>
        <w:spacing w:before="60" w:after="60"/>
        <w:jc w:val="both"/>
        <w:rPr>
          <w:b/>
          <w:bCs/>
        </w:rPr>
      </w:pPr>
      <w:r>
        <w:rPr>
          <w:rStyle w:val="FootnoteReference"/>
        </w:rPr>
        <w:footnoteRef/>
      </w:r>
      <w:r>
        <w:t xml:space="preserve"> The signature is extremely difficult to read but appears to be that of Mirza. I am satisfied that I can reach this conclusion because of the reference to Mirza requesting the £44,000 payment in Shoaib’s letter described in paragraph 211(1) above. In any event, the sender’s address on the letter – 9 South Street, Mayfair – was the address of the Delegation of Pakistan. </w:t>
      </w:r>
    </w:p>
  </w:footnote>
  <w:footnote w:id="151">
    <w:p w14:paraId="4B7E1288" w14:textId="77777777" w:rsidR="00225B8B" w:rsidRDefault="00225B8B" w:rsidP="00A85020">
      <w:pPr>
        <w:pStyle w:val="FootnoteText"/>
        <w:spacing w:before="60" w:after="60"/>
        <w:jc w:val="both"/>
      </w:pPr>
      <w:r>
        <w:rPr>
          <w:rStyle w:val="FootnoteReference"/>
        </w:rPr>
        <w:footnoteRef/>
      </w:r>
      <w:r>
        <w:t xml:space="preserve"> See paragraph 211(3)(c) above. Cotton was the managing director of this company.</w:t>
      </w:r>
    </w:p>
  </w:footnote>
  <w:footnote w:id="152">
    <w:p w14:paraId="3E99C133" w14:textId="77777777" w:rsidR="00225B8B" w:rsidRDefault="00225B8B" w:rsidP="00A85020">
      <w:pPr>
        <w:pStyle w:val="FootnoteText"/>
        <w:spacing w:before="60" w:after="60"/>
        <w:jc w:val="both"/>
      </w:pPr>
      <w:r>
        <w:rPr>
          <w:rStyle w:val="FootnoteReference"/>
        </w:rPr>
        <w:footnoteRef/>
      </w:r>
      <w:r>
        <w:t xml:space="preserve"> There is an earlier arzdasht (a form of instruction not emanating from the Nizam) dated 22 October 1947 emphasising the scarcity of foreign currency reserves.</w:t>
      </w:r>
    </w:p>
  </w:footnote>
  <w:footnote w:id="153">
    <w:p w14:paraId="2B959A8B" w14:textId="77777777" w:rsidR="00225B8B" w:rsidRDefault="00225B8B" w:rsidP="00A85020">
      <w:pPr>
        <w:pStyle w:val="FootnoteText"/>
        <w:spacing w:before="60" w:after="60"/>
        <w:jc w:val="both"/>
      </w:pPr>
      <w:r>
        <w:rPr>
          <w:rStyle w:val="FootnoteReference"/>
        </w:rPr>
        <w:footnoteRef/>
      </w:r>
      <w:r>
        <w:t xml:space="preserve"> It is difficult to say how much. Obviously, the parties’ disclosure focussed on the monies going into and out the Hyderabad State Bank Account and the Second Account, but nevertheless there was evidence of the existence of other significant sterling balances.</w:t>
      </w:r>
    </w:p>
  </w:footnote>
  <w:footnote w:id="154">
    <w:p w14:paraId="2556983F" w14:textId="77777777" w:rsidR="00225B8B" w:rsidRDefault="00225B8B" w:rsidP="00A85020">
      <w:pPr>
        <w:pStyle w:val="FootnoteText"/>
        <w:spacing w:before="60" w:after="60"/>
        <w:jc w:val="both"/>
      </w:pPr>
      <w:r>
        <w:rPr>
          <w:rStyle w:val="FootnoteReference"/>
        </w:rPr>
        <w:footnoteRef/>
      </w:r>
      <w:r>
        <w:t xml:space="preserve"> This document has not survived.</w:t>
      </w:r>
    </w:p>
  </w:footnote>
  <w:footnote w:id="155">
    <w:p w14:paraId="061B62E3" w14:textId="77777777" w:rsidR="00225B8B" w:rsidRDefault="00225B8B" w:rsidP="00A85020">
      <w:pPr>
        <w:pStyle w:val="FootnoteText"/>
        <w:spacing w:before="60" w:after="60"/>
        <w:jc w:val="both"/>
      </w:pPr>
      <w:r>
        <w:rPr>
          <w:rStyle w:val="FootnoteReference"/>
        </w:rPr>
        <w:footnoteRef/>
      </w:r>
      <w:r>
        <w:t xml:space="preserve"> See paragraph 97 above.</w:t>
      </w:r>
    </w:p>
  </w:footnote>
  <w:footnote w:id="156">
    <w:p w14:paraId="63AD4234" w14:textId="77777777" w:rsidR="00225B8B" w:rsidRDefault="00225B8B" w:rsidP="00A85020">
      <w:pPr>
        <w:pStyle w:val="FootnoteText"/>
        <w:spacing w:before="60" w:after="60"/>
        <w:jc w:val="both"/>
      </w:pPr>
      <w:r>
        <w:rPr>
          <w:rStyle w:val="FootnoteReference"/>
        </w:rPr>
        <w:footnoteRef/>
      </w:r>
      <w:r>
        <w:t xml:space="preserve"> See paragraphs 103-104 above.</w:t>
      </w:r>
    </w:p>
  </w:footnote>
  <w:footnote w:id="157">
    <w:p w14:paraId="08D1B762" w14:textId="77777777" w:rsidR="00225B8B" w:rsidRDefault="00225B8B" w:rsidP="00A85020">
      <w:pPr>
        <w:pStyle w:val="FootnoteText"/>
        <w:spacing w:before="60" w:after="60"/>
        <w:jc w:val="both"/>
      </w:pPr>
      <w:r>
        <w:rPr>
          <w:rStyle w:val="FootnoteReference"/>
        </w:rPr>
        <w:footnoteRef/>
      </w:r>
      <w:r>
        <w:t xml:space="preserve"> See paragraphs 135</w:t>
      </w:r>
      <w:r>
        <w:rPr>
          <w:i/>
          <w:iCs/>
        </w:rPr>
        <w:t>ff</w:t>
      </w:r>
      <w:r>
        <w:t xml:space="preserve"> above.</w:t>
      </w:r>
    </w:p>
  </w:footnote>
  <w:footnote w:id="158">
    <w:p w14:paraId="7074F30E" w14:textId="77777777" w:rsidR="00225B8B" w:rsidRDefault="00225B8B" w:rsidP="00A85020">
      <w:pPr>
        <w:pStyle w:val="FootnoteText"/>
        <w:spacing w:before="60" w:after="60"/>
        <w:jc w:val="both"/>
      </w:pPr>
      <w:r>
        <w:rPr>
          <w:rStyle w:val="FootnoteReference"/>
        </w:rPr>
        <w:footnoteRef/>
      </w:r>
      <w:r>
        <w:t xml:space="preserve"> See paragraphs 199-201 above.</w:t>
      </w:r>
    </w:p>
  </w:footnote>
  <w:footnote w:id="159">
    <w:p w14:paraId="519D52BA" w14:textId="77777777" w:rsidR="00225B8B" w:rsidRDefault="00225B8B" w:rsidP="00A85020">
      <w:pPr>
        <w:pStyle w:val="FootnoteText"/>
        <w:spacing w:before="60" w:after="60"/>
        <w:jc w:val="both"/>
      </w:pPr>
      <w:r>
        <w:rPr>
          <w:rStyle w:val="FootnoteReference"/>
        </w:rPr>
        <w:footnoteRef/>
      </w:r>
      <w:r>
        <w:t xml:space="preserve"> See paragraph 200 above.</w:t>
      </w:r>
    </w:p>
  </w:footnote>
  <w:footnote w:id="160">
    <w:p w14:paraId="1B7B801D" w14:textId="77777777" w:rsidR="00225B8B" w:rsidRDefault="00225B8B" w:rsidP="00BE335A">
      <w:pPr>
        <w:pStyle w:val="FootnoteText"/>
        <w:spacing w:before="60" w:after="60"/>
        <w:jc w:val="both"/>
      </w:pPr>
      <w:r>
        <w:rPr>
          <w:rStyle w:val="FootnoteReference"/>
        </w:rPr>
        <w:footnoteRef/>
      </w:r>
      <w:r>
        <w:t xml:space="preserve"> I was not addressed on the question of whether Moin’s ostensible authority to make the Transfer persisted after 17 September 1948 and make no findings in this regard. The situation was, obviously, a fraught and confusing one, and a strong case could be made for the persistence of Moin’s ostensible authority. The point is actually an academic one: had the Bank declined to make the Transfer, in accordance with the account-holder’s express request, the rival claims to the Fund would simply have been asserted in relation to the Second Account, rather than the Rahimtoola Account.</w:t>
      </w:r>
    </w:p>
  </w:footnote>
  <w:footnote w:id="161">
    <w:p w14:paraId="6BEEAA81" w14:textId="77777777" w:rsidR="00225B8B" w:rsidRDefault="00225B8B" w:rsidP="00A85020">
      <w:pPr>
        <w:pStyle w:val="FootnoteText"/>
        <w:spacing w:before="60" w:after="60"/>
        <w:jc w:val="both"/>
      </w:pPr>
      <w:r>
        <w:rPr>
          <w:rStyle w:val="FootnoteReference"/>
        </w:rPr>
        <w:footnoteRef/>
      </w:r>
      <w:r>
        <w:t xml:space="preserve"> See paragraphs 193</w:t>
      </w:r>
      <w:r>
        <w:rPr>
          <w:i/>
          <w:iCs/>
        </w:rPr>
        <w:t>ff</w:t>
      </w:r>
      <w:r>
        <w:t xml:space="preserve"> above.</w:t>
      </w:r>
    </w:p>
  </w:footnote>
  <w:footnote w:id="162">
    <w:p w14:paraId="3E100C20" w14:textId="77777777" w:rsidR="00225B8B" w:rsidRDefault="00225B8B" w:rsidP="00A85020">
      <w:pPr>
        <w:pStyle w:val="FootnoteText"/>
        <w:spacing w:before="60" w:after="60"/>
        <w:jc w:val="both"/>
      </w:pPr>
      <w:r>
        <w:rPr>
          <w:rStyle w:val="FootnoteReference"/>
        </w:rPr>
        <w:footnoteRef/>
      </w:r>
      <w:r>
        <w:t xml:space="preserve"> See paragraph 212 above.</w:t>
      </w:r>
    </w:p>
  </w:footnote>
  <w:footnote w:id="163">
    <w:p w14:paraId="08AE0BCF" w14:textId="77777777" w:rsidR="00225B8B" w:rsidRDefault="00225B8B" w:rsidP="00A85020">
      <w:pPr>
        <w:pStyle w:val="FootnoteText"/>
        <w:spacing w:before="60" w:after="60"/>
        <w:jc w:val="both"/>
      </w:pPr>
      <w:r>
        <w:rPr>
          <w:rStyle w:val="FootnoteReference"/>
        </w:rPr>
        <w:footnoteRef/>
      </w:r>
      <w:r>
        <w:t xml:space="preserve"> Even before Operation Polo, the documents before me made reference to the fact that India exercised significant blocking control over Hyderabad’s ability to transmit cables. </w:t>
      </w:r>
    </w:p>
  </w:footnote>
  <w:footnote w:id="164">
    <w:p w14:paraId="1807B20F" w14:textId="77777777" w:rsidR="00225B8B" w:rsidRDefault="00225B8B" w:rsidP="00A85020">
      <w:pPr>
        <w:pStyle w:val="FootnoteText"/>
        <w:spacing w:before="60" w:after="60"/>
        <w:jc w:val="both"/>
      </w:pPr>
      <w:r>
        <w:rPr>
          <w:rStyle w:val="FootnoteReference"/>
        </w:rPr>
        <w:footnoteRef/>
      </w:r>
      <w:r>
        <w:t xml:space="preserve"> See paragraphs 164-166 above.</w:t>
      </w:r>
    </w:p>
  </w:footnote>
  <w:footnote w:id="165">
    <w:p w14:paraId="7A46A337" w14:textId="77777777" w:rsidR="00225B8B" w:rsidRDefault="00225B8B" w:rsidP="00A85020">
      <w:pPr>
        <w:pStyle w:val="FootnoteText"/>
        <w:spacing w:before="60" w:after="60"/>
        <w:jc w:val="both"/>
      </w:pPr>
      <w:r>
        <w:rPr>
          <w:rStyle w:val="FootnoteReference"/>
        </w:rPr>
        <w:footnoteRef/>
      </w:r>
      <w:r>
        <w:t xml:space="preserve"> See paragraph 141</w:t>
      </w:r>
      <w:r>
        <w:rPr>
          <w:i/>
          <w:iCs/>
        </w:rPr>
        <w:t>ff</w:t>
      </w:r>
      <w:r>
        <w:t xml:space="preserve"> above.</w:t>
      </w:r>
    </w:p>
  </w:footnote>
  <w:footnote w:id="166">
    <w:p w14:paraId="02F076E9" w14:textId="77777777" w:rsidR="00225B8B" w:rsidRDefault="00225B8B" w:rsidP="00A85020">
      <w:pPr>
        <w:pStyle w:val="FootnoteText"/>
        <w:spacing w:before="60" w:after="60"/>
        <w:jc w:val="both"/>
      </w:pPr>
      <w:r>
        <w:rPr>
          <w:rStyle w:val="FootnoteReference"/>
        </w:rPr>
        <w:footnoteRef/>
      </w:r>
      <w:r>
        <w:t xml:space="preserve"> See the documents referenced at paragraph 141 footnote 102 above. Moin’s insistence that the Nizam’s request to have the Fund re-transferred be supported by the actual signature of Nizam VII supports this: it was both a delaying tactic and a means of testing whether Nizam VII was acting on his own behalf.</w:t>
      </w:r>
    </w:p>
  </w:footnote>
  <w:footnote w:id="167">
    <w:p w14:paraId="5E0E7AEB" w14:textId="77777777" w:rsidR="00225B8B" w:rsidRPr="00864E0D" w:rsidRDefault="00225B8B" w:rsidP="00A85020">
      <w:pPr>
        <w:pStyle w:val="FootnoteText"/>
        <w:spacing w:before="60" w:after="60"/>
        <w:jc w:val="both"/>
      </w:pPr>
      <w:r>
        <w:rPr>
          <w:rStyle w:val="FootnoteReference"/>
        </w:rPr>
        <w:footnoteRef/>
      </w:r>
      <w:r>
        <w:t xml:space="preserve"> [1991] 2 AC 93. See also </w:t>
      </w:r>
      <w:r>
        <w:rPr>
          <w:i/>
          <w:iCs/>
        </w:rPr>
        <w:t>Takhar v. Gracefield Developments Ltd</w:t>
      </w:r>
      <w:r>
        <w:t xml:space="preserve">, [2019] UKSC 13, where the approach of Lord Keith in </w:t>
      </w:r>
      <w:r>
        <w:rPr>
          <w:i/>
          <w:iCs/>
        </w:rPr>
        <w:t>Arnold</w:t>
      </w:r>
      <w:r>
        <w:t xml:space="preserve"> was affirmed. The Supreme Court was, in this case, considering the more serious case where the earlier judgment had been fraudulently obtained. That case is </w:t>
      </w:r>
      <w:r>
        <w:rPr>
          <w:i/>
          <w:iCs/>
        </w:rPr>
        <w:t xml:space="preserve">a fortiori </w:t>
      </w:r>
      <w:r>
        <w:t>the present, where it was common ground that no question of fraud arose.</w:t>
      </w:r>
    </w:p>
  </w:footnote>
  <w:footnote w:id="168">
    <w:p w14:paraId="6C8E8501" w14:textId="77777777" w:rsidR="00225B8B" w:rsidRDefault="00225B8B" w:rsidP="00A85020">
      <w:pPr>
        <w:pStyle w:val="FootnoteText"/>
        <w:spacing w:before="60" w:after="60"/>
        <w:jc w:val="both"/>
      </w:pPr>
      <w:r>
        <w:rPr>
          <w:rStyle w:val="FootnoteReference"/>
        </w:rPr>
        <w:footnoteRef/>
      </w:r>
      <w:r>
        <w:t xml:space="preserve"> At 108-109.</w:t>
      </w:r>
    </w:p>
  </w:footnote>
  <w:footnote w:id="169">
    <w:p w14:paraId="32915CF8" w14:textId="77777777" w:rsidR="00225B8B" w:rsidRDefault="00225B8B" w:rsidP="00A85020">
      <w:pPr>
        <w:pStyle w:val="FootnoteText"/>
        <w:spacing w:before="60" w:after="60"/>
        <w:jc w:val="both"/>
      </w:pPr>
      <w:r>
        <w:rPr>
          <w:rStyle w:val="FootnoteReference"/>
        </w:rPr>
        <w:footnoteRef/>
      </w:r>
      <w:r>
        <w:t xml:space="preserve"> See paragraphs 118-120 above.</w:t>
      </w:r>
    </w:p>
  </w:footnote>
  <w:footnote w:id="170">
    <w:p w14:paraId="0DA85543" w14:textId="77777777" w:rsidR="00225B8B" w:rsidRDefault="00225B8B" w:rsidP="00A85020">
      <w:pPr>
        <w:pStyle w:val="FootnoteText"/>
        <w:spacing w:before="60" w:after="60"/>
        <w:jc w:val="both"/>
      </w:pPr>
      <w:r>
        <w:rPr>
          <w:rStyle w:val="FootnoteReference"/>
        </w:rPr>
        <w:footnoteRef/>
      </w:r>
      <w:r>
        <w:t xml:space="preserve"> See paragraph 211 above.</w:t>
      </w:r>
    </w:p>
  </w:footnote>
  <w:footnote w:id="171">
    <w:p w14:paraId="0DDBA38A" w14:textId="77777777" w:rsidR="00225B8B" w:rsidRDefault="00225B8B" w:rsidP="00A85020">
      <w:pPr>
        <w:pStyle w:val="FootnoteText"/>
        <w:spacing w:before="60" w:after="60"/>
        <w:jc w:val="both"/>
      </w:pPr>
      <w:r>
        <w:rPr>
          <w:rStyle w:val="FootnoteReference"/>
        </w:rPr>
        <w:footnoteRef/>
      </w:r>
      <w:r>
        <w:t xml:space="preserve"> See paragraphs 221</w:t>
      </w:r>
      <w:r>
        <w:rPr>
          <w:i/>
          <w:iCs/>
        </w:rPr>
        <w:t>ff</w:t>
      </w:r>
      <w:r>
        <w:t xml:space="preserve"> above.</w:t>
      </w:r>
    </w:p>
  </w:footnote>
  <w:footnote w:id="172">
    <w:p w14:paraId="3E1DA173" w14:textId="77777777" w:rsidR="00225B8B" w:rsidRDefault="00225B8B" w:rsidP="00A85020">
      <w:pPr>
        <w:pStyle w:val="FootnoteText"/>
        <w:spacing w:before="60" w:after="60"/>
        <w:jc w:val="both"/>
      </w:pPr>
      <w:r>
        <w:rPr>
          <w:rStyle w:val="FootnoteReference"/>
        </w:rPr>
        <w:footnoteRef/>
      </w:r>
      <w:r>
        <w:t xml:space="preserve"> See paragraphs 148-149 above.</w:t>
      </w:r>
    </w:p>
  </w:footnote>
  <w:footnote w:id="173">
    <w:p w14:paraId="11C79B16" w14:textId="77777777" w:rsidR="00225B8B" w:rsidRDefault="00225B8B" w:rsidP="00A85020">
      <w:pPr>
        <w:pStyle w:val="FootnoteText"/>
        <w:spacing w:before="60" w:after="60"/>
        <w:jc w:val="both"/>
      </w:pPr>
      <w:r>
        <w:rPr>
          <w:rStyle w:val="FootnoteReference"/>
        </w:rPr>
        <w:footnoteRef/>
      </w:r>
      <w:r>
        <w:t xml:space="preserve"> See paragraph 124 above.</w:t>
      </w:r>
    </w:p>
  </w:footnote>
  <w:footnote w:id="174">
    <w:p w14:paraId="31955A75" w14:textId="77777777" w:rsidR="00225B8B" w:rsidRDefault="00225B8B" w:rsidP="00A85020">
      <w:pPr>
        <w:pStyle w:val="FootnoteText"/>
        <w:spacing w:before="60" w:after="60"/>
        <w:jc w:val="both"/>
      </w:pPr>
      <w:r>
        <w:rPr>
          <w:rStyle w:val="FootnoteReference"/>
        </w:rPr>
        <w:footnoteRef/>
      </w:r>
      <w:r>
        <w:t xml:space="preserve"> India’s written submissions at paragraph 34: “An express trust will arise where the transferor and transferee intended that the property transferred between them should be held on trust…”.</w:t>
      </w:r>
    </w:p>
  </w:footnote>
  <w:footnote w:id="175">
    <w:p w14:paraId="49BC0E93" w14:textId="77777777" w:rsidR="00225B8B" w:rsidRDefault="00225B8B" w:rsidP="00A85020">
      <w:pPr>
        <w:pStyle w:val="FootnoteText"/>
        <w:spacing w:before="60" w:after="60"/>
        <w:jc w:val="both"/>
      </w:pPr>
      <w:r>
        <w:rPr>
          <w:rStyle w:val="FootnoteReference"/>
        </w:rPr>
        <w:footnoteRef/>
      </w:r>
      <w:r>
        <w:t xml:space="preserve"> Pakistan expressly disavowed any suggestion that there might be a trust entitling Pakistan to spend the fund on arms, holding any residue on trust for Nizam VII: Transcript Day 5/pp.163-164, 168, 170.</w:t>
      </w:r>
    </w:p>
  </w:footnote>
  <w:footnote w:id="176">
    <w:p w14:paraId="4E87EF99" w14:textId="77777777" w:rsidR="00225B8B" w:rsidRDefault="00225B8B" w:rsidP="00A85020">
      <w:pPr>
        <w:pStyle w:val="FootnoteText"/>
        <w:spacing w:before="60" w:after="60"/>
        <w:jc w:val="both"/>
      </w:pPr>
      <w:r>
        <w:rPr>
          <w:rStyle w:val="FootnoteReference"/>
        </w:rPr>
        <w:footnoteRef/>
      </w:r>
      <w:r>
        <w:t xml:space="preserve"> [2013] EWCA Civ 280.</w:t>
      </w:r>
    </w:p>
  </w:footnote>
  <w:footnote w:id="177">
    <w:p w14:paraId="4FFFA463" w14:textId="77777777" w:rsidR="00225B8B" w:rsidRPr="00A30EA6" w:rsidRDefault="00225B8B" w:rsidP="00A85020">
      <w:pPr>
        <w:pStyle w:val="FootnoteText"/>
        <w:spacing w:before="60" w:after="60"/>
        <w:jc w:val="both"/>
      </w:pPr>
      <w:r>
        <w:rPr>
          <w:rStyle w:val="FootnoteReference"/>
        </w:rPr>
        <w:footnoteRef/>
      </w:r>
      <w:r>
        <w:t xml:space="preserve"> At [22]. See also [21], citing the decision of Brightman J in </w:t>
      </w:r>
      <w:r>
        <w:rPr>
          <w:i/>
          <w:iCs/>
        </w:rPr>
        <w:t>Re Butlin’s Settlement Trusts</w:t>
      </w:r>
      <w:r>
        <w:t>, [1976] Ch 251 at 260-261, 262.</w:t>
      </w:r>
    </w:p>
  </w:footnote>
  <w:footnote w:id="178">
    <w:p w14:paraId="1D5241B5" w14:textId="77777777" w:rsidR="00225B8B" w:rsidRPr="00B21371" w:rsidRDefault="00225B8B" w:rsidP="00A85020">
      <w:pPr>
        <w:pStyle w:val="FootnoteText"/>
        <w:spacing w:before="60" w:after="60"/>
        <w:jc w:val="both"/>
        <w:rPr>
          <w:b/>
          <w:bCs/>
        </w:rPr>
      </w:pPr>
      <w:r>
        <w:rPr>
          <w:rStyle w:val="FootnoteReference"/>
        </w:rPr>
        <w:footnoteRef/>
      </w:r>
      <w:r>
        <w:t xml:space="preserve"> This (</w:t>
      </w:r>
      <w:r>
        <w:rPr>
          <w:i/>
          <w:iCs/>
        </w:rPr>
        <w:t>obiter</w:t>
      </w:r>
      <w:r>
        <w:t xml:space="preserve">) explanation is in any event no longer good law: see the decision of the Court of Appeal in </w:t>
      </w:r>
      <w:r>
        <w:rPr>
          <w:i/>
          <w:iCs/>
        </w:rPr>
        <w:t>FSHC Group Holdings Ltd v. GLAS Trust Corporation Ltd</w:t>
      </w:r>
      <w:r>
        <w:t xml:space="preserve">, [2019] EWCA Civ 1361. Nothing in that decision affects what the Court of Appeal said in </w:t>
      </w:r>
      <w:r>
        <w:rPr>
          <w:i/>
          <w:iCs/>
        </w:rPr>
        <w:t>Day v. Day</w:t>
      </w:r>
      <w:r>
        <w:t>.</w:t>
      </w:r>
    </w:p>
  </w:footnote>
  <w:footnote w:id="179">
    <w:p w14:paraId="77AF8B20" w14:textId="77777777" w:rsidR="00225B8B" w:rsidRDefault="00225B8B" w:rsidP="00A85020">
      <w:pPr>
        <w:pStyle w:val="FootnoteText"/>
        <w:spacing w:before="60" w:after="60"/>
        <w:jc w:val="both"/>
      </w:pPr>
      <w:r>
        <w:rPr>
          <w:rStyle w:val="FootnoteReference"/>
        </w:rPr>
        <w:footnoteRef/>
      </w:r>
      <w:r>
        <w:t xml:space="preserve"> At [29].</w:t>
      </w:r>
    </w:p>
  </w:footnote>
  <w:footnote w:id="180">
    <w:p w14:paraId="24794AAE" w14:textId="77777777" w:rsidR="00225B8B" w:rsidRPr="005801A0" w:rsidRDefault="00225B8B" w:rsidP="00A85020">
      <w:pPr>
        <w:pStyle w:val="FootnoteText"/>
        <w:spacing w:before="60" w:after="60"/>
        <w:jc w:val="both"/>
      </w:pPr>
      <w:r>
        <w:rPr>
          <w:rStyle w:val="FootnoteReference"/>
        </w:rPr>
        <w:footnoteRef/>
      </w:r>
      <w:r>
        <w:t xml:space="preserve"> Tucker, Le Poidevin and Brightwell (eds), </w:t>
      </w:r>
      <w:r>
        <w:rPr>
          <w:i/>
          <w:iCs/>
        </w:rPr>
        <w:t>Lewin on Trusts</w:t>
      </w:r>
      <w:r>
        <w:t>, 19</w:t>
      </w:r>
      <w:r w:rsidRPr="005801A0">
        <w:rPr>
          <w:vertAlign w:val="superscript"/>
        </w:rPr>
        <w:t>th</w:t>
      </w:r>
      <w:r>
        <w:t xml:space="preserve"> ed (2015) (</w:t>
      </w:r>
      <w:r>
        <w:rPr>
          <w:b/>
          <w:bCs/>
          <w:i/>
          <w:iCs/>
        </w:rPr>
        <w:t>Lewin</w:t>
      </w:r>
      <w:r>
        <w:t>)</w:t>
      </w:r>
      <w:r>
        <w:rPr>
          <w:b/>
          <w:bCs/>
          <w:i/>
          <w:iCs/>
        </w:rPr>
        <w:t xml:space="preserve"> </w:t>
      </w:r>
      <w:r>
        <w:t>at [7-010].</w:t>
      </w:r>
    </w:p>
  </w:footnote>
  <w:footnote w:id="181">
    <w:p w14:paraId="5C32B905" w14:textId="77777777" w:rsidR="00225B8B" w:rsidRDefault="00225B8B" w:rsidP="00A85020">
      <w:pPr>
        <w:pStyle w:val="FootnoteText"/>
        <w:spacing w:before="60" w:after="60"/>
        <w:jc w:val="both"/>
      </w:pPr>
      <w:r>
        <w:rPr>
          <w:rStyle w:val="FootnoteReference"/>
        </w:rPr>
        <w:footnoteRef/>
      </w:r>
      <w:r>
        <w:t xml:space="preserve"> [1969] 2 Ch 276 at 300.</w:t>
      </w:r>
    </w:p>
  </w:footnote>
  <w:footnote w:id="182">
    <w:p w14:paraId="20F0DD6B" w14:textId="77777777" w:rsidR="00225B8B" w:rsidRPr="003650F7" w:rsidRDefault="00225B8B" w:rsidP="00A85020">
      <w:pPr>
        <w:pStyle w:val="FootnoteText"/>
        <w:spacing w:before="60" w:after="60"/>
        <w:jc w:val="both"/>
      </w:pPr>
      <w:r>
        <w:rPr>
          <w:rStyle w:val="FootnoteReference"/>
        </w:rPr>
        <w:footnoteRef/>
      </w:r>
      <w:r>
        <w:t xml:space="preserve"> Glister &amp; Lee, </w:t>
      </w:r>
      <w:r>
        <w:rPr>
          <w:i/>
          <w:iCs/>
        </w:rPr>
        <w:t>Hanbury &amp; Martin: Modern Equity</w:t>
      </w:r>
      <w:r>
        <w:t>, 21</w:t>
      </w:r>
      <w:r w:rsidRPr="00CB1997">
        <w:rPr>
          <w:vertAlign w:val="superscript"/>
        </w:rPr>
        <w:t>st</w:t>
      </w:r>
      <w:r>
        <w:t xml:space="preserve"> ed (2018) at [12-006]. See also </w:t>
      </w:r>
      <w:r>
        <w:rPr>
          <w:i/>
          <w:iCs/>
        </w:rPr>
        <w:t xml:space="preserve">Lewin </w:t>
      </w:r>
      <w:r>
        <w:t>at [7-015].</w:t>
      </w:r>
    </w:p>
  </w:footnote>
  <w:footnote w:id="183">
    <w:p w14:paraId="536B1B3A" w14:textId="77777777" w:rsidR="00225B8B" w:rsidRPr="005801A0" w:rsidRDefault="00225B8B" w:rsidP="00A85020">
      <w:pPr>
        <w:pStyle w:val="FootnoteText"/>
        <w:spacing w:before="60" w:after="60"/>
        <w:jc w:val="both"/>
      </w:pPr>
      <w:r>
        <w:rPr>
          <w:rStyle w:val="FootnoteReference"/>
        </w:rPr>
        <w:footnoteRef/>
      </w:r>
      <w:r>
        <w:t xml:space="preserve"> </w:t>
      </w:r>
      <w:r>
        <w:rPr>
          <w:i/>
          <w:iCs/>
        </w:rPr>
        <w:t xml:space="preserve">Lewin </w:t>
      </w:r>
      <w:r>
        <w:t>at [7-011], emphasis supplied.</w:t>
      </w:r>
    </w:p>
  </w:footnote>
  <w:footnote w:id="184">
    <w:p w14:paraId="4F00533D" w14:textId="77777777" w:rsidR="00225B8B" w:rsidRPr="00B5569C" w:rsidRDefault="00225B8B" w:rsidP="00A85020">
      <w:pPr>
        <w:pStyle w:val="FootnoteText"/>
        <w:spacing w:before="60" w:after="60"/>
        <w:jc w:val="both"/>
      </w:pPr>
      <w:r>
        <w:rPr>
          <w:rStyle w:val="FootnoteReference"/>
        </w:rPr>
        <w:footnoteRef/>
      </w:r>
      <w:r>
        <w:t xml:space="preserve"> McGhee (ed), </w:t>
      </w:r>
      <w:r>
        <w:rPr>
          <w:i/>
          <w:iCs/>
        </w:rPr>
        <w:t>Snell’s Equity</w:t>
      </w:r>
      <w:r>
        <w:t>, 33</w:t>
      </w:r>
      <w:r w:rsidRPr="00B5569C">
        <w:rPr>
          <w:vertAlign w:val="superscript"/>
        </w:rPr>
        <w:t>rd</w:t>
      </w:r>
      <w:r>
        <w:t xml:space="preserve"> ed (2015) at [21-021].</w:t>
      </w:r>
    </w:p>
  </w:footnote>
  <w:footnote w:id="185">
    <w:p w14:paraId="5A863CD3" w14:textId="77777777" w:rsidR="00225B8B" w:rsidRPr="009F50CE" w:rsidRDefault="00225B8B" w:rsidP="00A85020">
      <w:pPr>
        <w:pStyle w:val="FootnoteText"/>
        <w:spacing w:before="60" w:after="60"/>
        <w:jc w:val="both"/>
      </w:pPr>
      <w:r>
        <w:rPr>
          <w:rStyle w:val="FootnoteReference"/>
        </w:rPr>
        <w:footnoteRef/>
      </w:r>
      <w:r>
        <w:t xml:space="preserve"> </w:t>
      </w:r>
      <w:r>
        <w:rPr>
          <w:i/>
          <w:iCs/>
        </w:rPr>
        <w:t>Lewin</w:t>
      </w:r>
      <w:r>
        <w:t xml:space="preserve"> at [7-017].</w:t>
      </w:r>
    </w:p>
  </w:footnote>
  <w:footnote w:id="186">
    <w:p w14:paraId="6AD8598B" w14:textId="77777777" w:rsidR="00225B8B" w:rsidRPr="004439A0" w:rsidRDefault="00225B8B" w:rsidP="00A85020">
      <w:pPr>
        <w:pStyle w:val="FootnoteText"/>
        <w:spacing w:before="60" w:after="60"/>
        <w:jc w:val="both"/>
      </w:pPr>
      <w:r>
        <w:rPr>
          <w:rStyle w:val="FootnoteReference"/>
        </w:rPr>
        <w:footnoteRef/>
      </w:r>
      <w:r>
        <w:t xml:space="preserve"> </w:t>
      </w:r>
      <w:r>
        <w:rPr>
          <w:i/>
          <w:iCs/>
        </w:rPr>
        <w:t xml:space="preserve">Lewin </w:t>
      </w:r>
      <w:r>
        <w:t>at [42-101].</w:t>
      </w:r>
    </w:p>
  </w:footnote>
  <w:footnote w:id="187">
    <w:p w14:paraId="08F0231C" w14:textId="77777777" w:rsidR="00225B8B" w:rsidRDefault="00225B8B" w:rsidP="00A85020">
      <w:pPr>
        <w:pStyle w:val="FootnoteText"/>
        <w:spacing w:before="60" w:after="60"/>
        <w:jc w:val="both"/>
      </w:pPr>
      <w:r>
        <w:rPr>
          <w:rStyle w:val="FootnoteReference"/>
        </w:rPr>
        <w:footnoteRef/>
      </w:r>
      <w:r>
        <w:t xml:space="preserve"> See paragraph 229 above.</w:t>
      </w:r>
    </w:p>
  </w:footnote>
  <w:footnote w:id="188">
    <w:p w14:paraId="7F7F9527" w14:textId="77777777" w:rsidR="00225B8B" w:rsidRDefault="00225B8B" w:rsidP="00A85020">
      <w:pPr>
        <w:pStyle w:val="FootnoteText"/>
        <w:spacing w:before="60" w:after="60"/>
        <w:jc w:val="both"/>
      </w:pPr>
      <w:r>
        <w:rPr>
          <w:rStyle w:val="FootnoteReference"/>
        </w:rPr>
        <w:footnoteRef/>
      </w:r>
      <w:r>
        <w:t xml:space="preserve"> [1996] AC 669 at 708.</w:t>
      </w:r>
    </w:p>
  </w:footnote>
  <w:footnote w:id="189">
    <w:p w14:paraId="5C89EAE8" w14:textId="77777777" w:rsidR="00225B8B" w:rsidRPr="0034495D" w:rsidRDefault="00225B8B" w:rsidP="00A85020">
      <w:pPr>
        <w:pStyle w:val="FootnoteText"/>
        <w:spacing w:before="60" w:after="60"/>
        <w:jc w:val="both"/>
      </w:pPr>
      <w:r>
        <w:rPr>
          <w:rStyle w:val="FootnoteReference"/>
        </w:rPr>
        <w:footnoteRef/>
      </w:r>
      <w:r>
        <w:t xml:space="preserve"> </w:t>
      </w:r>
      <w:r>
        <w:rPr>
          <w:i/>
          <w:iCs/>
        </w:rPr>
        <w:t>Lewin</w:t>
      </w:r>
      <w:r>
        <w:t xml:space="preserve"> at [9-008] to [9-010].</w:t>
      </w:r>
    </w:p>
  </w:footnote>
  <w:footnote w:id="190">
    <w:p w14:paraId="3205BC4B" w14:textId="77777777" w:rsidR="00225B8B" w:rsidRDefault="00225B8B" w:rsidP="00A85020">
      <w:pPr>
        <w:pStyle w:val="FootnoteText"/>
        <w:spacing w:before="60" w:after="60"/>
        <w:jc w:val="both"/>
      </w:pPr>
      <w:r>
        <w:rPr>
          <w:rStyle w:val="FootnoteReference"/>
        </w:rPr>
        <w:footnoteRef/>
      </w:r>
      <w:r>
        <w:t xml:space="preserve"> See paragraph 251 above.</w:t>
      </w:r>
    </w:p>
  </w:footnote>
  <w:footnote w:id="191">
    <w:p w14:paraId="2115664F" w14:textId="77777777" w:rsidR="00225B8B" w:rsidRDefault="00225B8B" w:rsidP="00A85020">
      <w:pPr>
        <w:pStyle w:val="FootnoteText"/>
        <w:spacing w:before="60" w:after="60"/>
        <w:jc w:val="both"/>
      </w:pPr>
      <w:r>
        <w:rPr>
          <w:rStyle w:val="FootnoteReference"/>
        </w:rPr>
        <w:footnoteRef/>
      </w:r>
      <w:r>
        <w:t xml:space="preserve"> See paragraphs 221</w:t>
      </w:r>
      <w:r>
        <w:rPr>
          <w:i/>
          <w:iCs/>
        </w:rPr>
        <w:t>ff</w:t>
      </w:r>
      <w:r>
        <w:t xml:space="preserve"> above.</w:t>
      </w:r>
    </w:p>
  </w:footnote>
  <w:footnote w:id="192">
    <w:p w14:paraId="4D02AF1A" w14:textId="77777777" w:rsidR="00225B8B" w:rsidRDefault="00225B8B" w:rsidP="00A85020">
      <w:pPr>
        <w:pStyle w:val="FootnoteText"/>
        <w:spacing w:before="60" w:after="60"/>
        <w:jc w:val="both"/>
      </w:pPr>
      <w:r>
        <w:rPr>
          <w:rStyle w:val="FootnoteReference"/>
        </w:rPr>
        <w:footnoteRef/>
      </w:r>
      <w:r>
        <w:t xml:space="preserve"> See paragraph 124 above.</w:t>
      </w:r>
    </w:p>
  </w:footnote>
  <w:footnote w:id="193">
    <w:p w14:paraId="7B046071" w14:textId="77777777" w:rsidR="00225B8B" w:rsidRDefault="00225B8B" w:rsidP="00A85020">
      <w:pPr>
        <w:pStyle w:val="FootnoteText"/>
        <w:spacing w:before="60" w:after="60"/>
        <w:jc w:val="both"/>
      </w:pPr>
      <w:r>
        <w:rPr>
          <w:rStyle w:val="FootnoteReference"/>
        </w:rPr>
        <w:footnoteRef/>
      </w:r>
      <w:r>
        <w:t xml:space="preserve"> See paragraph </w:t>
      </w:r>
      <w:r w:rsidRPr="00751778">
        <w:t>124(4) footnote 78</w:t>
      </w:r>
      <w:r>
        <w:t xml:space="preserve"> above.</w:t>
      </w:r>
    </w:p>
  </w:footnote>
  <w:footnote w:id="194">
    <w:p w14:paraId="71F4D3BF" w14:textId="77777777" w:rsidR="00225B8B" w:rsidRPr="00B9740E" w:rsidRDefault="00225B8B" w:rsidP="00A85020">
      <w:pPr>
        <w:pStyle w:val="FootnoteText"/>
        <w:spacing w:before="60" w:after="60"/>
        <w:jc w:val="both"/>
      </w:pPr>
      <w:r>
        <w:rPr>
          <w:rStyle w:val="FootnoteReference"/>
        </w:rPr>
        <w:footnoteRef/>
      </w:r>
      <w:r>
        <w:t xml:space="preserve"> </w:t>
      </w:r>
      <w:r>
        <w:rPr>
          <w:i/>
          <w:iCs/>
        </w:rPr>
        <w:t>Arab Monetary Fund v. Hashim (No 3)</w:t>
      </w:r>
      <w:r>
        <w:t>, [1991] 2 AC 114 at 165 (</w:t>
      </w:r>
      <w:r>
        <w:rPr>
          <w:i/>
          <w:iCs/>
        </w:rPr>
        <w:t xml:space="preserve">per </w:t>
      </w:r>
      <w:r>
        <w:t xml:space="preserve">Lord Templeman); </w:t>
      </w:r>
      <w:r>
        <w:rPr>
          <w:i/>
          <w:iCs/>
        </w:rPr>
        <w:t>The Law Debenture Trust Corporation plc v. Ukraine</w:t>
      </w:r>
      <w:r>
        <w:t xml:space="preserve">, [2018] EWCA Civ 2026 at [54] and [63]; </w:t>
      </w:r>
      <w:r>
        <w:rPr>
          <w:i/>
          <w:iCs/>
        </w:rPr>
        <w:t>McLachlan</w:t>
      </w:r>
      <w:r>
        <w:t xml:space="preserve"> at [10.09]. </w:t>
      </w:r>
    </w:p>
  </w:footnote>
  <w:footnote w:id="195">
    <w:p w14:paraId="586C3A99" w14:textId="77777777" w:rsidR="00225B8B" w:rsidRPr="00E43CED" w:rsidRDefault="00225B8B" w:rsidP="00A85020">
      <w:pPr>
        <w:pStyle w:val="FootnoteText"/>
        <w:spacing w:before="60" w:after="60"/>
        <w:jc w:val="both"/>
      </w:pPr>
      <w:r>
        <w:rPr>
          <w:rStyle w:val="FootnoteReference"/>
        </w:rPr>
        <w:footnoteRef/>
      </w:r>
      <w:r>
        <w:t xml:space="preserve"> </w:t>
      </w:r>
      <w:r>
        <w:rPr>
          <w:i/>
          <w:iCs/>
        </w:rPr>
        <w:t>The Law Debenture Trust Corporation plc v. Ukraine</w:t>
      </w:r>
      <w:r>
        <w:t>, [2018] EWCA Civ 2026 at [65] and [71].</w:t>
      </w:r>
    </w:p>
  </w:footnote>
  <w:footnote w:id="196">
    <w:p w14:paraId="4B10F54B" w14:textId="77777777" w:rsidR="00225B8B" w:rsidRPr="00952876" w:rsidRDefault="00225B8B" w:rsidP="00A85020">
      <w:pPr>
        <w:pStyle w:val="FootnoteText"/>
        <w:spacing w:before="60" w:after="60"/>
        <w:jc w:val="both"/>
      </w:pPr>
      <w:r>
        <w:rPr>
          <w:rStyle w:val="FootnoteReference"/>
        </w:rPr>
        <w:footnoteRef/>
      </w:r>
      <w:r>
        <w:t xml:space="preserve"> </w:t>
      </w:r>
      <w:r>
        <w:rPr>
          <w:i/>
          <w:iCs/>
        </w:rPr>
        <w:t>McLachlan</w:t>
      </w:r>
      <w:r>
        <w:t>, Ch 11.</w:t>
      </w:r>
    </w:p>
  </w:footnote>
  <w:footnote w:id="197">
    <w:p w14:paraId="649F25CC" w14:textId="77777777" w:rsidR="00225B8B" w:rsidRPr="004A63BE" w:rsidRDefault="00225B8B" w:rsidP="00A85020">
      <w:pPr>
        <w:pStyle w:val="FootnoteText"/>
        <w:spacing w:before="60" w:after="60"/>
        <w:jc w:val="both"/>
      </w:pPr>
      <w:r>
        <w:rPr>
          <w:rStyle w:val="FootnoteReference"/>
        </w:rPr>
        <w:footnoteRef/>
      </w:r>
      <w:r>
        <w:t xml:space="preserve"> </w:t>
      </w:r>
      <w:r>
        <w:rPr>
          <w:i/>
          <w:iCs/>
        </w:rPr>
        <w:t>McLachlan</w:t>
      </w:r>
      <w:r>
        <w:t>, Ch 12.</w:t>
      </w:r>
    </w:p>
  </w:footnote>
  <w:footnote w:id="198">
    <w:p w14:paraId="4879DDFF" w14:textId="77777777" w:rsidR="00225B8B" w:rsidRPr="009A2C03" w:rsidRDefault="00225B8B" w:rsidP="00A85020">
      <w:pPr>
        <w:pStyle w:val="FootnoteText"/>
        <w:spacing w:before="60" w:after="60"/>
        <w:jc w:val="both"/>
      </w:pPr>
      <w:r>
        <w:rPr>
          <w:rStyle w:val="FootnoteReference"/>
        </w:rPr>
        <w:footnoteRef/>
      </w:r>
      <w:r>
        <w:t xml:space="preserve"> Fox and Webb, </w:t>
      </w:r>
      <w:r>
        <w:rPr>
          <w:i/>
          <w:iCs/>
        </w:rPr>
        <w:t>The Law of State Immunity</w:t>
      </w:r>
      <w:r>
        <w:t>, 3</w:t>
      </w:r>
      <w:r w:rsidRPr="009A2C03">
        <w:rPr>
          <w:vertAlign w:val="superscript"/>
        </w:rPr>
        <w:t>rd</w:t>
      </w:r>
      <w:r>
        <w:t xml:space="preserve"> ed (2013) at 21.</w:t>
      </w:r>
    </w:p>
  </w:footnote>
  <w:footnote w:id="199">
    <w:p w14:paraId="06466624" w14:textId="77777777" w:rsidR="00225B8B" w:rsidRPr="005D3E58" w:rsidRDefault="00225B8B" w:rsidP="00A85020">
      <w:pPr>
        <w:pStyle w:val="FootnoteText"/>
        <w:spacing w:before="60" w:after="60"/>
        <w:jc w:val="both"/>
      </w:pPr>
      <w:r>
        <w:rPr>
          <w:rStyle w:val="FootnoteReference"/>
        </w:rPr>
        <w:footnoteRef/>
      </w:r>
      <w:r>
        <w:t xml:space="preserve"> </w:t>
      </w:r>
      <w:r>
        <w:rPr>
          <w:i/>
          <w:iCs/>
        </w:rPr>
        <w:t>Lewin</w:t>
      </w:r>
      <w:r>
        <w:t xml:space="preserve"> at [2-015]; </w:t>
      </w:r>
      <w:r>
        <w:rPr>
          <w:i/>
          <w:iCs/>
        </w:rPr>
        <w:t>Civilian War Claimants Association Ltd v. The King</w:t>
      </w:r>
      <w:r>
        <w:t>, [1932] AC 14 at 27 (</w:t>
      </w:r>
      <w:r>
        <w:rPr>
          <w:i/>
          <w:iCs/>
        </w:rPr>
        <w:t xml:space="preserve">per </w:t>
      </w:r>
      <w:r>
        <w:t xml:space="preserve">Lord Atkin); </w:t>
      </w:r>
      <w:r>
        <w:rPr>
          <w:i/>
          <w:iCs/>
        </w:rPr>
        <w:t>Nissan v. Attorney-General</w:t>
      </w:r>
      <w:r>
        <w:t>, [1970] AC 179 at 223 (</w:t>
      </w:r>
      <w:r>
        <w:rPr>
          <w:i/>
          <w:iCs/>
        </w:rPr>
        <w:t xml:space="preserve">per </w:t>
      </w:r>
      <w:r>
        <w:t>Lord Pearce).</w:t>
      </w:r>
    </w:p>
  </w:footnote>
  <w:footnote w:id="200">
    <w:p w14:paraId="55C93923" w14:textId="77777777" w:rsidR="00225B8B" w:rsidRDefault="00225B8B" w:rsidP="00A85020">
      <w:pPr>
        <w:pStyle w:val="FootnoteText"/>
        <w:spacing w:before="60" w:after="60"/>
        <w:jc w:val="both"/>
      </w:pPr>
      <w:r>
        <w:rPr>
          <w:rStyle w:val="FootnoteReference"/>
        </w:rPr>
        <w:footnoteRef/>
      </w:r>
      <w:r>
        <w:t xml:space="preserve"> [1977] 1 Ch 106 at 211.</w:t>
      </w:r>
    </w:p>
  </w:footnote>
  <w:footnote w:id="201">
    <w:p w14:paraId="23A1C730" w14:textId="77777777" w:rsidR="00225B8B" w:rsidRDefault="00225B8B" w:rsidP="00A85020">
      <w:pPr>
        <w:pStyle w:val="FootnoteText"/>
        <w:spacing w:before="60" w:after="60"/>
        <w:jc w:val="both"/>
      </w:pPr>
      <w:r>
        <w:rPr>
          <w:rStyle w:val="FootnoteReference"/>
        </w:rPr>
        <w:footnoteRef/>
      </w:r>
      <w:r>
        <w:t xml:space="preserve"> Megarry V-C referred to “trusts in the lower sense” and “trusts in the higher sense” (at 216). I am not sure that this nomenclature particularly assists: it is simply that sometimes an “obligation” may be assumed that is unenf</w:t>
      </w:r>
      <w:r w:rsidRPr="009E3E58">
        <w:t>orceabl</w:t>
      </w:r>
      <w:r>
        <w:t>e in court, perhaps as where a state accepts that it holds an object of art “on trust for the nation”.</w:t>
      </w:r>
    </w:p>
  </w:footnote>
  <w:footnote w:id="202">
    <w:p w14:paraId="10633D41" w14:textId="77777777" w:rsidR="00225B8B" w:rsidRDefault="00225B8B" w:rsidP="00A85020">
      <w:pPr>
        <w:pStyle w:val="FootnoteText"/>
        <w:spacing w:before="60" w:after="60"/>
        <w:jc w:val="both"/>
      </w:pPr>
      <w:r>
        <w:rPr>
          <w:rStyle w:val="FootnoteReference"/>
        </w:rPr>
        <w:footnoteRef/>
      </w:r>
      <w:r>
        <w:t xml:space="preserve"> Paragraph 55(c) of India’s written submissions.</w:t>
      </w:r>
    </w:p>
  </w:footnote>
  <w:footnote w:id="203">
    <w:p w14:paraId="4A319EA9" w14:textId="77777777" w:rsidR="00225B8B" w:rsidRDefault="00225B8B" w:rsidP="00A85020">
      <w:pPr>
        <w:pStyle w:val="FootnoteText"/>
        <w:spacing w:before="60" w:after="60"/>
        <w:jc w:val="both"/>
      </w:pPr>
      <w:r>
        <w:rPr>
          <w:rStyle w:val="FootnoteReference"/>
        </w:rPr>
        <w:footnoteRef/>
      </w:r>
      <w:r>
        <w:t xml:space="preserve"> [2016] EWHC 1465 (Ch) at [105].</w:t>
      </w:r>
    </w:p>
  </w:footnote>
  <w:footnote w:id="204">
    <w:p w14:paraId="6CA08E23" w14:textId="77777777" w:rsidR="00225B8B" w:rsidRPr="007572BE" w:rsidRDefault="00225B8B" w:rsidP="00A85020">
      <w:pPr>
        <w:pStyle w:val="FootnoteText"/>
        <w:spacing w:before="60" w:after="60"/>
        <w:jc w:val="both"/>
      </w:pPr>
      <w:r>
        <w:rPr>
          <w:rStyle w:val="FootnoteReference"/>
        </w:rPr>
        <w:footnoteRef/>
      </w:r>
      <w:r>
        <w:t xml:space="preserve"> In the case of personal injuries, see </w:t>
      </w:r>
      <w:r>
        <w:rPr>
          <w:i/>
          <w:iCs/>
        </w:rPr>
        <w:t>Cartledge v. E Jopling Ltd</w:t>
      </w:r>
      <w:r>
        <w:t xml:space="preserve">, [1963] AC 758; and in the case of damage to property, see </w:t>
      </w:r>
      <w:r>
        <w:rPr>
          <w:i/>
          <w:iCs/>
        </w:rPr>
        <w:t>Pirelli General Cable Works v. Oscar Faber &amp; Partners</w:t>
      </w:r>
      <w:r>
        <w:t xml:space="preserve">, [1983] 2 AC 1. See also the discussion in McGee, </w:t>
      </w:r>
      <w:r>
        <w:rPr>
          <w:i/>
          <w:iCs/>
        </w:rPr>
        <w:t>Limitation Periods</w:t>
      </w:r>
      <w:r>
        <w:t>, 8</w:t>
      </w:r>
      <w:r w:rsidRPr="007572BE">
        <w:rPr>
          <w:vertAlign w:val="superscript"/>
        </w:rPr>
        <w:t>th</w:t>
      </w:r>
      <w:r>
        <w:t xml:space="preserve"> ed (2018) (</w:t>
      </w:r>
      <w:r w:rsidRPr="007572BE">
        <w:rPr>
          <w:b/>
          <w:bCs/>
          <w:i/>
          <w:iCs/>
        </w:rPr>
        <w:t>McGee</w:t>
      </w:r>
      <w:r w:rsidRPr="007572BE">
        <w:t>)</w:t>
      </w:r>
      <w:r>
        <w:rPr>
          <w:b/>
          <w:bCs/>
        </w:rPr>
        <w:t xml:space="preserve"> </w:t>
      </w:r>
      <w:r w:rsidRPr="007572BE">
        <w:t>a</w:t>
      </w:r>
      <w:r>
        <w:t>t [1.008].</w:t>
      </w:r>
    </w:p>
  </w:footnote>
  <w:footnote w:id="205">
    <w:p w14:paraId="6679BF43" w14:textId="77777777" w:rsidR="00225B8B" w:rsidRPr="00BF4395" w:rsidRDefault="00225B8B" w:rsidP="00A85020">
      <w:pPr>
        <w:pStyle w:val="FootnoteText"/>
        <w:spacing w:before="60" w:after="60"/>
        <w:jc w:val="both"/>
        <w:rPr>
          <w:i/>
          <w:iCs/>
        </w:rPr>
      </w:pPr>
      <w:r>
        <w:rPr>
          <w:rStyle w:val="FootnoteReference"/>
        </w:rPr>
        <w:footnoteRef/>
      </w:r>
      <w:r>
        <w:t xml:space="preserve"> Section 14A was introduced into the Limitation Act 1980 by the Latent Damage Act 1986 as a direct result of the decision in </w:t>
      </w:r>
      <w:r>
        <w:rPr>
          <w:i/>
          <w:iCs/>
        </w:rPr>
        <w:t>Pirelli General Cable Works v. Oscar Faber &amp; Partners</w:t>
      </w:r>
      <w:r>
        <w:t>, [1983] 2 AC 1.</w:t>
      </w:r>
    </w:p>
  </w:footnote>
  <w:footnote w:id="206">
    <w:p w14:paraId="67AB5291" w14:textId="77777777" w:rsidR="00225B8B" w:rsidRDefault="00225B8B" w:rsidP="00A85020">
      <w:pPr>
        <w:pStyle w:val="FootnoteText"/>
        <w:spacing w:before="60" w:after="60"/>
        <w:jc w:val="both"/>
      </w:pPr>
      <w:r>
        <w:rPr>
          <w:rStyle w:val="FootnoteReference"/>
        </w:rPr>
        <w:footnoteRef/>
      </w:r>
      <w:r>
        <w:t xml:space="preserve"> See section 22 of the Limitation Act 1939 and section 28 of the Limitation Act 1980.</w:t>
      </w:r>
    </w:p>
  </w:footnote>
  <w:footnote w:id="207">
    <w:p w14:paraId="328B6DBA" w14:textId="77777777" w:rsidR="00225B8B" w:rsidRDefault="00225B8B" w:rsidP="00A85020">
      <w:pPr>
        <w:pStyle w:val="FootnoteText"/>
        <w:spacing w:before="60" w:after="60"/>
        <w:jc w:val="both"/>
      </w:pPr>
      <w:r>
        <w:rPr>
          <w:rStyle w:val="FootnoteReference"/>
        </w:rPr>
        <w:footnoteRef/>
      </w:r>
      <w:r>
        <w:t xml:space="preserve"> [1894] 2 QB 352.</w:t>
      </w:r>
    </w:p>
  </w:footnote>
  <w:footnote w:id="208">
    <w:p w14:paraId="29FD4560" w14:textId="77777777" w:rsidR="00225B8B" w:rsidRDefault="00225B8B" w:rsidP="00A85020">
      <w:pPr>
        <w:pStyle w:val="FootnoteText"/>
        <w:spacing w:before="60" w:after="60"/>
        <w:jc w:val="both"/>
      </w:pPr>
      <w:r>
        <w:rPr>
          <w:rStyle w:val="FootnoteReference"/>
        </w:rPr>
        <w:footnoteRef/>
      </w:r>
      <w:r>
        <w:t xml:space="preserve"> [2016] EWHC 1465 (Ch) at [138] to [139].</w:t>
      </w:r>
    </w:p>
  </w:footnote>
  <w:footnote w:id="209">
    <w:p w14:paraId="745B2E51" w14:textId="77777777" w:rsidR="00225B8B" w:rsidRDefault="00225B8B" w:rsidP="00A85020">
      <w:pPr>
        <w:pStyle w:val="FootnoteText"/>
        <w:spacing w:before="60" w:after="60"/>
        <w:jc w:val="both"/>
      </w:pPr>
      <w:r>
        <w:rPr>
          <w:rStyle w:val="FootnoteReference"/>
        </w:rPr>
        <w:footnoteRef/>
      </w:r>
      <w:r>
        <w:t xml:space="preserve"> At [139].</w:t>
      </w:r>
    </w:p>
  </w:footnote>
  <w:footnote w:id="210">
    <w:p w14:paraId="690CCD56" w14:textId="77777777" w:rsidR="00225B8B" w:rsidRDefault="00225B8B" w:rsidP="00A85020">
      <w:pPr>
        <w:pStyle w:val="FootnoteText"/>
        <w:spacing w:before="60" w:after="60"/>
        <w:jc w:val="both"/>
      </w:pPr>
      <w:r>
        <w:rPr>
          <w:rStyle w:val="FootnoteReference"/>
        </w:rPr>
        <w:footnoteRef/>
      </w:r>
      <w:r>
        <w:t xml:space="preserve"> At [139].</w:t>
      </w:r>
    </w:p>
  </w:footnote>
  <w:footnote w:id="211">
    <w:p w14:paraId="2B2E5C72" w14:textId="77777777" w:rsidR="00225B8B" w:rsidRPr="00764537" w:rsidRDefault="00225B8B" w:rsidP="00A85020">
      <w:pPr>
        <w:pStyle w:val="FootnoteText"/>
        <w:spacing w:before="60" w:after="60"/>
        <w:jc w:val="both"/>
      </w:pPr>
      <w:r>
        <w:rPr>
          <w:rStyle w:val="FootnoteReference"/>
        </w:rPr>
        <w:footnoteRef/>
      </w:r>
      <w:r>
        <w:t xml:space="preserve"> This is substantially the view expressed by Ouseley J in </w:t>
      </w:r>
      <w:r>
        <w:rPr>
          <w:i/>
          <w:iCs/>
        </w:rPr>
        <w:t>Chagos Islanders v. The Attorney General and Her Majesty’s British Indian Ocean Territory Commissioner</w:t>
      </w:r>
      <w:r>
        <w:t>, [2003] EWHC 2222 (QB) at [599], where he dismissed as unarguable the proposition that “the Court could suspend the effect of the Act where it would be unconscionable to allow the Defendants to rely upon it”. Ouseley J made the point, which I agree with, that the question of the extension of limitation periods was one for Parliament, and not the courts. Permission to appeal Ouseley J’s decision was sought and refused. The Court of Appeal ([2004] EWCA Civ 997 at [43] to [53]) expressed the view that “the judge was very probably right in rejecting this argument as a matter of principle” but did not consider the point to be unarguable. I express no views as to arguability or otherwise: I simply hold that the law, as I understand it, does not permit of the exception contended for by the Princes and India.</w:t>
      </w:r>
    </w:p>
  </w:footnote>
  <w:footnote w:id="212">
    <w:p w14:paraId="2C9D5316" w14:textId="77777777" w:rsidR="00225B8B" w:rsidRDefault="00225B8B" w:rsidP="00A85020">
      <w:pPr>
        <w:pStyle w:val="FootnoteText"/>
        <w:spacing w:before="60" w:after="60"/>
        <w:jc w:val="both"/>
      </w:pPr>
      <w:r>
        <w:rPr>
          <w:rStyle w:val="FootnoteReference"/>
        </w:rPr>
        <w:footnoteRef/>
      </w:r>
      <w:r>
        <w:t xml:space="preserve"> [2016] EWHC 1465 (Ch) at [115].</w:t>
      </w:r>
    </w:p>
  </w:footnote>
  <w:footnote w:id="213">
    <w:p w14:paraId="2A894C62" w14:textId="77777777" w:rsidR="00225B8B" w:rsidRPr="007C21D1" w:rsidRDefault="00225B8B" w:rsidP="00A85020">
      <w:pPr>
        <w:pStyle w:val="FootnoteText"/>
        <w:spacing w:before="60" w:after="60"/>
        <w:jc w:val="both"/>
      </w:pPr>
      <w:r>
        <w:rPr>
          <w:rStyle w:val="FootnoteReference"/>
        </w:rPr>
        <w:footnoteRef/>
      </w:r>
      <w:r>
        <w:t xml:space="preserve"> </w:t>
      </w:r>
      <w:r>
        <w:rPr>
          <w:i/>
          <w:iCs/>
        </w:rPr>
        <w:t>McGee</w:t>
      </w:r>
      <w:r>
        <w:t xml:space="preserve"> at [2.038].</w:t>
      </w:r>
    </w:p>
  </w:footnote>
  <w:footnote w:id="214">
    <w:p w14:paraId="704419D3" w14:textId="77777777" w:rsidR="00225B8B" w:rsidRPr="003B61B6" w:rsidRDefault="00225B8B" w:rsidP="00A85020">
      <w:pPr>
        <w:pStyle w:val="FootnoteText"/>
        <w:spacing w:before="60" w:after="60"/>
        <w:jc w:val="both"/>
      </w:pPr>
      <w:r>
        <w:rPr>
          <w:rStyle w:val="FootnoteReference"/>
        </w:rPr>
        <w:footnoteRef/>
      </w:r>
      <w:r>
        <w:t xml:space="preserve"> </w:t>
      </w:r>
      <w:r>
        <w:rPr>
          <w:i/>
          <w:iCs/>
        </w:rPr>
        <w:t>Hunter v. Chief Constable of the West Midlands Police</w:t>
      </w:r>
      <w:r>
        <w:t>, [1982] AC 529 at 536.</w:t>
      </w:r>
    </w:p>
  </w:footnote>
  <w:footnote w:id="215">
    <w:p w14:paraId="7F9FA5C4" w14:textId="77777777" w:rsidR="00225B8B" w:rsidRDefault="00225B8B" w:rsidP="00A85020">
      <w:pPr>
        <w:pStyle w:val="FootnoteText"/>
        <w:spacing w:before="60" w:after="60"/>
        <w:jc w:val="both"/>
      </w:pPr>
      <w:r>
        <w:rPr>
          <w:rStyle w:val="FootnoteReference"/>
        </w:rPr>
        <w:footnoteRef/>
      </w:r>
      <w:r>
        <w:t xml:space="preserve"> [2003] EWHC 2222 (QB) at [599].</w:t>
      </w:r>
    </w:p>
  </w:footnote>
  <w:footnote w:id="216">
    <w:p w14:paraId="2AA7429F" w14:textId="77777777" w:rsidR="00225B8B" w:rsidRDefault="00225B8B" w:rsidP="00A85020">
      <w:pPr>
        <w:pStyle w:val="FootnoteText"/>
        <w:spacing w:before="60" w:after="60"/>
        <w:jc w:val="both"/>
      </w:pPr>
      <w:r>
        <w:rPr>
          <w:rStyle w:val="FootnoteReference"/>
        </w:rPr>
        <w:footnoteRef/>
      </w:r>
      <w:r>
        <w:t xml:space="preserve"> What is more, had the provisions of the 1980 Act applied in 1948, it would have been possible to join the Princes and India to the 1954 Proceedings, as described above.</w:t>
      </w:r>
    </w:p>
  </w:footnote>
  <w:footnote w:id="217">
    <w:p w14:paraId="6DB38F52" w14:textId="77777777" w:rsidR="00225B8B" w:rsidRDefault="00225B8B" w:rsidP="00A85020">
      <w:pPr>
        <w:pStyle w:val="FootnoteText"/>
        <w:spacing w:before="60" w:after="60"/>
        <w:jc w:val="both"/>
      </w:pPr>
      <w:r>
        <w:rPr>
          <w:rStyle w:val="FootnoteReference"/>
        </w:rPr>
        <w:footnoteRef/>
      </w:r>
      <w:r>
        <w:t xml:space="preserve"> [2018] EWCA Civ 2026.</w:t>
      </w:r>
    </w:p>
  </w:footnote>
  <w:footnote w:id="218">
    <w:p w14:paraId="1C8E3A85" w14:textId="77777777" w:rsidR="00225B8B" w:rsidRDefault="00225B8B" w:rsidP="00A85020">
      <w:pPr>
        <w:pStyle w:val="FootnoteText"/>
        <w:spacing w:before="60" w:after="60"/>
        <w:jc w:val="both"/>
      </w:pPr>
      <w:r>
        <w:rPr>
          <w:rStyle w:val="FootnoteReference"/>
        </w:rPr>
        <w:footnoteRef/>
      </w:r>
      <w:r>
        <w:t xml:space="preserve"> At [183].</w:t>
      </w:r>
    </w:p>
  </w:footnote>
  <w:footnote w:id="219">
    <w:p w14:paraId="1767D25E" w14:textId="77777777" w:rsidR="00225B8B" w:rsidRDefault="00225B8B" w:rsidP="00A85020">
      <w:pPr>
        <w:pStyle w:val="FootnoteText"/>
        <w:spacing w:before="60" w:after="60"/>
        <w:jc w:val="both"/>
      </w:pPr>
      <w:r>
        <w:rPr>
          <w:rStyle w:val="FootnoteReference"/>
        </w:rPr>
        <w:footnoteRef/>
      </w:r>
      <w:r>
        <w:t xml:space="preserve"> At [184].</w:t>
      </w:r>
    </w:p>
  </w:footnote>
  <w:footnote w:id="220">
    <w:p w14:paraId="04FE0FA8" w14:textId="77777777" w:rsidR="00225B8B" w:rsidRDefault="00225B8B" w:rsidP="00A85020">
      <w:pPr>
        <w:pStyle w:val="FootnoteText"/>
        <w:spacing w:before="60" w:after="60"/>
        <w:jc w:val="both"/>
      </w:pPr>
      <w:r>
        <w:rPr>
          <w:rStyle w:val="FootnoteReference"/>
        </w:rPr>
        <w:footnoteRef/>
      </w:r>
      <w:r>
        <w:t xml:space="preserve"> (1777) 2 Cowp 565, 98 ER 1243.</w:t>
      </w:r>
    </w:p>
  </w:footnote>
  <w:footnote w:id="221">
    <w:p w14:paraId="21AB59A7" w14:textId="77777777" w:rsidR="00225B8B" w:rsidRDefault="00225B8B" w:rsidP="00A85020">
      <w:pPr>
        <w:pStyle w:val="FootnoteText"/>
        <w:spacing w:before="60" w:after="60"/>
        <w:jc w:val="both"/>
      </w:pPr>
      <w:r>
        <w:rPr>
          <w:rStyle w:val="FootnoteReference"/>
        </w:rPr>
        <w:footnoteRef/>
      </w:r>
      <w:r>
        <w:t xml:space="preserve"> The law has been stated thus many times. In addition to the authorities cited in this paragraph, see also: </w:t>
      </w:r>
      <w:hyperlink r:id="rId1" w:history="1">
        <w:r w:rsidRPr="00F90DBF">
          <w:rPr>
            <w:i/>
            <w:iCs/>
            <w:lang w:eastAsia="en-GB"/>
          </w:rPr>
          <w:t>Pollard v</w:t>
        </w:r>
        <w:r w:rsidRPr="00012588">
          <w:rPr>
            <w:i/>
            <w:iCs/>
            <w:lang w:eastAsia="en-GB"/>
          </w:rPr>
          <w:t>.</w:t>
        </w:r>
        <w:r w:rsidRPr="00F90DBF">
          <w:rPr>
            <w:i/>
            <w:iCs/>
            <w:lang w:eastAsia="en-GB"/>
          </w:rPr>
          <w:t xml:space="preserve"> Bank of Englan</w:t>
        </w:r>
        <w:r w:rsidRPr="00012588">
          <w:rPr>
            <w:i/>
            <w:iCs/>
            <w:lang w:eastAsia="en-GB"/>
          </w:rPr>
          <w:t>d</w:t>
        </w:r>
        <w:r>
          <w:rPr>
            <w:lang w:eastAsia="en-GB"/>
          </w:rPr>
          <w:t>,</w:t>
        </w:r>
        <w:r w:rsidRPr="00F90DBF">
          <w:rPr>
            <w:lang w:eastAsia="en-GB"/>
          </w:rPr>
          <w:t xml:space="preserve"> (1871)</w:t>
        </w:r>
        <w:r>
          <w:rPr>
            <w:lang w:eastAsia="en-GB"/>
          </w:rPr>
          <w:t xml:space="preserve"> </w:t>
        </w:r>
        <w:r w:rsidRPr="00F90DBF">
          <w:rPr>
            <w:lang w:eastAsia="en-GB"/>
          </w:rPr>
          <w:t>LR 6 QB 623</w:t>
        </w:r>
      </w:hyperlink>
      <w:r w:rsidRPr="00F90DBF">
        <w:rPr>
          <w:shd w:val="clear" w:color="auto" w:fill="FFFFFF"/>
          <w:lang w:eastAsia="en-GB"/>
        </w:rPr>
        <w:t xml:space="preserve"> at 630 </w:t>
      </w:r>
      <w:r>
        <w:rPr>
          <w:shd w:val="clear" w:color="auto" w:fill="FFFFFF"/>
          <w:lang w:eastAsia="en-GB"/>
        </w:rPr>
        <w:t>(</w:t>
      </w:r>
      <w:r w:rsidRPr="00F90DBF">
        <w:rPr>
          <w:i/>
          <w:iCs/>
          <w:shd w:val="clear" w:color="auto" w:fill="FFFFFF"/>
          <w:lang w:eastAsia="en-GB"/>
        </w:rPr>
        <w:t>per</w:t>
      </w:r>
      <w:r w:rsidRPr="00F90DBF">
        <w:rPr>
          <w:shd w:val="clear" w:color="auto" w:fill="FFFFFF"/>
          <w:lang w:eastAsia="en-GB"/>
        </w:rPr>
        <w:t xml:space="preserve"> Blackburn J</w:t>
      </w:r>
      <w:r>
        <w:rPr>
          <w:shd w:val="clear" w:color="auto" w:fill="FFFFFF"/>
          <w:lang w:eastAsia="en-GB"/>
        </w:rPr>
        <w:t>)</w:t>
      </w:r>
      <w:r w:rsidRPr="00F90DBF">
        <w:rPr>
          <w:shd w:val="clear" w:color="auto" w:fill="FFFFFF"/>
          <w:lang w:eastAsia="en-GB"/>
        </w:rPr>
        <w:t>; </w:t>
      </w:r>
      <w:bookmarkStart w:id="5" w:name="_Hlk19804480"/>
      <w:r w:rsidRPr="00F90DBF">
        <w:rPr>
          <w:i/>
          <w:iCs/>
          <w:lang w:eastAsia="en-GB"/>
        </w:rPr>
        <w:t>Continental Caoutchouc and Gutta Percha Co v</w:t>
      </w:r>
      <w:r>
        <w:rPr>
          <w:i/>
          <w:iCs/>
          <w:lang w:eastAsia="en-GB"/>
        </w:rPr>
        <w:t>.</w:t>
      </w:r>
      <w:r w:rsidRPr="00F90DBF">
        <w:rPr>
          <w:i/>
          <w:iCs/>
          <w:lang w:eastAsia="en-GB"/>
        </w:rPr>
        <w:t xml:space="preserve"> Kleinwort, Sons &amp; Co</w:t>
      </w:r>
      <w:r>
        <w:rPr>
          <w:lang w:eastAsia="en-GB"/>
        </w:rPr>
        <w:t>,</w:t>
      </w:r>
      <w:r w:rsidRPr="00F90DBF">
        <w:rPr>
          <w:i/>
          <w:iCs/>
          <w:lang w:eastAsia="en-GB"/>
        </w:rPr>
        <w:t xml:space="preserve"> </w:t>
      </w:r>
      <w:r w:rsidRPr="00F90DBF">
        <w:rPr>
          <w:lang w:eastAsia="en-GB"/>
        </w:rPr>
        <w:t>(1904) 90 LT 47</w:t>
      </w:r>
      <w:r w:rsidRPr="00012588">
        <w:rPr>
          <w:lang w:eastAsia="en-GB"/>
        </w:rPr>
        <w:t>4</w:t>
      </w:r>
      <w:r>
        <w:rPr>
          <w:lang w:eastAsia="en-GB"/>
        </w:rPr>
        <w:t>;</w:t>
      </w:r>
      <w:bookmarkEnd w:id="5"/>
      <w:r w:rsidRPr="00F90DBF">
        <w:rPr>
          <w:shd w:val="clear" w:color="auto" w:fill="FFFFFF"/>
          <w:lang w:eastAsia="en-GB"/>
        </w:rPr>
        <w:t> </w:t>
      </w:r>
      <w:r w:rsidRPr="00F90DBF">
        <w:rPr>
          <w:i/>
          <w:iCs/>
          <w:lang w:eastAsia="en-GB"/>
        </w:rPr>
        <w:t>Kleinwort, Sons &amp; Co v Dunlop Rubber Co</w:t>
      </w:r>
      <w:r>
        <w:rPr>
          <w:lang w:eastAsia="en-GB"/>
        </w:rPr>
        <w:t>,</w:t>
      </w:r>
      <w:r w:rsidRPr="00F90DBF">
        <w:rPr>
          <w:i/>
          <w:iCs/>
          <w:lang w:eastAsia="en-GB"/>
        </w:rPr>
        <w:t xml:space="preserve"> </w:t>
      </w:r>
      <w:r w:rsidRPr="00F90DBF">
        <w:rPr>
          <w:lang w:eastAsia="en-GB"/>
        </w:rPr>
        <w:t>(1907) 97 LT 263</w:t>
      </w:r>
      <w:r w:rsidRPr="00F90DBF">
        <w:rPr>
          <w:shd w:val="clear" w:color="auto" w:fill="FFFFFF"/>
          <w:lang w:eastAsia="en-GB"/>
        </w:rPr>
        <w:t>; </w:t>
      </w:r>
      <w:r w:rsidRPr="00F90DBF">
        <w:rPr>
          <w:i/>
          <w:iCs/>
          <w:lang w:eastAsia="en-GB"/>
        </w:rPr>
        <w:t>Kerrison v</w:t>
      </w:r>
      <w:r>
        <w:rPr>
          <w:i/>
          <w:iCs/>
          <w:lang w:eastAsia="en-GB"/>
        </w:rPr>
        <w:t>.</w:t>
      </w:r>
      <w:r w:rsidRPr="00F90DBF">
        <w:rPr>
          <w:i/>
          <w:iCs/>
          <w:lang w:eastAsia="en-GB"/>
        </w:rPr>
        <w:t xml:space="preserve"> Glyn, Mills, Currie &amp; Co</w:t>
      </w:r>
      <w:r>
        <w:rPr>
          <w:lang w:eastAsia="en-GB"/>
        </w:rPr>
        <w:t>,</w:t>
      </w:r>
      <w:r w:rsidRPr="00F90DBF">
        <w:rPr>
          <w:i/>
          <w:iCs/>
          <w:lang w:eastAsia="en-GB"/>
        </w:rPr>
        <w:t xml:space="preserve"> </w:t>
      </w:r>
      <w:r w:rsidRPr="00F90DBF">
        <w:rPr>
          <w:lang w:eastAsia="en-GB"/>
        </w:rPr>
        <w:t>(1911) 81 LJKB 465</w:t>
      </w:r>
      <w:r w:rsidRPr="00F90DBF">
        <w:rPr>
          <w:shd w:val="clear" w:color="auto" w:fill="FFFFFF"/>
          <w:lang w:eastAsia="en-GB"/>
        </w:rPr>
        <w:t>; </w:t>
      </w:r>
      <w:bookmarkStart w:id="6" w:name="_Hlk19804805"/>
      <w:r w:rsidRPr="00F90DBF">
        <w:rPr>
          <w:i/>
          <w:iCs/>
          <w:lang w:eastAsia="en-GB"/>
        </w:rPr>
        <w:t>Transvaal and Delagoa Bay Investment Co Ltd v</w:t>
      </w:r>
      <w:r>
        <w:rPr>
          <w:i/>
          <w:iCs/>
          <w:lang w:eastAsia="en-GB"/>
        </w:rPr>
        <w:t>.</w:t>
      </w:r>
      <w:r w:rsidRPr="00F90DBF">
        <w:rPr>
          <w:i/>
          <w:iCs/>
          <w:lang w:eastAsia="en-GB"/>
        </w:rPr>
        <w:t xml:space="preserve"> Atkinson</w:t>
      </w:r>
      <w:r>
        <w:rPr>
          <w:lang w:eastAsia="en-GB"/>
        </w:rPr>
        <w:t>,</w:t>
      </w:r>
      <w:r w:rsidRPr="00F90DBF">
        <w:rPr>
          <w:i/>
          <w:iCs/>
          <w:lang w:eastAsia="en-GB"/>
        </w:rPr>
        <w:t xml:space="preserve"> </w:t>
      </w:r>
      <w:r w:rsidRPr="00F90DBF">
        <w:rPr>
          <w:lang w:eastAsia="en-GB"/>
        </w:rPr>
        <w:t>[1944] 1 All ER 579</w:t>
      </w:r>
      <w:bookmarkEnd w:id="6"/>
      <w:r w:rsidRPr="00F90DBF">
        <w:rPr>
          <w:shd w:val="clear" w:color="auto" w:fill="FFFFFF"/>
          <w:lang w:eastAsia="en-GB"/>
        </w:rPr>
        <w:t>; </w:t>
      </w:r>
      <w:hyperlink r:id="rId2" w:history="1">
        <w:r w:rsidRPr="00F90DBF">
          <w:rPr>
            <w:i/>
            <w:iCs/>
            <w:lang w:eastAsia="en-GB"/>
          </w:rPr>
          <w:t>Australia and New Zealand Banking Group Ltd v</w:t>
        </w:r>
        <w:r>
          <w:rPr>
            <w:i/>
            <w:iCs/>
            <w:lang w:eastAsia="en-GB"/>
          </w:rPr>
          <w:t>.</w:t>
        </w:r>
        <w:r w:rsidRPr="00F90DBF">
          <w:rPr>
            <w:i/>
            <w:iCs/>
            <w:lang w:eastAsia="en-GB"/>
          </w:rPr>
          <w:t xml:space="preserve"> Westpac Banking Corp</w:t>
        </w:r>
        <w:r>
          <w:rPr>
            <w:lang w:eastAsia="en-GB"/>
          </w:rPr>
          <w:t>,</w:t>
        </w:r>
        <w:r w:rsidRPr="00F90DBF">
          <w:rPr>
            <w:i/>
            <w:iCs/>
            <w:lang w:eastAsia="en-GB"/>
          </w:rPr>
          <w:t xml:space="preserve"> </w:t>
        </w:r>
        <w:r w:rsidRPr="00F90DBF">
          <w:rPr>
            <w:lang w:eastAsia="en-GB"/>
          </w:rPr>
          <w:t>(1988) 164 CLR 662</w:t>
        </w:r>
      </w:hyperlink>
      <w:r w:rsidRPr="00F90DBF">
        <w:rPr>
          <w:shd w:val="clear" w:color="auto" w:fill="FFFFFF"/>
          <w:lang w:eastAsia="en-GB"/>
        </w:rPr>
        <w:t>; </w:t>
      </w:r>
      <w:hyperlink r:id="rId3" w:history="1">
        <w:r w:rsidRPr="00F90DBF">
          <w:rPr>
            <w:i/>
            <w:iCs/>
            <w:lang w:eastAsia="en-GB"/>
          </w:rPr>
          <w:t>Agip (Africa) Ltd v</w:t>
        </w:r>
        <w:r>
          <w:rPr>
            <w:i/>
            <w:iCs/>
            <w:lang w:eastAsia="en-GB"/>
          </w:rPr>
          <w:t>.</w:t>
        </w:r>
        <w:r w:rsidRPr="00F90DBF">
          <w:rPr>
            <w:i/>
            <w:iCs/>
            <w:lang w:eastAsia="en-GB"/>
          </w:rPr>
          <w:t xml:space="preserve"> Jackson</w:t>
        </w:r>
        <w:r>
          <w:rPr>
            <w:lang w:eastAsia="en-GB"/>
          </w:rPr>
          <w:t>,</w:t>
        </w:r>
        <w:r w:rsidRPr="00F90DBF">
          <w:rPr>
            <w:i/>
            <w:iCs/>
            <w:lang w:eastAsia="en-GB"/>
          </w:rPr>
          <w:t xml:space="preserve"> </w:t>
        </w:r>
        <w:r w:rsidRPr="00F90DBF">
          <w:rPr>
            <w:lang w:eastAsia="en-GB"/>
          </w:rPr>
          <w:t>[1990] Ch. 265</w:t>
        </w:r>
      </w:hyperlink>
      <w:r w:rsidRPr="00F90DBF">
        <w:rPr>
          <w:shd w:val="clear" w:color="auto" w:fill="FFFFFF"/>
          <w:lang w:eastAsia="en-GB"/>
        </w:rPr>
        <w:t> at 288–289</w:t>
      </w:r>
      <w:r>
        <w:rPr>
          <w:shd w:val="clear" w:color="auto" w:fill="FFFFFF"/>
          <w:lang w:eastAsia="en-GB"/>
        </w:rPr>
        <w:t xml:space="preserve"> (</w:t>
      </w:r>
      <w:r>
        <w:rPr>
          <w:i/>
          <w:iCs/>
          <w:shd w:val="clear" w:color="auto" w:fill="FFFFFF"/>
          <w:lang w:eastAsia="en-GB"/>
        </w:rPr>
        <w:t xml:space="preserve">per </w:t>
      </w:r>
      <w:r>
        <w:rPr>
          <w:shd w:val="clear" w:color="auto" w:fill="FFFFFF"/>
          <w:lang w:eastAsia="en-GB"/>
        </w:rPr>
        <w:t>Millett J);</w:t>
      </w:r>
      <w:r>
        <w:t xml:space="preserve"> </w:t>
      </w:r>
      <w:r>
        <w:rPr>
          <w:i/>
          <w:iCs/>
        </w:rPr>
        <w:t>Jones v. Churcher</w:t>
      </w:r>
      <w:r>
        <w:t>, [2009] EWHC 722 (QB) at [41] and [66] to [78] (</w:t>
      </w:r>
      <w:r>
        <w:rPr>
          <w:i/>
          <w:iCs/>
        </w:rPr>
        <w:t xml:space="preserve">per </w:t>
      </w:r>
      <w:r>
        <w:t>His Honour Judge Havelock Allen, QC);</w:t>
      </w:r>
      <w:r>
        <w:rPr>
          <w:i/>
          <w:iCs/>
        </w:rPr>
        <w:t xml:space="preserve"> </w:t>
      </w:r>
      <w:r>
        <w:t xml:space="preserve">Burrows, </w:t>
      </w:r>
      <w:r>
        <w:rPr>
          <w:i/>
          <w:iCs/>
        </w:rPr>
        <w:t>A Restatement of the English Law of Unjust Enrichment</w:t>
      </w:r>
      <w:r>
        <w:t>, 1</w:t>
      </w:r>
      <w:r w:rsidRPr="00BA632E">
        <w:rPr>
          <w:vertAlign w:val="superscript"/>
        </w:rPr>
        <w:t>st</w:t>
      </w:r>
      <w:r>
        <w:t xml:space="preserve"> ed (2012) at Proposition 25;</w:t>
      </w:r>
      <w:r>
        <w:rPr>
          <w:i/>
          <w:iCs/>
        </w:rPr>
        <w:t xml:space="preserve"> </w:t>
      </w:r>
      <w:r>
        <w:t xml:space="preserve">Watts &amp; Reynolds, </w:t>
      </w:r>
      <w:r w:rsidRPr="008C50F7">
        <w:rPr>
          <w:i/>
          <w:iCs/>
        </w:rPr>
        <w:t>Bowstead &amp;</w:t>
      </w:r>
      <w:r>
        <w:rPr>
          <w:i/>
          <w:iCs/>
        </w:rPr>
        <w:t xml:space="preserve"> Reynolds on Agency</w:t>
      </w:r>
      <w:r>
        <w:t>, 21</w:t>
      </w:r>
      <w:r w:rsidRPr="008C50F7">
        <w:rPr>
          <w:vertAlign w:val="superscript"/>
        </w:rPr>
        <w:t>st</w:t>
      </w:r>
      <w:r>
        <w:t xml:space="preserve"> ed (2018) (</w:t>
      </w:r>
      <w:r>
        <w:rPr>
          <w:b/>
          <w:bCs/>
          <w:i/>
          <w:iCs/>
        </w:rPr>
        <w:t>Bowstead &amp; Reynolds</w:t>
      </w:r>
      <w:r>
        <w:t>) at Article 111 and [9-106].</w:t>
      </w:r>
    </w:p>
  </w:footnote>
  <w:footnote w:id="222">
    <w:p w14:paraId="459B294B" w14:textId="77777777" w:rsidR="00225B8B" w:rsidRDefault="00225B8B" w:rsidP="00A85020">
      <w:pPr>
        <w:pStyle w:val="FootnoteText"/>
        <w:spacing w:before="60" w:after="60"/>
        <w:jc w:val="both"/>
      </w:pPr>
      <w:r>
        <w:rPr>
          <w:rStyle w:val="FootnoteReference"/>
        </w:rPr>
        <w:footnoteRef/>
      </w:r>
      <w:r>
        <w:t xml:space="preserve"> [</w:t>
      </w:r>
      <w:bookmarkStart w:id="8" w:name="_Hlk19805266"/>
      <w:r>
        <w:t xml:space="preserve">1998] 4 All ER 202 </w:t>
      </w:r>
      <w:bookmarkEnd w:id="8"/>
      <w:r>
        <w:t>at 207.</w:t>
      </w:r>
    </w:p>
  </w:footnote>
  <w:footnote w:id="223">
    <w:p w14:paraId="6C8C02FA" w14:textId="77777777" w:rsidR="00225B8B" w:rsidRDefault="00225B8B" w:rsidP="00A85020">
      <w:pPr>
        <w:pStyle w:val="FootnoteText"/>
        <w:spacing w:before="60" w:after="60"/>
        <w:jc w:val="both"/>
      </w:pPr>
      <w:r>
        <w:rPr>
          <w:rStyle w:val="FootnoteReference"/>
        </w:rPr>
        <w:footnoteRef/>
      </w:r>
      <w:r>
        <w:t xml:space="preserve"> [2013] EWHC 208 (Ch).</w:t>
      </w:r>
    </w:p>
  </w:footnote>
  <w:footnote w:id="224">
    <w:p w14:paraId="525B1DC4" w14:textId="77777777" w:rsidR="00225B8B" w:rsidRDefault="00225B8B" w:rsidP="00A85020">
      <w:pPr>
        <w:pStyle w:val="FootnoteText"/>
        <w:spacing w:before="60" w:after="60"/>
        <w:jc w:val="both"/>
      </w:pPr>
      <w:r>
        <w:rPr>
          <w:rStyle w:val="FootnoteReference"/>
        </w:rPr>
        <w:footnoteRef/>
      </w:r>
      <w:r>
        <w:t xml:space="preserve"> We are here only concerned with the question of enrichment.</w:t>
      </w:r>
    </w:p>
  </w:footnote>
  <w:footnote w:id="225">
    <w:p w14:paraId="0C91C63E" w14:textId="77777777" w:rsidR="00225B8B" w:rsidRDefault="00225B8B" w:rsidP="00A85020">
      <w:pPr>
        <w:pStyle w:val="FootnoteText"/>
        <w:spacing w:before="60" w:after="60"/>
        <w:jc w:val="both"/>
      </w:pPr>
      <w:r>
        <w:rPr>
          <w:rStyle w:val="FootnoteReference"/>
        </w:rPr>
        <w:footnoteRef/>
      </w:r>
      <w:r>
        <w:t xml:space="preserve"> [2018] EWHC 1731 (Comm) at [109].</w:t>
      </w:r>
    </w:p>
  </w:footnote>
  <w:footnote w:id="226">
    <w:p w14:paraId="4F6EEA6D" w14:textId="77777777" w:rsidR="00225B8B" w:rsidRPr="002E5A2F" w:rsidRDefault="00225B8B" w:rsidP="00A85020">
      <w:pPr>
        <w:pStyle w:val="FootnoteText"/>
        <w:spacing w:before="60" w:after="60"/>
        <w:jc w:val="both"/>
      </w:pPr>
      <w:r>
        <w:rPr>
          <w:rStyle w:val="FootnoteReference"/>
        </w:rPr>
        <w:footnoteRef/>
      </w:r>
      <w:r>
        <w:t xml:space="preserve"> </w:t>
      </w:r>
      <w:r w:rsidRPr="00281E8E">
        <w:rPr>
          <w:i/>
          <w:iCs/>
        </w:rPr>
        <w:t>Bowstead &amp; Reynolds</w:t>
      </w:r>
      <w:r>
        <w:t xml:space="preserve"> at [9-106] says the decision in </w:t>
      </w:r>
      <w:r w:rsidRPr="00A705D8">
        <w:rPr>
          <w:i/>
          <w:iCs/>
        </w:rPr>
        <w:t>Jeremy D Stone Consultants Ltd</w:t>
      </w:r>
      <w:r>
        <w:t xml:space="preserve"> is </w:t>
      </w:r>
      <w:r>
        <w:rPr>
          <w:i/>
          <w:iCs/>
        </w:rPr>
        <w:t>per incuriam</w:t>
      </w:r>
      <w:r>
        <w:t>.</w:t>
      </w:r>
    </w:p>
  </w:footnote>
  <w:footnote w:id="227">
    <w:p w14:paraId="6D243063" w14:textId="77777777" w:rsidR="00225B8B" w:rsidRDefault="00225B8B" w:rsidP="00A85020">
      <w:pPr>
        <w:pStyle w:val="FootnoteText"/>
        <w:spacing w:before="60" w:after="60"/>
        <w:jc w:val="both"/>
      </w:pPr>
      <w:r>
        <w:rPr>
          <w:rStyle w:val="FootnoteReference"/>
        </w:rPr>
        <w:footnoteRef/>
      </w:r>
      <w:r>
        <w:t xml:space="preserve"> Mitchell, Mitchell &amp; Watterson, </w:t>
      </w:r>
      <w:r>
        <w:rPr>
          <w:i/>
          <w:iCs/>
        </w:rPr>
        <w:t>Goff &amp; Jones: The Law of Unjust Enrichment</w:t>
      </w:r>
      <w:r>
        <w:t>, 9</w:t>
      </w:r>
      <w:r w:rsidRPr="00092D58">
        <w:rPr>
          <w:vertAlign w:val="superscript"/>
        </w:rPr>
        <w:t>th</w:t>
      </w:r>
      <w:r>
        <w:t xml:space="preserve"> ed (2016) (</w:t>
      </w:r>
      <w:r>
        <w:rPr>
          <w:b/>
          <w:bCs/>
          <w:i/>
          <w:iCs/>
        </w:rPr>
        <w:t>Goff &amp; Jones</w:t>
      </w:r>
      <w:r>
        <w:t>)</w:t>
      </w:r>
      <w:r>
        <w:rPr>
          <w:i/>
          <w:iCs/>
        </w:rPr>
        <w:t xml:space="preserve"> </w:t>
      </w:r>
      <w:r>
        <w:t>at [28.18].</w:t>
      </w:r>
    </w:p>
  </w:footnote>
  <w:footnote w:id="228">
    <w:p w14:paraId="2061292C" w14:textId="77777777" w:rsidR="00225B8B" w:rsidRPr="00122BC0" w:rsidRDefault="00225B8B" w:rsidP="00A85020">
      <w:pPr>
        <w:pStyle w:val="FootnoteText"/>
        <w:spacing w:before="60" w:after="60"/>
        <w:jc w:val="both"/>
      </w:pPr>
      <w:r>
        <w:rPr>
          <w:rStyle w:val="FootnoteReference"/>
        </w:rPr>
        <w:footnoteRef/>
      </w:r>
      <w:r>
        <w:t xml:space="preserve"> </w:t>
      </w:r>
      <w:r w:rsidRPr="00F5486C">
        <w:t>Two authorities were cited in</w:t>
      </w:r>
      <w:r>
        <w:t xml:space="preserve"> </w:t>
      </w:r>
      <w:r>
        <w:rPr>
          <w:i/>
          <w:iCs/>
        </w:rPr>
        <w:t xml:space="preserve">Jeremy D Stone </w:t>
      </w:r>
      <w:r>
        <w:t>at</w:t>
      </w:r>
      <w:r w:rsidRPr="00F5486C">
        <w:t xml:space="preserve"> [243]: </w:t>
      </w:r>
      <w:bookmarkStart w:id="9" w:name="_Hlk19805673"/>
      <w:r w:rsidRPr="00F5486C">
        <w:rPr>
          <w:i/>
          <w:iCs/>
        </w:rPr>
        <w:t>Box v. Barclays Bank plc</w:t>
      </w:r>
      <w:r w:rsidRPr="00F5486C">
        <w:t xml:space="preserve">, [1998] Lloyd’s Rep Bank 185 </w:t>
      </w:r>
      <w:bookmarkEnd w:id="9"/>
      <w:r w:rsidRPr="00F5486C">
        <w:t xml:space="preserve">and </w:t>
      </w:r>
      <w:bookmarkStart w:id="10" w:name="_Hlk19805773"/>
      <w:r w:rsidRPr="00F5486C">
        <w:rPr>
          <w:i/>
          <w:iCs/>
        </w:rPr>
        <w:t>Compagnie Commercial Andre SA v. Artibell Shipping Co Ltd</w:t>
      </w:r>
      <w:r>
        <w:rPr>
          <w:i/>
          <w:iCs/>
        </w:rPr>
        <w:t xml:space="preserve"> (No 2)</w:t>
      </w:r>
      <w:r w:rsidRPr="00F5486C">
        <w:t>, [2001] SC 653</w:t>
      </w:r>
      <w:bookmarkEnd w:id="10"/>
      <w:r w:rsidRPr="00F5486C">
        <w:t xml:space="preserve">, Court of Session, Outer House at [16] </w:t>
      </w:r>
      <w:r w:rsidRPr="00F5486C">
        <w:rPr>
          <w:i/>
          <w:iCs/>
        </w:rPr>
        <w:t xml:space="preserve">per </w:t>
      </w:r>
      <w:r w:rsidRPr="00F5486C">
        <w:t>Lord Macfadyn).</w:t>
      </w:r>
      <w:r>
        <w:t xml:space="preserve"> In </w:t>
      </w:r>
      <w:r>
        <w:rPr>
          <w:i/>
          <w:iCs/>
        </w:rPr>
        <w:t>Box</w:t>
      </w:r>
      <w:r>
        <w:t xml:space="preserve">, the claimants contended that monies held by a bank were held on constructive trust by it, because its customer (which was in liquidation) had operated a deposit taking business without authorisation. The claim – which had nothing to do with the doctrine of ministerial receipt – failed. In </w:t>
      </w:r>
      <w:r>
        <w:rPr>
          <w:i/>
          <w:iCs/>
        </w:rPr>
        <w:t>Artibell</w:t>
      </w:r>
      <w:r>
        <w:t xml:space="preserve">, Lord Macfadyen did say that a bank would not be enriched by a mistaken payment because the bank would itself come under an immediate obligation to pay a corresponding amount to its customer. However, the relevant authorities on point were not considered, and it appears that the point was conceded by counsel. The only authority cited in </w:t>
      </w:r>
      <w:r>
        <w:rPr>
          <w:i/>
          <w:iCs/>
        </w:rPr>
        <w:t>Sixteenth Ocean</w:t>
      </w:r>
      <w:r>
        <w:t xml:space="preserve"> was </w:t>
      </w:r>
      <w:r>
        <w:rPr>
          <w:i/>
          <w:iCs/>
        </w:rPr>
        <w:t>Jeremy D Stone</w:t>
      </w:r>
      <w:r>
        <w:t xml:space="preserve"> itself.</w:t>
      </w:r>
    </w:p>
  </w:footnote>
  <w:footnote w:id="229">
    <w:p w14:paraId="4A754357" w14:textId="77777777" w:rsidR="00225B8B" w:rsidRDefault="00225B8B" w:rsidP="00A85020">
      <w:pPr>
        <w:pStyle w:val="FootnoteText"/>
        <w:spacing w:before="60" w:after="60"/>
        <w:jc w:val="both"/>
      </w:pPr>
      <w:r>
        <w:rPr>
          <w:rStyle w:val="FootnoteReference"/>
        </w:rPr>
        <w:footnoteRef/>
      </w:r>
      <w:r>
        <w:t xml:space="preserve"> Where the agent, not knowing of the restitutionary claim, pays the principal. In such a case, it is clear law that the agent will have a good defence and the claimant can only claim against the principal. </w:t>
      </w:r>
    </w:p>
  </w:footnote>
  <w:footnote w:id="230">
    <w:p w14:paraId="0FA54FF4" w14:textId="77777777" w:rsidR="00225B8B" w:rsidRPr="00400264" w:rsidRDefault="00225B8B" w:rsidP="00A85020">
      <w:pPr>
        <w:pStyle w:val="FootnoteText"/>
        <w:spacing w:before="60" w:after="60"/>
        <w:jc w:val="both"/>
      </w:pPr>
      <w:r>
        <w:rPr>
          <w:rStyle w:val="FootnoteReference"/>
        </w:rPr>
        <w:footnoteRef/>
      </w:r>
      <w:r>
        <w:t xml:space="preserve"> See </w:t>
      </w:r>
      <w:r>
        <w:rPr>
          <w:i/>
          <w:iCs/>
        </w:rPr>
        <w:t>The Commissioners for Her Majesty’s Revenue and Customs v. The Investment Trust Companies</w:t>
      </w:r>
      <w:r>
        <w:t>, [2017] UKSC 29 at [37] to [39] and [57] (</w:t>
      </w:r>
      <w:r>
        <w:rPr>
          <w:i/>
          <w:iCs/>
        </w:rPr>
        <w:t xml:space="preserve">per </w:t>
      </w:r>
      <w:r>
        <w:t xml:space="preserve">Lord Reed) and the discussion of this decision in Smith &amp; Leslie, </w:t>
      </w:r>
      <w:r>
        <w:rPr>
          <w:i/>
          <w:iCs/>
        </w:rPr>
        <w:t>The Law of Assignment</w:t>
      </w:r>
      <w:r>
        <w:t>, 3</w:t>
      </w:r>
      <w:r w:rsidRPr="009503FC">
        <w:rPr>
          <w:vertAlign w:val="superscript"/>
        </w:rPr>
        <w:t>rd</w:t>
      </w:r>
      <w:r>
        <w:t xml:space="preserve"> ed (2018) at [29.53]</w:t>
      </w:r>
      <w:r>
        <w:rPr>
          <w:i/>
          <w:iCs/>
        </w:rPr>
        <w:t>ff</w:t>
      </w:r>
      <w:r>
        <w:t>.</w:t>
      </w:r>
    </w:p>
  </w:footnote>
  <w:footnote w:id="231">
    <w:p w14:paraId="53F8F3F8" w14:textId="77777777" w:rsidR="00225B8B" w:rsidRPr="00385191" w:rsidRDefault="00225B8B" w:rsidP="00A85020">
      <w:pPr>
        <w:pStyle w:val="FootnoteText"/>
        <w:spacing w:before="60" w:after="60"/>
        <w:jc w:val="both"/>
      </w:pPr>
      <w:r>
        <w:rPr>
          <w:rStyle w:val="FootnoteReference"/>
        </w:rPr>
        <w:footnoteRef/>
      </w:r>
      <w:r>
        <w:t xml:space="preserve"> See </w:t>
      </w:r>
      <w:r>
        <w:rPr>
          <w:i/>
          <w:iCs/>
        </w:rPr>
        <w:t>Colonial Bank v. Exchange Bank of Yarmouth</w:t>
      </w:r>
      <w:r>
        <w:t xml:space="preserve">, (1885) 11 App Cas 84 at 90, 91; </w:t>
      </w:r>
      <w:r>
        <w:rPr>
          <w:i/>
          <w:iCs/>
        </w:rPr>
        <w:t>Bavins &amp; Sims v. London and South Western Bank Ltd</w:t>
      </w:r>
      <w:r>
        <w:t>, [1900] 1 QB 270 at 275-276.</w:t>
      </w:r>
    </w:p>
  </w:footnote>
  <w:footnote w:id="232">
    <w:p w14:paraId="10B45101" w14:textId="77777777" w:rsidR="00225B8B" w:rsidRDefault="00225B8B" w:rsidP="00A85020">
      <w:pPr>
        <w:pStyle w:val="FootnoteText"/>
        <w:spacing w:before="60" w:after="60"/>
        <w:jc w:val="both"/>
      </w:pPr>
      <w:r>
        <w:rPr>
          <w:rStyle w:val="FootnoteReference"/>
        </w:rPr>
        <w:footnoteRef/>
      </w:r>
      <w:r>
        <w:t xml:space="preserve"> [2017] UKSC 3.</w:t>
      </w:r>
    </w:p>
  </w:footnote>
  <w:footnote w:id="233">
    <w:p w14:paraId="70945A05" w14:textId="77777777" w:rsidR="00225B8B" w:rsidRDefault="00225B8B" w:rsidP="00A85020">
      <w:pPr>
        <w:pStyle w:val="FootnoteText"/>
        <w:spacing w:before="60" w:after="60"/>
        <w:jc w:val="both"/>
      </w:pPr>
      <w:r>
        <w:rPr>
          <w:rStyle w:val="FootnoteReference"/>
        </w:rPr>
        <w:footnoteRef/>
      </w:r>
      <w:r>
        <w:t xml:space="preserve"> At [174].</w:t>
      </w:r>
    </w:p>
  </w:footnote>
  <w:footnote w:id="234">
    <w:p w14:paraId="064E56AC" w14:textId="77777777" w:rsidR="00225B8B" w:rsidRPr="00652FB5" w:rsidRDefault="00225B8B" w:rsidP="00A85020">
      <w:pPr>
        <w:pStyle w:val="FootnoteText"/>
        <w:spacing w:before="60" w:after="60"/>
        <w:jc w:val="both"/>
      </w:pPr>
      <w:r>
        <w:rPr>
          <w:rStyle w:val="FootnoteReference"/>
        </w:rPr>
        <w:footnoteRef/>
      </w:r>
      <w:r>
        <w:t xml:space="preserve"> In </w:t>
      </w:r>
      <w:r>
        <w:rPr>
          <w:i/>
          <w:iCs/>
        </w:rPr>
        <w:t>The Law Debenture Trust Corporation plc v. Ukraine</w:t>
      </w:r>
      <w:r>
        <w:t>, [2018] EWCA Civ 2026 at [170] to [171], the Court of Appeal regarded Lord Neuberger’s judgment as the leading judgment.</w:t>
      </w:r>
    </w:p>
  </w:footnote>
  <w:footnote w:id="235">
    <w:p w14:paraId="065FCAD9" w14:textId="77777777" w:rsidR="00225B8B" w:rsidRDefault="00225B8B" w:rsidP="00A85020">
      <w:pPr>
        <w:pStyle w:val="FootnoteText"/>
        <w:spacing w:before="60" w:after="60"/>
        <w:jc w:val="both"/>
      </w:pPr>
      <w:r>
        <w:rPr>
          <w:rStyle w:val="FootnoteReference"/>
        </w:rPr>
        <w:footnoteRef/>
      </w:r>
      <w:r>
        <w:t xml:space="preserve"> At [118].</w:t>
      </w:r>
    </w:p>
  </w:footnote>
  <w:footnote w:id="236">
    <w:p w14:paraId="23F58973" w14:textId="77777777" w:rsidR="00225B8B" w:rsidRPr="006976F1" w:rsidRDefault="00225B8B" w:rsidP="00A85020">
      <w:pPr>
        <w:pStyle w:val="FootnoteText"/>
        <w:spacing w:before="60" w:after="60"/>
        <w:jc w:val="both"/>
        <w:rPr>
          <w:i/>
          <w:iCs/>
        </w:rPr>
      </w:pPr>
      <w:r>
        <w:rPr>
          <w:rStyle w:val="FootnoteReference"/>
        </w:rPr>
        <w:footnoteRef/>
      </w:r>
      <w:r>
        <w:t xml:space="preserve"> At [121]. Unlike the other three rules – which Lord Neuberger regarded as part of English domestic law (at [118] and [120]) – Lord Neuberger suggested that this rule “is not part of the Doctrine at all, or at least is a freestanding aspect of the Doctrine effectively franked by international law”. Clearly, the effect of foreign law cannot be a matter of English law, but whether a foreign state is recognised by the United Kingdom as such </w:t>
      </w:r>
      <w:r>
        <w:rPr>
          <w:u w:val="single"/>
        </w:rPr>
        <w:t>is</w:t>
      </w:r>
      <w:r>
        <w:t xml:space="preserve"> at least insofar as the fact of State doctrine is one of English law.</w:t>
      </w:r>
    </w:p>
  </w:footnote>
  <w:footnote w:id="237">
    <w:p w14:paraId="1DA6D779" w14:textId="77777777" w:rsidR="00225B8B" w:rsidRDefault="00225B8B" w:rsidP="00A85020">
      <w:pPr>
        <w:pStyle w:val="FootnoteText"/>
        <w:spacing w:before="60" w:after="60"/>
        <w:jc w:val="both"/>
      </w:pPr>
      <w:r>
        <w:rPr>
          <w:rStyle w:val="FootnoteReference"/>
        </w:rPr>
        <w:footnoteRef/>
      </w:r>
      <w:r>
        <w:t xml:space="preserve"> Again, subject to the state and the government being recognised, which are “facts of State”.</w:t>
      </w:r>
    </w:p>
  </w:footnote>
  <w:footnote w:id="238">
    <w:p w14:paraId="24A4F681" w14:textId="77777777" w:rsidR="00225B8B" w:rsidRDefault="00225B8B" w:rsidP="00A85020">
      <w:pPr>
        <w:pStyle w:val="FootnoteText"/>
        <w:spacing w:before="60" w:after="60"/>
        <w:jc w:val="both"/>
      </w:pPr>
      <w:r>
        <w:rPr>
          <w:rStyle w:val="FootnoteReference"/>
        </w:rPr>
        <w:footnoteRef/>
      </w:r>
      <w:r>
        <w:t xml:space="preserve"> At [123].</w:t>
      </w:r>
    </w:p>
  </w:footnote>
  <w:footnote w:id="239">
    <w:p w14:paraId="67917985" w14:textId="77777777" w:rsidR="00225B8B" w:rsidRDefault="00225B8B" w:rsidP="00A85020">
      <w:pPr>
        <w:pStyle w:val="FootnoteText"/>
        <w:spacing w:before="60" w:after="60"/>
        <w:jc w:val="both"/>
      </w:pPr>
      <w:r>
        <w:rPr>
          <w:rStyle w:val="FootnoteReference"/>
        </w:rPr>
        <w:footnoteRef/>
      </w:r>
      <w:r>
        <w:t xml:space="preserve"> At [124].</w:t>
      </w:r>
    </w:p>
  </w:footnote>
  <w:footnote w:id="240">
    <w:p w14:paraId="52EFC82B" w14:textId="77777777" w:rsidR="00225B8B" w:rsidRDefault="00225B8B" w:rsidP="00A85020">
      <w:pPr>
        <w:pStyle w:val="FootnoteText"/>
        <w:spacing w:before="60" w:after="60"/>
        <w:jc w:val="both"/>
      </w:pPr>
      <w:r>
        <w:rPr>
          <w:rStyle w:val="FootnoteReference"/>
        </w:rPr>
        <w:footnoteRef/>
      </w:r>
      <w:r>
        <w:t xml:space="preserve"> This was India’s understanding – as set out in paragraph 68(d) of India’s written submissions – and this was never gainsaid by Pakistan.</w:t>
      </w:r>
    </w:p>
  </w:footnote>
  <w:footnote w:id="241">
    <w:p w14:paraId="53DF0631" w14:textId="77777777" w:rsidR="00225B8B" w:rsidRDefault="00225B8B" w:rsidP="00A85020">
      <w:pPr>
        <w:pStyle w:val="FootnoteText"/>
        <w:spacing w:before="60" w:after="60"/>
        <w:jc w:val="both"/>
      </w:pPr>
      <w:r>
        <w:rPr>
          <w:rStyle w:val="FootnoteReference"/>
        </w:rPr>
        <w:footnoteRef/>
      </w:r>
      <w:r>
        <w:t xml:space="preserve"> To repeat the quotation from paragraph 19 of Pakistan’s Pleading, already set out at paragraph 27(1) above.</w:t>
      </w:r>
    </w:p>
  </w:footnote>
  <w:footnote w:id="242">
    <w:p w14:paraId="2DFD6736" w14:textId="77777777" w:rsidR="00225B8B" w:rsidRDefault="00225B8B" w:rsidP="00A85020">
      <w:pPr>
        <w:pStyle w:val="FootnoteText"/>
        <w:spacing w:before="60" w:after="60"/>
        <w:jc w:val="both"/>
      </w:pPr>
      <w:r>
        <w:rPr>
          <w:rStyle w:val="FootnoteReference"/>
        </w:rPr>
        <w:footnoteRef/>
      </w:r>
      <w:r>
        <w:t xml:space="preserve"> It was for this reason that I am considering questions of non-justiciability so late in this Judgment: see paragraph 27(1) above.</w:t>
      </w:r>
    </w:p>
  </w:footnote>
  <w:footnote w:id="243">
    <w:p w14:paraId="6D6D3B30" w14:textId="77777777" w:rsidR="00225B8B" w:rsidRDefault="00225B8B" w:rsidP="00A85020">
      <w:pPr>
        <w:pStyle w:val="FootnoteText"/>
        <w:spacing w:before="60" w:after="60"/>
        <w:jc w:val="both"/>
      </w:pPr>
      <w:r>
        <w:rPr>
          <w:rStyle w:val="FootnoteReference"/>
        </w:rPr>
        <w:footnoteRef/>
      </w:r>
      <w:r>
        <w:t xml:space="preserve"> [1958] AC 379 at 423.</w:t>
      </w:r>
    </w:p>
  </w:footnote>
  <w:footnote w:id="244">
    <w:p w14:paraId="12847F99" w14:textId="77777777" w:rsidR="00225B8B" w:rsidRPr="00B6132C" w:rsidRDefault="00225B8B" w:rsidP="00A85020">
      <w:pPr>
        <w:pStyle w:val="FootnoteText"/>
        <w:spacing w:before="60" w:after="60"/>
        <w:jc w:val="both"/>
      </w:pPr>
      <w:r>
        <w:rPr>
          <w:rStyle w:val="FootnoteReference"/>
        </w:rPr>
        <w:footnoteRef/>
      </w:r>
      <w:r>
        <w:t xml:space="preserve"> As Lord Neuberger noted at [147], “[t]he third rule may be engaged by unilateral sovereign acts (</w:t>
      </w:r>
      <w:r>
        <w:rPr>
          <w:i/>
          <w:iCs/>
        </w:rPr>
        <w:t xml:space="preserve">e.g. </w:t>
      </w:r>
      <w:r>
        <w:t xml:space="preserve">annexation of another state) but, in practice, it almost always only will apply to actions involving more than one state (as indeed does annexation)”. The phrase “plane of international law” derives from the </w:t>
      </w:r>
      <w:r>
        <w:rPr>
          <w:i/>
          <w:iCs/>
        </w:rPr>
        <w:t xml:space="preserve">Tin Council </w:t>
      </w:r>
      <w:r>
        <w:t>case (</w:t>
      </w:r>
      <w:r>
        <w:rPr>
          <w:i/>
          <w:iCs/>
        </w:rPr>
        <w:t>JH Rayner (Mincing Lane) Ltd v. Department of Trade and Industry</w:t>
      </w:r>
      <w:r>
        <w:t xml:space="preserve">, [1990] 2 AC 418 at 499, cited with approval by Lord Sumption at [221]: it is “axiomatic that municipal courts have not and cannot have the competence to adjudicate upon </w:t>
      </w:r>
      <w:r w:rsidRPr="009E3E58">
        <w:t>or</w:t>
      </w:r>
      <w:r>
        <w:t xml:space="preserve"> to enforce the rights arising out of transactions entered into by independent sovereign states between themselves on the plane of international law”. See also Lord Sumption at [234] and [237].</w:t>
      </w:r>
    </w:p>
  </w:footnote>
  <w:footnote w:id="245">
    <w:p w14:paraId="001FDE70" w14:textId="77777777" w:rsidR="00225B8B" w:rsidRDefault="00225B8B" w:rsidP="00A85020">
      <w:pPr>
        <w:pStyle w:val="FootnoteText"/>
        <w:spacing w:before="60" w:after="60"/>
        <w:jc w:val="both"/>
      </w:pPr>
      <w:r>
        <w:rPr>
          <w:rStyle w:val="FootnoteReference"/>
        </w:rPr>
        <w:footnoteRef/>
      </w:r>
      <w:r>
        <w:t xml:space="preserve"> At [123].</w:t>
      </w:r>
    </w:p>
  </w:footnote>
  <w:footnote w:id="246">
    <w:p w14:paraId="61A51799" w14:textId="77777777" w:rsidR="00225B8B" w:rsidRDefault="00225B8B" w:rsidP="00A85020">
      <w:pPr>
        <w:pStyle w:val="FootnoteText"/>
        <w:spacing w:before="60" w:after="60"/>
        <w:jc w:val="both"/>
      </w:pPr>
      <w:r>
        <w:rPr>
          <w:rStyle w:val="FootnoteReference"/>
        </w:rPr>
        <w:footnoteRef/>
      </w:r>
      <w:r>
        <w:t xml:space="preserve"> At [128] to [130].</w:t>
      </w:r>
    </w:p>
  </w:footnote>
  <w:footnote w:id="247">
    <w:p w14:paraId="1587292B" w14:textId="77777777" w:rsidR="00225B8B" w:rsidRDefault="00225B8B" w:rsidP="00A85020">
      <w:pPr>
        <w:pStyle w:val="FootnoteText"/>
        <w:spacing w:before="60" w:after="60"/>
        <w:jc w:val="both"/>
      </w:pPr>
      <w:r>
        <w:rPr>
          <w:rStyle w:val="FootnoteReference"/>
        </w:rPr>
        <w:footnoteRef/>
      </w:r>
      <w:r>
        <w:t xml:space="preserve"> [1970] AC 179. Lord Neuberger’s consideration is at [145].</w:t>
      </w:r>
    </w:p>
  </w:footnote>
  <w:footnote w:id="248">
    <w:p w14:paraId="7D431DA6" w14:textId="77777777" w:rsidR="00225B8B" w:rsidRDefault="00225B8B" w:rsidP="00A85020">
      <w:pPr>
        <w:pStyle w:val="FootnoteText"/>
        <w:spacing w:before="60" w:after="60"/>
        <w:jc w:val="both"/>
      </w:pPr>
      <w:r>
        <w:rPr>
          <w:rStyle w:val="FootnoteReference"/>
        </w:rPr>
        <w:footnoteRef/>
      </w:r>
      <w:r>
        <w:t xml:space="preserve"> At [144].</w:t>
      </w:r>
    </w:p>
  </w:footnote>
  <w:footnote w:id="249">
    <w:p w14:paraId="12D57101" w14:textId="77777777" w:rsidR="00225B8B" w:rsidRDefault="00225B8B" w:rsidP="00A85020">
      <w:pPr>
        <w:pStyle w:val="FootnoteText"/>
        <w:spacing w:before="60" w:after="60"/>
        <w:jc w:val="both"/>
      </w:pPr>
      <w:r>
        <w:rPr>
          <w:rStyle w:val="FootnoteReference"/>
        </w:rPr>
        <w:footnoteRef/>
      </w:r>
      <w:r>
        <w:t xml:space="preserve"> At [145].</w:t>
      </w:r>
    </w:p>
  </w:footnote>
  <w:footnote w:id="250">
    <w:p w14:paraId="215CE50B" w14:textId="77777777" w:rsidR="00225B8B" w:rsidRDefault="00225B8B" w:rsidP="00A85020">
      <w:pPr>
        <w:pStyle w:val="FootnoteText"/>
        <w:spacing w:before="60" w:after="60"/>
        <w:jc w:val="both"/>
      </w:pPr>
      <w:r>
        <w:rPr>
          <w:rStyle w:val="FootnoteReference"/>
        </w:rPr>
        <w:footnoteRef/>
      </w:r>
      <w:r>
        <w:t xml:space="preserve"> See paragraph 294(3) above.</w:t>
      </w:r>
    </w:p>
  </w:footnote>
  <w:footnote w:id="251">
    <w:p w14:paraId="03CB9AE3" w14:textId="77777777" w:rsidR="00225B8B" w:rsidRDefault="00225B8B" w:rsidP="00A85020">
      <w:pPr>
        <w:pStyle w:val="FootnoteText"/>
        <w:spacing w:before="60" w:after="60"/>
        <w:jc w:val="both"/>
      </w:pPr>
      <w:r>
        <w:rPr>
          <w:rStyle w:val="FootnoteReference"/>
        </w:rPr>
        <w:footnoteRef/>
      </w:r>
      <w:r>
        <w:t xml:space="preserve"> Emphasis supplied.</w:t>
      </w:r>
    </w:p>
  </w:footnote>
  <w:footnote w:id="252">
    <w:p w14:paraId="3501994F" w14:textId="77777777" w:rsidR="00225B8B" w:rsidRDefault="00225B8B" w:rsidP="00A85020">
      <w:pPr>
        <w:pStyle w:val="FootnoteText"/>
        <w:spacing w:before="60" w:after="60"/>
        <w:jc w:val="both"/>
      </w:pPr>
      <w:r>
        <w:rPr>
          <w:rStyle w:val="FootnoteReference"/>
        </w:rPr>
        <w:footnoteRef/>
      </w:r>
      <w:r>
        <w:t xml:space="preserve"> At [232].</w:t>
      </w:r>
    </w:p>
  </w:footnote>
  <w:footnote w:id="253">
    <w:p w14:paraId="196330F0" w14:textId="77777777" w:rsidR="00225B8B" w:rsidRDefault="00225B8B" w:rsidP="00A85020">
      <w:pPr>
        <w:pStyle w:val="FootnoteText"/>
        <w:spacing w:before="60" w:after="60"/>
        <w:jc w:val="both"/>
      </w:pPr>
      <w:r>
        <w:rPr>
          <w:rStyle w:val="FootnoteReference"/>
        </w:rPr>
        <w:footnoteRef/>
      </w:r>
      <w:r>
        <w:t xml:space="preserve"> At [151].</w:t>
      </w:r>
    </w:p>
  </w:footnote>
  <w:footnote w:id="254">
    <w:p w14:paraId="0D59145F" w14:textId="77777777" w:rsidR="00225B8B" w:rsidRDefault="00225B8B" w:rsidP="00A85020">
      <w:pPr>
        <w:pStyle w:val="FootnoteText"/>
        <w:spacing w:before="60" w:after="60"/>
        <w:jc w:val="both"/>
      </w:pPr>
      <w:r>
        <w:rPr>
          <w:rStyle w:val="FootnoteReference"/>
        </w:rPr>
        <w:footnoteRef/>
      </w:r>
      <w:r>
        <w:t xml:space="preserve"> [2018] EWCA Civ 2026.</w:t>
      </w:r>
    </w:p>
  </w:footnote>
  <w:footnote w:id="255">
    <w:p w14:paraId="2D6F484B" w14:textId="77777777" w:rsidR="00225B8B" w:rsidRDefault="00225B8B" w:rsidP="00A85020">
      <w:pPr>
        <w:pStyle w:val="FootnoteText"/>
        <w:spacing w:before="60" w:after="60"/>
        <w:jc w:val="both"/>
      </w:pPr>
      <w:r>
        <w:rPr>
          <w:rStyle w:val="FootnoteReference"/>
        </w:rPr>
        <w:footnoteRef/>
      </w:r>
      <w:r>
        <w:t xml:space="preserve"> The Court of Appeal held that this was, if anything, a Rule 3 case: [173].</w:t>
      </w:r>
    </w:p>
  </w:footnote>
  <w:footnote w:id="256">
    <w:p w14:paraId="21353F89" w14:textId="77777777" w:rsidR="00225B8B" w:rsidRDefault="00225B8B" w:rsidP="00A85020">
      <w:pPr>
        <w:pStyle w:val="FootnoteText"/>
        <w:spacing w:before="60" w:after="60"/>
        <w:jc w:val="both"/>
      </w:pPr>
      <w:r>
        <w:rPr>
          <w:rStyle w:val="FootnoteReference"/>
        </w:rPr>
        <w:footnoteRef/>
      </w:r>
      <w:r>
        <w:t xml:space="preserve"> At [155(i)].</w:t>
      </w:r>
    </w:p>
  </w:footnote>
  <w:footnote w:id="257">
    <w:p w14:paraId="12D33FE4" w14:textId="77777777" w:rsidR="00225B8B" w:rsidRDefault="00225B8B" w:rsidP="00A85020">
      <w:pPr>
        <w:pStyle w:val="FootnoteText"/>
        <w:spacing w:before="60" w:after="60"/>
        <w:jc w:val="both"/>
      </w:pPr>
      <w:r>
        <w:rPr>
          <w:rStyle w:val="FootnoteReference"/>
        </w:rPr>
        <w:footnoteRef/>
      </w:r>
      <w:r>
        <w:t xml:space="preserve"> See [155].</w:t>
      </w:r>
    </w:p>
  </w:footnote>
  <w:footnote w:id="258">
    <w:p w14:paraId="4D46CE7E" w14:textId="77777777" w:rsidR="00225B8B" w:rsidRDefault="00225B8B" w:rsidP="00A85020">
      <w:pPr>
        <w:pStyle w:val="FootnoteText"/>
        <w:spacing w:before="60" w:after="60"/>
        <w:jc w:val="both"/>
      </w:pPr>
      <w:r>
        <w:rPr>
          <w:rStyle w:val="FootnoteReference"/>
        </w:rPr>
        <w:footnoteRef/>
      </w:r>
      <w:r>
        <w:t xml:space="preserve"> At [159].</w:t>
      </w:r>
    </w:p>
  </w:footnote>
  <w:footnote w:id="259">
    <w:p w14:paraId="306C883F" w14:textId="77777777" w:rsidR="00225B8B" w:rsidRDefault="00225B8B" w:rsidP="00A85020">
      <w:pPr>
        <w:pStyle w:val="FootnoteText"/>
        <w:spacing w:before="60" w:after="60"/>
        <w:jc w:val="both"/>
      </w:pPr>
      <w:r>
        <w:rPr>
          <w:rStyle w:val="FootnoteReference"/>
        </w:rPr>
        <w:footnoteRef/>
      </w:r>
      <w:r>
        <w:t xml:space="preserve"> At [155(ii)].</w:t>
      </w:r>
    </w:p>
  </w:footnote>
  <w:footnote w:id="260">
    <w:p w14:paraId="4EB3B5DF" w14:textId="77777777" w:rsidR="00225B8B" w:rsidRDefault="00225B8B" w:rsidP="00A85020">
      <w:pPr>
        <w:pStyle w:val="FootnoteText"/>
        <w:spacing w:before="60" w:after="60"/>
        <w:jc w:val="both"/>
      </w:pPr>
      <w:r>
        <w:rPr>
          <w:rStyle w:val="FootnoteReference"/>
        </w:rPr>
        <w:footnoteRef/>
      </w:r>
      <w:r>
        <w:t xml:space="preserve"> [2017] UKSC 3 at [167] and [168].</w:t>
      </w:r>
    </w:p>
  </w:footnote>
  <w:footnote w:id="261">
    <w:p w14:paraId="5F5515CF" w14:textId="77777777" w:rsidR="00225B8B" w:rsidRDefault="00225B8B" w:rsidP="00A85020">
      <w:pPr>
        <w:pStyle w:val="FootnoteText"/>
        <w:spacing w:before="60" w:after="60"/>
        <w:jc w:val="both"/>
      </w:pPr>
      <w:r>
        <w:rPr>
          <w:rStyle w:val="FootnoteReference"/>
        </w:rPr>
        <w:footnoteRef/>
      </w:r>
      <w:r>
        <w:t xml:space="preserve"> At [168].</w:t>
      </w:r>
    </w:p>
  </w:footnote>
  <w:footnote w:id="262">
    <w:p w14:paraId="5E329252" w14:textId="77777777" w:rsidR="00225B8B" w:rsidRDefault="00225B8B" w:rsidP="00A85020">
      <w:pPr>
        <w:pStyle w:val="FootnoteText"/>
        <w:spacing w:before="60" w:after="60"/>
        <w:jc w:val="both"/>
      </w:pPr>
      <w:r>
        <w:rPr>
          <w:rStyle w:val="FootnoteReference"/>
        </w:rPr>
        <w:footnoteRef/>
      </w:r>
      <w:r>
        <w:t xml:space="preserve"> At [173] and [181].</w:t>
      </w:r>
    </w:p>
  </w:footnote>
  <w:footnote w:id="263">
    <w:p w14:paraId="552431C0" w14:textId="77777777" w:rsidR="00225B8B" w:rsidRDefault="00225B8B" w:rsidP="00A85020">
      <w:pPr>
        <w:pStyle w:val="FootnoteText"/>
        <w:spacing w:before="60" w:after="60"/>
        <w:jc w:val="both"/>
      </w:pPr>
      <w:r>
        <w:rPr>
          <w:rStyle w:val="FootnoteReference"/>
        </w:rPr>
        <w:footnoteRef/>
      </w:r>
      <w:r>
        <w:t xml:space="preserve"> At [183].</w:t>
      </w:r>
    </w:p>
  </w:footnote>
  <w:footnote w:id="264">
    <w:p w14:paraId="6895640C" w14:textId="77777777" w:rsidR="00225B8B" w:rsidRDefault="00225B8B" w:rsidP="00A85020">
      <w:pPr>
        <w:pStyle w:val="FootnoteText"/>
        <w:spacing w:before="60" w:after="60"/>
        <w:jc w:val="both"/>
      </w:pPr>
      <w:r>
        <w:rPr>
          <w:rStyle w:val="FootnoteReference"/>
        </w:rPr>
        <w:footnoteRef/>
      </w:r>
      <w:r>
        <w:t xml:space="preserve"> Where there is no “foothold” – as where an English court is asked to resolve a question of pure public international law – the question resolves itself: there is no cause of action known to English law.</w:t>
      </w:r>
    </w:p>
  </w:footnote>
  <w:footnote w:id="265">
    <w:p w14:paraId="462BFD45" w14:textId="77777777" w:rsidR="00225B8B" w:rsidRDefault="00225B8B" w:rsidP="00A85020">
      <w:pPr>
        <w:pStyle w:val="FootnoteText"/>
        <w:spacing w:before="60" w:after="60"/>
        <w:jc w:val="both"/>
      </w:pPr>
      <w:r>
        <w:rPr>
          <w:rStyle w:val="FootnoteReference"/>
        </w:rPr>
        <w:footnoteRef/>
      </w:r>
      <w:r>
        <w:t xml:space="preserve"> Where private law claims involving sovereign states arise, sovereign states gain protection through doctrines such as the doctrine of state immunity, on which Pakistan successfully relied in the 1954 Proceedings.</w:t>
      </w:r>
    </w:p>
  </w:footnote>
  <w:footnote w:id="266">
    <w:p w14:paraId="20A022E6" w14:textId="77777777" w:rsidR="00225B8B" w:rsidRDefault="00225B8B" w:rsidP="00A85020">
      <w:pPr>
        <w:pStyle w:val="FootnoteText"/>
        <w:spacing w:before="60" w:after="60"/>
        <w:jc w:val="both"/>
      </w:pPr>
      <w:r>
        <w:rPr>
          <w:rStyle w:val="FootnoteReference"/>
        </w:rPr>
        <w:footnoteRef/>
      </w:r>
      <w:r>
        <w:t xml:space="preserve"> </w:t>
      </w:r>
      <w:r>
        <w:rPr>
          <w:i/>
          <w:iCs/>
        </w:rPr>
        <w:t xml:space="preserve">Belhaj v. Straw, </w:t>
      </w:r>
      <w:r>
        <w:t>[2017] UKSC 3 at [240].</w:t>
      </w:r>
    </w:p>
  </w:footnote>
  <w:footnote w:id="267">
    <w:p w14:paraId="3A679B6F" w14:textId="77777777" w:rsidR="00225B8B" w:rsidRDefault="00225B8B" w:rsidP="00A85020">
      <w:pPr>
        <w:pStyle w:val="FootnoteText"/>
        <w:spacing w:before="60" w:after="60"/>
        <w:jc w:val="both"/>
      </w:pPr>
      <w:r>
        <w:rPr>
          <w:rStyle w:val="FootnoteReference"/>
        </w:rPr>
        <w:footnoteRef/>
      </w:r>
      <w:r>
        <w:t xml:space="preserve"> See paragraph 21 of Pakistan’s Pleading.</w:t>
      </w:r>
    </w:p>
  </w:footnote>
  <w:footnote w:id="268">
    <w:p w14:paraId="33C2CEE9" w14:textId="77777777" w:rsidR="00225B8B" w:rsidRDefault="00225B8B" w:rsidP="00A85020">
      <w:pPr>
        <w:pStyle w:val="FootnoteText"/>
        <w:spacing w:before="60" w:after="60"/>
        <w:jc w:val="both"/>
      </w:pPr>
      <w:r>
        <w:rPr>
          <w:rStyle w:val="FootnoteReference"/>
        </w:rPr>
        <w:footnoteRef/>
      </w:r>
      <w:r>
        <w:t xml:space="preserve"> Thus, the United Nations Act 1946 makes provision for the United Kingdom to support, by order in council, measures mandated under Article 41 of the United Nations Charter. It is to be inferred that much of the United Nations Charter has not been incorporated into domestic law because it operates on the plane of international law, and there is no need for domestic implementation. </w:t>
      </w:r>
    </w:p>
  </w:footnote>
  <w:footnote w:id="269">
    <w:p w14:paraId="53889576" w14:textId="77777777" w:rsidR="00225B8B" w:rsidRDefault="00225B8B" w:rsidP="00A85020">
      <w:pPr>
        <w:pStyle w:val="FootnoteText"/>
        <w:spacing w:before="60" w:after="60"/>
        <w:jc w:val="both"/>
      </w:pPr>
      <w:r>
        <w:rPr>
          <w:rStyle w:val="FootnoteReference"/>
        </w:rPr>
        <w:footnoteRef/>
      </w:r>
      <w:r>
        <w:t xml:space="preserve"> See paragraph 45D of Nizam VIII’s Pleading and paragraph 70A of Prince Muffakham’s Pleading.</w:t>
      </w:r>
    </w:p>
  </w:footnote>
  <w:footnote w:id="270">
    <w:p w14:paraId="39DAC162" w14:textId="77777777" w:rsidR="00225B8B" w:rsidRDefault="00225B8B" w:rsidP="00A85020">
      <w:pPr>
        <w:pStyle w:val="FootnoteText"/>
        <w:spacing w:before="60" w:after="60"/>
        <w:jc w:val="both"/>
      </w:pPr>
      <w:r>
        <w:rPr>
          <w:rStyle w:val="FootnoteReference"/>
        </w:rPr>
        <w:footnoteRef/>
      </w:r>
      <w:r>
        <w:t xml:space="preserve"> Paragraph 116(v) of India’s Pleading.</w:t>
      </w:r>
    </w:p>
  </w:footnote>
  <w:footnote w:id="271">
    <w:p w14:paraId="1839AD90" w14:textId="77777777" w:rsidR="00225B8B" w:rsidRDefault="00225B8B" w:rsidP="00A85020">
      <w:pPr>
        <w:pStyle w:val="FootnoteText"/>
        <w:spacing w:before="60" w:after="60"/>
        <w:jc w:val="both"/>
      </w:pPr>
      <w:r>
        <w:rPr>
          <w:rStyle w:val="FootnoteReference"/>
        </w:rPr>
        <w:footnoteRef/>
      </w:r>
      <w:r>
        <w:t xml:space="preserve"> India referred to this as the “Police Action”: that, of course, was India’s characterisation of Operation Polo, which was not accepted by Pakistan. I prefer to use a neutral description of the operation, which the code name provides.</w:t>
      </w:r>
    </w:p>
  </w:footnote>
  <w:footnote w:id="272">
    <w:p w14:paraId="77C4226F" w14:textId="77777777" w:rsidR="00225B8B" w:rsidRPr="00954EDD" w:rsidRDefault="00225B8B" w:rsidP="00A85020">
      <w:pPr>
        <w:pStyle w:val="FootnoteText"/>
        <w:spacing w:before="60" w:after="60"/>
        <w:jc w:val="both"/>
      </w:pPr>
      <w:r>
        <w:rPr>
          <w:rStyle w:val="FootnoteReference"/>
        </w:rPr>
        <w:footnoteRef/>
      </w:r>
      <w:r>
        <w:t xml:space="preserve"> Even then, India’s title was disputed by the Princes, who contended that their rights under the 1963 Settlement and the 1965 Appointment took priority over India’s claims. For the purposes of considering Pakistan’s contentions, I shall assume that India </w:t>
      </w:r>
      <w:r>
        <w:rPr>
          <w:u w:val="single"/>
        </w:rPr>
        <w:t>was</w:t>
      </w:r>
      <w:r>
        <w:t xml:space="preserve"> entitled to the Fund pursuant to the 1965 Assignment.</w:t>
      </w:r>
    </w:p>
  </w:footnote>
  <w:footnote w:id="273">
    <w:p w14:paraId="3A69F436" w14:textId="77777777" w:rsidR="00225B8B" w:rsidRPr="00BC38D3" w:rsidRDefault="00225B8B" w:rsidP="00A85020">
      <w:pPr>
        <w:pStyle w:val="FootnoteText"/>
        <w:spacing w:before="60" w:after="60"/>
        <w:jc w:val="both"/>
      </w:pPr>
      <w:r>
        <w:rPr>
          <w:rStyle w:val="FootnoteReference"/>
        </w:rPr>
        <w:footnoteRef/>
      </w:r>
      <w:r>
        <w:t xml:space="preserve"> Eagleton, </w:t>
      </w:r>
      <w:r>
        <w:rPr>
          <w:i/>
          <w:iCs/>
        </w:rPr>
        <w:t>The Case of Hyderabad Before the Security Council</w:t>
      </w:r>
      <w:r>
        <w:t>, (1950) 44 Am J Int Law 277 (</w:t>
      </w:r>
      <w:r w:rsidRPr="00BC38D3">
        <w:rPr>
          <w:b/>
          <w:bCs/>
          <w:i/>
          <w:iCs/>
        </w:rPr>
        <w:t>Eagleton</w:t>
      </w:r>
      <w:r>
        <w:t>).</w:t>
      </w:r>
    </w:p>
  </w:footnote>
  <w:footnote w:id="274">
    <w:p w14:paraId="0DCA8713" w14:textId="77777777" w:rsidR="00225B8B" w:rsidRDefault="00225B8B" w:rsidP="00A85020">
      <w:pPr>
        <w:pStyle w:val="FootnoteText"/>
        <w:spacing w:before="60" w:after="60"/>
        <w:jc w:val="both"/>
      </w:pPr>
      <w:r>
        <w:rPr>
          <w:rStyle w:val="FootnoteReference"/>
        </w:rPr>
        <w:footnoteRef/>
      </w:r>
      <w:r>
        <w:t xml:space="preserve"> See paragraph 80 above.</w:t>
      </w:r>
    </w:p>
  </w:footnote>
  <w:footnote w:id="275">
    <w:p w14:paraId="2DAC9402" w14:textId="77777777" w:rsidR="00225B8B" w:rsidRPr="00AD37D7" w:rsidRDefault="00225B8B" w:rsidP="00A85020">
      <w:pPr>
        <w:pStyle w:val="FootnoteText"/>
        <w:spacing w:before="60" w:after="60"/>
        <w:jc w:val="both"/>
      </w:pPr>
      <w:r>
        <w:rPr>
          <w:rStyle w:val="FootnoteReference"/>
        </w:rPr>
        <w:footnoteRef/>
      </w:r>
      <w:r>
        <w:t xml:space="preserve"> </w:t>
      </w:r>
      <w:r>
        <w:rPr>
          <w:i/>
          <w:iCs/>
        </w:rPr>
        <w:t>Eagleton</w:t>
      </w:r>
      <w:r>
        <w:t>, at 299 to 300.</w:t>
      </w:r>
    </w:p>
  </w:footnote>
  <w:footnote w:id="276">
    <w:p w14:paraId="50B6DBBB" w14:textId="77777777" w:rsidR="00225B8B" w:rsidRDefault="00225B8B" w:rsidP="00A85020">
      <w:pPr>
        <w:pStyle w:val="FootnoteText"/>
        <w:spacing w:before="60" w:after="60"/>
        <w:jc w:val="both"/>
      </w:pPr>
      <w:r>
        <w:rPr>
          <w:rStyle w:val="FootnoteReference"/>
        </w:rPr>
        <w:footnoteRef/>
      </w:r>
      <w:r>
        <w:t xml:space="preserve"> As it still does.</w:t>
      </w:r>
    </w:p>
  </w:footnote>
  <w:footnote w:id="277">
    <w:p w14:paraId="121867F5" w14:textId="77777777" w:rsidR="00225B8B" w:rsidRPr="00B05C04" w:rsidRDefault="00225B8B" w:rsidP="00A85020">
      <w:pPr>
        <w:pStyle w:val="FootnoteText"/>
        <w:spacing w:before="60" w:after="60"/>
        <w:jc w:val="both"/>
      </w:pPr>
      <w:r>
        <w:rPr>
          <w:rStyle w:val="FootnoteReference"/>
        </w:rPr>
        <w:footnoteRef/>
      </w:r>
      <w:r>
        <w:t xml:space="preserve"> </w:t>
      </w:r>
      <w:r>
        <w:rPr>
          <w:i/>
          <w:iCs/>
        </w:rPr>
        <w:t>Eagleton</w:t>
      </w:r>
      <w:r>
        <w:t>, at 301.</w:t>
      </w:r>
    </w:p>
  </w:footnote>
  <w:footnote w:id="278">
    <w:p w14:paraId="4D58DF5F" w14:textId="77777777" w:rsidR="00225B8B" w:rsidRPr="00B36C6B" w:rsidRDefault="00225B8B" w:rsidP="00A85020">
      <w:pPr>
        <w:pStyle w:val="FootnoteText"/>
        <w:spacing w:before="60" w:after="60"/>
        <w:jc w:val="both"/>
      </w:pPr>
      <w:r>
        <w:rPr>
          <w:rStyle w:val="FootnoteReference"/>
        </w:rPr>
        <w:footnoteRef/>
      </w:r>
      <w:r>
        <w:t xml:space="preserve"> </w:t>
      </w:r>
      <w:r>
        <w:rPr>
          <w:i/>
          <w:iCs/>
        </w:rPr>
        <w:t>Eagleton</w:t>
      </w:r>
      <w:r>
        <w:t>, at 301.</w:t>
      </w:r>
    </w:p>
  </w:footnote>
  <w:footnote w:id="279">
    <w:p w14:paraId="657E1048" w14:textId="77777777" w:rsidR="00225B8B" w:rsidRPr="00564134" w:rsidRDefault="00225B8B" w:rsidP="00A85020">
      <w:pPr>
        <w:pStyle w:val="FootnoteText"/>
        <w:spacing w:before="60" w:after="60"/>
        <w:jc w:val="both"/>
      </w:pPr>
      <w:r>
        <w:rPr>
          <w:rStyle w:val="FootnoteReference"/>
        </w:rPr>
        <w:footnoteRef/>
      </w:r>
      <w:r>
        <w:t xml:space="preserve"> As I have noted, Mr Eagleton was perhaps </w:t>
      </w:r>
      <w:r>
        <w:rPr>
          <w:i/>
          <w:iCs/>
        </w:rPr>
        <w:t>parti pris</w:t>
      </w:r>
      <w:r>
        <w:t xml:space="preserve">, and it must be noted both that Moin was subsequently </w:t>
      </w:r>
      <w:r>
        <w:rPr>
          <w:u w:val="single"/>
        </w:rPr>
        <w:t>not</w:t>
      </w:r>
      <w:r>
        <w:t xml:space="preserve"> recognised as Hyderabad’s representative (as described in </w:t>
      </w:r>
      <w:r w:rsidRPr="00564134">
        <w:rPr>
          <w:i/>
          <w:iCs/>
        </w:rPr>
        <w:t>Eagleton</w:t>
      </w:r>
      <w:r>
        <w:t xml:space="preserve"> at 300-301) and that retaining an item on the Security Council’s agenda may do no more than reflect “a custom…being developed whereby the Security Council keeps a matter indefinitely upon its agenda with no intention of acting upon it, the purpose being to save face, and that this is the explanation in the case of Hyderabad” (</w:t>
      </w:r>
      <w:r>
        <w:rPr>
          <w:i/>
          <w:iCs/>
        </w:rPr>
        <w:t>Eagleton</w:t>
      </w:r>
      <w:r>
        <w:t xml:space="preserve"> at 301).</w:t>
      </w:r>
    </w:p>
  </w:footnote>
  <w:footnote w:id="280">
    <w:p w14:paraId="30439304" w14:textId="77777777" w:rsidR="00225B8B" w:rsidRDefault="00225B8B" w:rsidP="00A85020">
      <w:pPr>
        <w:pStyle w:val="FootnoteText"/>
        <w:spacing w:before="60" w:after="60"/>
        <w:jc w:val="both"/>
      </w:pPr>
      <w:r>
        <w:rPr>
          <w:rStyle w:val="FootnoteReference"/>
        </w:rPr>
        <w:footnoteRef/>
      </w:r>
      <w:r>
        <w:t xml:space="preserve"> As put by Mr Eagleton.</w:t>
      </w:r>
    </w:p>
  </w:footnote>
  <w:footnote w:id="281">
    <w:p w14:paraId="2B6BD9C5" w14:textId="77777777" w:rsidR="00225B8B" w:rsidRDefault="00225B8B" w:rsidP="00A85020">
      <w:pPr>
        <w:pStyle w:val="FootnoteText"/>
        <w:spacing w:before="60" w:after="60"/>
        <w:jc w:val="both"/>
      </w:pPr>
      <w:r>
        <w:rPr>
          <w:rStyle w:val="FootnoteReference"/>
        </w:rPr>
        <w:footnoteRef/>
      </w:r>
      <w:r>
        <w:t xml:space="preserve"> Described in paragraph 13(2) above.</w:t>
      </w:r>
    </w:p>
  </w:footnote>
  <w:footnote w:id="282">
    <w:p w14:paraId="638E21D2" w14:textId="77777777" w:rsidR="00225B8B" w:rsidRDefault="00225B8B" w:rsidP="00A85020">
      <w:pPr>
        <w:pStyle w:val="FootnoteText"/>
        <w:spacing w:before="60" w:after="60"/>
        <w:jc w:val="both"/>
      </w:pPr>
      <w:r>
        <w:rPr>
          <w:rStyle w:val="FootnoteReference"/>
        </w:rPr>
        <w:footnoteRef/>
      </w:r>
      <w:r>
        <w:t xml:space="preserve"> See paragraph 13 above.</w:t>
      </w:r>
    </w:p>
  </w:footnote>
  <w:footnote w:id="283">
    <w:p w14:paraId="5EB46B86" w14:textId="77777777" w:rsidR="00225B8B" w:rsidRPr="009B4245" w:rsidRDefault="00225B8B" w:rsidP="00A85020">
      <w:pPr>
        <w:pStyle w:val="FootnoteText"/>
        <w:spacing w:before="60" w:after="60"/>
        <w:jc w:val="both"/>
      </w:pPr>
      <w:r>
        <w:rPr>
          <w:rStyle w:val="FootnoteReference"/>
        </w:rPr>
        <w:footnoteRef/>
      </w:r>
      <w:r>
        <w:t xml:space="preserve"> See </w:t>
      </w:r>
      <w:r>
        <w:rPr>
          <w:i/>
          <w:iCs/>
        </w:rPr>
        <w:t>Binder v. Alachouzos</w:t>
      </w:r>
      <w:r>
        <w:t xml:space="preserve">, [1972] 2 QB 151; Foskett, </w:t>
      </w:r>
      <w:r>
        <w:rPr>
          <w:i/>
          <w:iCs/>
        </w:rPr>
        <w:t>Foskett on Compromise</w:t>
      </w:r>
      <w:r>
        <w:t>, 8</w:t>
      </w:r>
      <w:r w:rsidRPr="009B4245">
        <w:rPr>
          <w:vertAlign w:val="superscript"/>
        </w:rPr>
        <w:t>th</w:t>
      </w:r>
      <w:r>
        <w:t xml:space="preserve"> ed (2015) at [4-72].</w:t>
      </w:r>
    </w:p>
  </w:footnote>
  <w:footnote w:id="284">
    <w:p w14:paraId="4A8DE5A5" w14:textId="77777777" w:rsidR="00225B8B" w:rsidRDefault="00225B8B" w:rsidP="00A85020">
      <w:pPr>
        <w:pStyle w:val="FootnoteText"/>
        <w:spacing w:before="60" w:after="60"/>
        <w:jc w:val="both"/>
      </w:pPr>
      <w:r>
        <w:rPr>
          <w:rStyle w:val="FootnoteReference"/>
        </w:rPr>
        <w:footnoteRef/>
      </w:r>
      <w:r>
        <w:t xml:space="preserve"> Paragraphs 21.2 to 21.4 of Pakistan’s Pleading.</w:t>
      </w:r>
    </w:p>
  </w:footnote>
  <w:footnote w:id="285">
    <w:p w14:paraId="40AFCF58" w14:textId="77777777" w:rsidR="00225B8B" w:rsidRDefault="00225B8B" w:rsidP="00A85020">
      <w:pPr>
        <w:pStyle w:val="FootnoteText"/>
        <w:spacing w:before="60" w:after="60"/>
        <w:jc w:val="both"/>
      </w:pPr>
      <w:r>
        <w:rPr>
          <w:rStyle w:val="FootnoteReference"/>
        </w:rPr>
        <w:footnoteRef/>
      </w:r>
      <w:r>
        <w:t xml:space="preserve"> Paragraphs 21.5 to 21.6 of Pakistan’s Pleading.</w:t>
      </w:r>
    </w:p>
  </w:footnote>
  <w:footnote w:id="286">
    <w:p w14:paraId="33B24C18" w14:textId="77777777" w:rsidR="00225B8B" w:rsidRPr="009E5573" w:rsidRDefault="00225B8B" w:rsidP="00A85020">
      <w:pPr>
        <w:pStyle w:val="FootnoteText"/>
        <w:spacing w:before="60" w:after="60"/>
        <w:jc w:val="both"/>
      </w:pPr>
      <w:r>
        <w:rPr>
          <w:rStyle w:val="FootnoteReference"/>
        </w:rPr>
        <w:footnoteRef/>
      </w:r>
      <w:r>
        <w:t xml:space="preserve"> See </w:t>
      </w:r>
      <w:r>
        <w:rPr>
          <w:i/>
          <w:iCs/>
        </w:rPr>
        <w:t>Shergill v. Khaira</w:t>
      </w:r>
      <w:r>
        <w:t xml:space="preserve">, [2014] UKSC 33 at [43]; </w:t>
      </w:r>
      <w:r>
        <w:rPr>
          <w:i/>
          <w:iCs/>
        </w:rPr>
        <w:t>Belhaj v. Straw</w:t>
      </w:r>
      <w:r>
        <w:t>, [2017] UKSC 3 at [234].</w:t>
      </w:r>
    </w:p>
  </w:footnote>
  <w:footnote w:id="287">
    <w:p w14:paraId="5A1E087D" w14:textId="77777777" w:rsidR="00225B8B" w:rsidRDefault="00225B8B" w:rsidP="00A85020">
      <w:pPr>
        <w:pStyle w:val="FootnoteText"/>
        <w:spacing w:before="60" w:after="60"/>
        <w:jc w:val="both"/>
      </w:pPr>
      <w:r>
        <w:rPr>
          <w:rStyle w:val="FootnoteReference"/>
        </w:rPr>
        <w:footnoteRef/>
      </w:r>
      <w:r>
        <w:t xml:space="preserve"> Transcript Day 8/p.153.</w:t>
      </w:r>
    </w:p>
  </w:footnote>
  <w:footnote w:id="288">
    <w:p w14:paraId="4D388019" w14:textId="77777777" w:rsidR="007E3724" w:rsidRDefault="006F4961" w:rsidP="006F4961">
      <w:pPr>
        <w:pStyle w:val="FootnoteText"/>
        <w:spacing w:before="60" w:after="60"/>
      </w:pPr>
      <w:r>
        <w:rPr>
          <w:rStyle w:val="FootnoteReference"/>
        </w:rPr>
        <w:footnoteRef/>
      </w:r>
      <w:r>
        <w:t xml:space="preserve"> </w:t>
      </w:r>
      <w:r w:rsidR="00A06C3B">
        <w:t xml:space="preserve">This is not a complete list of transactions. </w:t>
      </w:r>
      <w:r w:rsidR="007E3724">
        <w:t xml:space="preserve">It omits all reference to accrued interest on the account and also omits one (minor) transaction, which I found to be of no relevance or assistance, namely </w:t>
      </w:r>
      <w:r w:rsidR="007E3724" w:rsidRPr="00C86064">
        <w:t>21 June 1948 transfer of £5,000 to Ghulam Mohammad.</w:t>
      </w:r>
      <w:r w:rsidR="00BE1C2D">
        <w:t xml:space="preserve"> The point of the table is not to provide </w:t>
      </w:r>
      <w:r w:rsidR="00713A31">
        <w:t>a complete account, but rather an overview of the various transactions that are referenced in the Judgment.</w:t>
      </w:r>
    </w:p>
  </w:footnote>
  <w:footnote w:id="289">
    <w:p w14:paraId="0B970D03" w14:textId="77777777" w:rsidR="00225B8B" w:rsidRDefault="00225B8B" w:rsidP="00A85020">
      <w:pPr>
        <w:pStyle w:val="FootnoteText"/>
        <w:spacing w:before="60" w:after="60"/>
        <w:jc w:val="both"/>
      </w:pPr>
      <w:r>
        <w:rPr>
          <w:rStyle w:val="FootnoteReference"/>
        </w:rPr>
        <w:footnoteRef/>
      </w:r>
      <w:r>
        <w:t xml:space="preserve"> The descriptions of Transactions 3, 4, 6, 7 and 8 are derived from a list, by the Bank, detailing payments out of the Second Account prior to final transfer.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8C65" w14:textId="757549DC" w:rsidR="00B349F4" w:rsidRPr="00B349F4" w:rsidRDefault="00B349F4">
    <w:pPr>
      <w:pStyle w:val="Header"/>
      <w:rPr>
        <w:b/>
        <w:sz w:val="16"/>
        <w:szCs w:val="16"/>
      </w:rPr>
    </w:pPr>
    <w:r w:rsidRPr="00B349F4">
      <w:rPr>
        <w:b/>
        <w:sz w:val="16"/>
        <w:szCs w:val="16"/>
      </w:rPr>
      <w:t>Judgment handed down by the court</w:t>
    </w:r>
    <w:r w:rsidRPr="00B349F4">
      <w:rPr>
        <w:b/>
        <w:sz w:val="16"/>
        <w:szCs w:val="16"/>
      </w:rPr>
      <w:tab/>
    </w:r>
    <w:r w:rsidRPr="00B349F4">
      <w:rPr>
        <w:b/>
        <w:sz w:val="16"/>
        <w:szCs w:val="16"/>
      </w:rPr>
      <w:tab/>
      <w:t>Pakistan v India</w:t>
    </w:r>
  </w:p>
  <w:p w14:paraId="2F9F7F13" w14:textId="428AA92E" w:rsidR="00B349F4" w:rsidRDefault="00B349F4">
    <w:pPr>
      <w:pStyle w:val="Header"/>
    </w:pPr>
    <w:r w:rsidRPr="00B349F4">
      <w:rPr>
        <w:b/>
        <w:sz w:val="16"/>
        <w:szCs w:val="16"/>
      </w:rPr>
      <w:t>Mr. Justice Marcus Smith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4993"/>
    <w:multiLevelType w:val="multilevel"/>
    <w:tmpl w:val="9E4E8504"/>
    <w:lvl w:ilvl="0">
      <w:start w:val="1"/>
      <w:numFmt w:val="decimal"/>
      <w:lvlText w:val="%1."/>
      <w:lvlJc w:val="left"/>
      <w:pPr>
        <w:ind w:left="567" w:hanging="567"/>
      </w:pPr>
      <w:rPr>
        <w:rFonts w:ascii="Arial" w:hAnsi="Arial" w:cs="Univers" w:hint="default"/>
        <w:b/>
        <w:i w:val="0"/>
        <w:spacing w:val="0"/>
        <w:sz w:val="16"/>
        <w:szCs w:val="18"/>
      </w:rPr>
    </w:lvl>
    <w:lvl w:ilvl="1">
      <w:start w:val="1"/>
      <w:numFmt w:val="decimal"/>
      <w:lvlText w:val="(%2)"/>
      <w:lvlJc w:val="left"/>
      <w:pPr>
        <w:ind w:left="1134" w:hanging="567"/>
      </w:pPr>
      <w:rPr>
        <w:rFonts w:ascii="Arial" w:hAnsi="Arial" w:cs="Univers" w:hint="default"/>
        <w:b/>
        <w:i w:val="0"/>
        <w:spacing w:val="0"/>
        <w:sz w:val="16"/>
        <w:szCs w:val="18"/>
      </w:rPr>
    </w:lvl>
    <w:lvl w:ilvl="2">
      <w:start w:val="1"/>
      <w:numFmt w:val="lowerLetter"/>
      <w:lvlText w:val="(%3)"/>
      <w:lvlJc w:val="left"/>
      <w:pPr>
        <w:ind w:left="1814" w:hanging="680"/>
      </w:pPr>
      <w:rPr>
        <w:rFonts w:ascii="Arial" w:hAnsi="Arial" w:cs="Times New Roman" w:hint="default"/>
        <w:b/>
        <w:i w:val="0"/>
        <w:spacing w:val="0"/>
        <w:sz w:val="16"/>
        <w:szCs w:val="18"/>
      </w:rPr>
    </w:lvl>
    <w:lvl w:ilvl="3">
      <w:start w:val="1"/>
      <w:numFmt w:val="lowerRoman"/>
      <w:lvlText w:val="(%4)"/>
      <w:lvlJc w:val="left"/>
      <w:pPr>
        <w:ind w:left="2448" w:hanging="648"/>
      </w:pPr>
      <w:rPr>
        <w:rFonts w:ascii="Arial Bold" w:hAnsi="Arial Bold" w:cs="Univers" w:hint="default"/>
        <w:b/>
        <w:i w:val="0"/>
        <w:spacing w:val="0"/>
        <w:sz w:val="16"/>
        <w:szCs w:val="18"/>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ascii="Times" w:eastAsia="Times New Roman" w:hAnsi="Times"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AD543F7"/>
    <w:multiLevelType w:val="hybridMultilevel"/>
    <w:tmpl w:val="25348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4B7E6154"/>
    <w:multiLevelType w:val="multilevel"/>
    <w:tmpl w:val="3F5E8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F902C5"/>
    <w:multiLevelType w:val="hybridMultilevel"/>
    <w:tmpl w:val="9F2013AC"/>
    <w:lvl w:ilvl="0" w:tplc="0809000F">
      <w:start w:val="1"/>
      <w:numFmt w:val="decimal"/>
      <w:lvlText w:val="%1."/>
      <w:lvlJc w:val="left"/>
      <w:pPr>
        <w:ind w:left="1260" w:hanging="360"/>
      </w:pPr>
      <w:rPr>
        <w:rFonts w:hint="default"/>
      </w:rPr>
    </w:lvl>
    <w:lvl w:ilvl="1" w:tplc="56A6A852">
      <w:start w:val="1"/>
      <w:numFmt w:val="lowerLetter"/>
      <w:lvlText w:val="(%2)"/>
      <w:lvlJc w:val="left"/>
      <w:pPr>
        <w:ind w:left="1440" w:hanging="360"/>
      </w:pPr>
      <w:rPr>
        <w:rFonts w:hint="default"/>
      </w:rPr>
    </w:lvl>
    <w:lvl w:ilvl="2" w:tplc="44D29E32">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33707"/>
    <w:multiLevelType w:val="hybridMultilevel"/>
    <w:tmpl w:val="73AAB4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7C2A3D29"/>
    <w:multiLevelType w:val="hybridMultilevel"/>
    <w:tmpl w:val="00144C8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0"/>
    <w:lvlOverride w:ilvl="0">
      <w:lvl w:ilvl="0">
        <w:start w:val="1"/>
        <w:numFmt w:val="decimal"/>
        <w:lvlText w:val="%1."/>
        <w:lvlJc w:val="left"/>
        <w:pPr>
          <w:ind w:hanging="567"/>
        </w:pPr>
        <w:rPr>
          <w:rFonts w:ascii="Arial" w:hAnsi="Arial" w:cs="Arial" w:hint="cs"/>
          <w:b/>
          <w:i w:val="0"/>
          <w:color w:val="auto"/>
          <w:sz w:val="16"/>
          <w:rtl w:val="0"/>
        </w:rPr>
      </w:lvl>
    </w:lvlOverride>
    <w:lvlOverride w:ilvl="1">
      <w:lvl w:ilvl="1">
        <w:start w:val="1"/>
        <w:numFmt w:val="decimal"/>
        <w:lvlText w:val="(%2)"/>
        <w:lvlJc w:val="left"/>
        <w:pPr>
          <w:ind w:hanging="567"/>
        </w:pPr>
        <w:rPr>
          <w:rFonts w:ascii="Arial" w:hAnsi="Arial" w:cs="Arial" w:hint="cs"/>
          <w:b/>
          <w:i w:val="0"/>
          <w:sz w:val="16"/>
          <w:rtl w:val="0"/>
        </w:rPr>
      </w:lvl>
    </w:lvlOverride>
    <w:lvlOverride w:ilvl="2">
      <w:lvl w:ilvl="2">
        <w:start w:val="1"/>
        <w:numFmt w:val="lowerLetter"/>
        <w:lvlText w:val="(%3)"/>
        <w:lvlJc w:val="left"/>
        <w:pPr>
          <w:ind w:hanging="680"/>
        </w:pPr>
        <w:rPr>
          <w:rFonts w:ascii="Arial" w:hAnsi="Arial" w:cs="Arial" w:hint="cs"/>
          <w:b/>
          <w:i w:val="0"/>
          <w:sz w:val="16"/>
          <w:rtl w:val="0"/>
        </w:rPr>
      </w:lvl>
    </w:lvlOverride>
    <w:lvlOverride w:ilvl="3">
      <w:lvl w:ilvl="3">
        <w:start w:val="1"/>
        <w:numFmt w:val="lowerRoman"/>
        <w:lvlText w:val="(%4)"/>
        <w:lvlJc w:val="left"/>
        <w:pPr>
          <w:ind w:hanging="648"/>
        </w:pPr>
        <w:rPr>
          <w:rFonts w:ascii="Arial Bold" w:hAnsi="Arial Bold" w:cs="Arial Bold" w:hint="cs"/>
          <w:b/>
          <w:i w:val="0"/>
          <w:sz w:val="16"/>
          <w:rtl w:val="0"/>
        </w:rPr>
      </w:lvl>
    </w:lvlOverride>
    <w:lvlOverride w:ilvl="4">
      <w:lvl w:ilvl="4">
        <w:start w:val="1"/>
        <w:numFmt w:val="lowerLetter"/>
        <w:lvlText w:val="(%5)"/>
        <w:lvlJc w:val="left"/>
        <w:pPr>
          <w:ind w:hanging="360"/>
        </w:pPr>
      </w:lvl>
    </w:lvlOverride>
    <w:lvlOverride w:ilvl="5">
      <w:lvl w:ilvl="5">
        <w:start w:val="1"/>
        <w:numFmt w:val="decimal"/>
        <w:lvlText w:val="(%6)"/>
        <w:lvlJc w:val="left"/>
        <w:pPr>
          <w:ind w:hanging="360"/>
        </w:pPr>
        <w:rPr>
          <w:rFonts w:ascii="Times" w:hAnsi="Times" w:cs="Times" w:hint="cs"/>
          <w:rtl w:val="0"/>
        </w:rPr>
      </w:lvl>
    </w:lvlOverride>
    <w:lvlOverride w:ilvl="6">
      <w:lvl w:ilvl="6">
        <w:start w:val="1"/>
        <w:numFmt w:val="decimal"/>
        <w:lvlText w:val="%7."/>
        <w:lvlJc w:val="left"/>
        <w:pPr>
          <w:ind w:hanging="360"/>
        </w:pPr>
      </w:lvl>
    </w:lvlOverride>
    <w:lvlOverride w:ilvl="7">
      <w:lvl w:ilvl="7">
        <w:start w:val="1"/>
        <w:numFmt w:val="lowerLetter"/>
        <w:lvlText w:val="%8."/>
        <w:lvlJc w:val="left"/>
        <w:pPr>
          <w:ind w:hanging="360"/>
        </w:pPr>
      </w:lvl>
    </w:lvlOverride>
    <w:lvlOverride w:ilvl="8">
      <w:lvl w:ilvl="8">
        <w:start w:val="1"/>
        <w:numFmt w:val="lowerRoman"/>
        <w:lvlText w:val="%9."/>
        <w:lvlJc w:val="left"/>
        <w:pPr>
          <w:ind w:hanging="360"/>
        </w:pPr>
      </w:lvl>
    </w:lvlOverride>
  </w:num>
  <w:num w:numId="7">
    <w:abstractNumId w:val="0"/>
    <w:lvlOverride w:ilvl="0">
      <w:lvl w:ilvl="0">
        <w:start w:val="1"/>
        <w:numFmt w:val="decimal"/>
        <w:lvlText w:val="%1."/>
        <w:lvlJc w:val="left"/>
        <w:pPr>
          <w:ind w:hanging="567"/>
        </w:pPr>
        <w:rPr>
          <w:rFonts w:ascii="Arial" w:hAnsi="Arial" w:cs="Arial" w:hint="cs"/>
          <w:b/>
          <w:i w:val="0"/>
          <w:color w:val="auto"/>
          <w:sz w:val="16"/>
          <w:rtl w:val="0"/>
        </w:rPr>
      </w:lvl>
    </w:lvlOverride>
    <w:lvlOverride w:ilvl="1">
      <w:lvl w:ilvl="1">
        <w:start w:val="1"/>
        <w:numFmt w:val="decimal"/>
        <w:lvlText w:val="(%2)"/>
        <w:lvlJc w:val="left"/>
        <w:pPr>
          <w:ind w:hanging="567"/>
        </w:pPr>
        <w:rPr>
          <w:rFonts w:ascii="Arial" w:hAnsi="Arial" w:cs="Arial" w:hint="cs"/>
          <w:b/>
          <w:i w:val="0"/>
          <w:color w:val="auto"/>
          <w:sz w:val="16"/>
          <w:rtl w:val="0"/>
        </w:rPr>
      </w:lvl>
    </w:lvlOverride>
    <w:lvlOverride w:ilvl="2">
      <w:lvl w:ilvl="2">
        <w:start w:val="1"/>
        <w:numFmt w:val="lowerLetter"/>
        <w:lvlText w:val="(%3)"/>
        <w:lvlJc w:val="left"/>
        <w:pPr>
          <w:ind w:hanging="680"/>
        </w:pPr>
        <w:rPr>
          <w:rFonts w:ascii="Arial" w:hAnsi="Arial" w:cs="Arial" w:hint="cs"/>
          <w:b/>
          <w:i w:val="0"/>
          <w:color w:val="auto"/>
          <w:sz w:val="16"/>
          <w:rtl w:val="0"/>
        </w:rPr>
      </w:lvl>
    </w:lvlOverride>
    <w:lvlOverride w:ilvl="3">
      <w:lvl w:ilvl="3">
        <w:start w:val="1"/>
        <w:numFmt w:val="lowerRoman"/>
        <w:lvlText w:val="(%4)"/>
        <w:lvlJc w:val="left"/>
        <w:pPr>
          <w:ind w:hanging="648"/>
        </w:pPr>
        <w:rPr>
          <w:rFonts w:ascii="Arial Bold" w:hAnsi="Arial Bold" w:cs="Arial Bold" w:hint="cs"/>
          <w:b/>
          <w:i w:val="0"/>
          <w:sz w:val="16"/>
          <w:rtl w:val="0"/>
        </w:rPr>
      </w:lvl>
    </w:lvlOverride>
    <w:lvlOverride w:ilvl="4">
      <w:lvl w:ilvl="4">
        <w:start w:val="1"/>
        <w:numFmt w:val="lowerLetter"/>
        <w:lvlText w:val="(%5)"/>
        <w:lvlJc w:val="left"/>
        <w:pPr>
          <w:ind w:hanging="360"/>
        </w:pPr>
      </w:lvl>
    </w:lvlOverride>
    <w:lvlOverride w:ilvl="5">
      <w:lvl w:ilvl="5">
        <w:start w:val="1"/>
        <w:numFmt w:val="decimal"/>
        <w:lvlText w:val="(%6)"/>
        <w:lvlJc w:val="left"/>
        <w:pPr>
          <w:ind w:hanging="360"/>
        </w:pPr>
        <w:rPr>
          <w:rFonts w:ascii="Times" w:hAnsi="Times" w:cs="Times" w:hint="cs"/>
          <w:rtl w:val="0"/>
        </w:rPr>
      </w:lvl>
    </w:lvlOverride>
    <w:lvlOverride w:ilvl="6">
      <w:lvl w:ilvl="6">
        <w:start w:val="1"/>
        <w:numFmt w:val="decimal"/>
        <w:lvlText w:val="%7."/>
        <w:lvlJc w:val="left"/>
        <w:pPr>
          <w:ind w:hanging="360"/>
        </w:pPr>
      </w:lvl>
    </w:lvlOverride>
    <w:lvlOverride w:ilvl="7">
      <w:lvl w:ilvl="7">
        <w:start w:val="1"/>
        <w:numFmt w:val="lowerLetter"/>
        <w:lvlText w:val="%8."/>
        <w:lvlJc w:val="left"/>
        <w:pPr>
          <w:ind w:hanging="360"/>
        </w:pPr>
      </w:lvl>
    </w:lvlOverride>
    <w:lvlOverride w:ilvl="8">
      <w:lvl w:ilvl="8">
        <w:start w:val="1"/>
        <w:numFmt w:val="lowerRoman"/>
        <w:lvlText w:val="%9."/>
        <w:lvlJc w:val="left"/>
        <w:pPr>
          <w:ind w:hanging="360"/>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3"/>
    <w:rsid w:val="0000003F"/>
    <w:rsid w:val="000000D4"/>
    <w:rsid w:val="0000016D"/>
    <w:rsid w:val="00000280"/>
    <w:rsid w:val="00000664"/>
    <w:rsid w:val="00000745"/>
    <w:rsid w:val="000007A5"/>
    <w:rsid w:val="00000901"/>
    <w:rsid w:val="00000BA8"/>
    <w:rsid w:val="00000BF7"/>
    <w:rsid w:val="00000D50"/>
    <w:rsid w:val="0000112F"/>
    <w:rsid w:val="000011C0"/>
    <w:rsid w:val="000012FA"/>
    <w:rsid w:val="0000131D"/>
    <w:rsid w:val="000013D3"/>
    <w:rsid w:val="000014E3"/>
    <w:rsid w:val="00001532"/>
    <w:rsid w:val="0000167B"/>
    <w:rsid w:val="000016D8"/>
    <w:rsid w:val="0000181D"/>
    <w:rsid w:val="0000190E"/>
    <w:rsid w:val="00001AA8"/>
    <w:rsid w:val="00001C6B"/>
    <w:rsid w:val="00001ED5"/>
    <w:rsid w:val="00002021"/>
    <w:rsid w:val="000020D8"/>
    <w:rsid w:val="00002119"/>
    <w:rsid w:val="00002230"/>
    <w:rsid w:val="0000241E"/>
    <w:rsid w:val="0000246F"/>
    <w:rsid w:val="000024FF"/>
    <w:rsid w:val="00002511"/>
    <w:rsid w:val="00002528"/>
    <w:rsid w:val="000025C7"/>
    <w:rsid w:val="000025F2"/>
    <w:rsid w:val="00002628"/>
    <w:rsid w:val="00002859"/>
    <w:rsid w:val="00002983"/>
    <w:rsid w:val="00002984"/>
    <w:rsid w:val="00002C6D"/>
    <w:rsid w:val="00002C8F"/>
    <w:rsid w:val="00002D83"/>
    <w:rsid w:val="00002FA4"/>
    <w:rsid w:val="000031AE"/>
    <w:rsid w:val="000032AD"/>
    <w:rsid w:val="000034AF"/>
    <w:rsid w:val="00003614"/>
    <w:rsid w:val="00003672"/>
    <w:rsid w:val="000039AD"/>
    <w:rsid w:val="00003AC2"/>
    <w:rsid w:val="00003BD3"/>
    <w:rsid w:val="00003D97"/>
    <w:rsid w:val="000040CF"/>
    <w:rsid w:val="000041F0"/>
    <w:rsid w:val="00004607"/>
    <w:rsid w:val="00004761"/>
    <w:rsid w:val="00004763"/>
    <w:rsid w:val="000049AE"/>
    <w:rsid w:val="000049E9"/>
    <w:rsid w:val="00004A47"/>
    <w:rsid w:val="00004B95"/>
    <w:rsid w:val="00004BAE"/>
    <w:rsid w:val="00004C2D"/>
    <w:rsid w:val="00004E21"/>
    <w:rsid w:val="00005049"/>
    <w:rsid w:val="000050F9"/>
    <w:rsid w:val="00005229"/>
    <w:rsid w:val="000056A4"/>
    <w:rsid w:val="000056BE"/>
    <w:rsid w:val="000058AE"/>
    <w:rsid w:val="00005E8B"/>
    <w:rsid w:val="00005FBA"/>
    <w:rsid w:val="00006183"/>
    <w:rsid w:val="00006589"/>
    <w:rsid w:val="000069FD"/>
    <w:rsid w:val="00006AF9"/>
    <w:rsid w:val="00006BA1"/>
    <w:rsid w:val="00006C43"/>
    <w:rsid w:val="00006EEE"/>
    <w:rsid w:val="00006F37"/>
    <w:rsid w:val="00007019"/>
    <w:rsid w:val="0000710C"/>
    <w:rsid w:val="0000739D"/>
    <w:rsid w:val="00007584"/>
    <w:rsid w:val="0000760B"/>
    <w:rsid w:val="00007804"/>
    <w:rsid w:val="000079F5"/>
    <w:rsid w:val="00007B97"/>
    <w:rsid w:val="00007D0E"/>
    <w:rsid w:val="00007D3A"/>
    <w:rsid w:val="00007DD6"/>
    <w:rsid w:val="00007F33"/>
    <w:rsid w:val="000101EB"/>
    <w:rsid w:val="000102BB"/>
    <w:rsid w:val="00010397"/>
    <w:rsid w:val="000103A9"/>
    <w:rsid w:val="00010517"/>
    <w:rsid w:val="00010B91"/>
    <w:rsid w:val="00010EC2"/>
    <w:rsid w:val="00010F7B"/>
    <w:rsid w:val="0001134F"/>
    <w:rsid w:val="0001166E"/>
    <w:rsid w:val="00011697"/>
    <w:rsid w:val="000117BC"/>
    <w:rsid w:val="00011937"/>
    <w:rsid w:val="0001197E"/>
    <w:rsid w:val="000119F0"/>
    <w:rsid w:val="00011C17"/>
    <w:rsid w:val="00011D84"/>
    <w:rsid w:val="00011D9C"/>
    <w:rsid w:val="00011DFE"/>
    <w:rsid w:val="00011E8A"/>
    <w:rsid w:val="0001206C"/>
    <w:rsid w:val="00012124"/>
    <w:rsid w:val="00012142"/>
    <w:rsid w:val="00012169"/>
    <w:rsid w:val="000121BC"/>
    <w:rsid w:val="0001223F"/>
    <w:rsid w:val="000122AE"/>
    <w:rsid w:val="000124ED"/>
    <w:rsid w:val="00012588"/>
    <w:rsid w:val="00012637"/>
    <w:rsid w:val="000129E1"/>
    <w:rsid w:val="00012A79"/>
    <w:rsid w:val="00012AC0"/>
    <w:rsid w:val="00012CF7"/>
    <w:rsid w:val="00013075"/>
    <w:rsid w:val="00013273"/>
    <w:rsid w:val="000132AC"/>
    <w:rsid w:val="00013349"/>
    <w:rsid w:val="00013475"/>
    <w:rsid w:val="0001370F"/>
    <w:rsid w:val="00013834"/>
    <w:rsid w:val="00013C5F"/>
    <w:rsid w:val="000140B8"/>
    <w:rsid w:val="00014166"/>
    <w:rsid w:val="00014788"/>
    <w:rsid w:val="00014A73"/>
    <w:rsid w:val="00014CF1"/>
    <w:rsid w:val="00014D05"/>
    <w:rsid w:val="00014E53"/>
    <w:rsid w:val="00014FA0"/>
    <w:rsid w:val="00015142"/>
    <w:rsid w:val="000151A7"/>
    <w:rsid w:val="0001541B"/>
    <w:rsid w:val="00015573"/>
    <w:rsid w:val="000155C5"/>
    <w:rsid w:val="00015791"/>
    <w:rsid w:val="00015C11"/>
    <w:rsid w:val="00015D04"/>
    <w:rsid w:val="00015E7F"/>
    <w:rsid w:val="0001601D"/>
    <w:rsid w:val="00016198"/>
    <w:rsid w:val="000161C3"/>
    <w:rsid w:val="00016225"/>
    <w:rsid w:val="000162CE"/>
    <w:rsid w:val="0001636C"/>
    <w:rsid w:val="000163CB"/>
    <w:rsid w:val="00016427"/>
    <w:rsid w:val="000166BA"/>
    <w:rsid w:val="000167DB"/>
    <w:rsid w:val="000169A1"/>
    <w:rsid w:val="00016AB6"/>
    <w:rsid w:val="00016B70"/>
    <w:rsid w:val="00016C71"/>
    <w:rsid w:val="00016D95"/>
    <w:rsid w:val="00016E53"/>
    <w:rsid w:val="00016F02"/>
    <w:rsid w:val="0001706A"/>
    <w:rsid w:val="00017254"/>
    <w:rsid w:val="000172F5"/>
    <w:rsid w:val="000173E5"/>
    <w:rsid w:val="0001772C"/>
    <w:rsid w:val="00017BF1"/>
    <w:rsid w:val="00017C50"/>
    <w:rsid w:val="00017E84"/>
    <w:rsid w:val="00017F58"/>
    <w:rsid w:val="00020038"/>
    <w:rsid w:val="000202DA"/>
    <w:rsid w:val="000203EC"/>
    <w:rsid w:val="000205BC"/>
    <w:rsid w:val="00020627"/>
    <w:rsid w:val="000207AF"/>
    <w:rsid w:val="00020992"/>
    <w:rsid w:val="00020CE2"/>
    <w:rsid w:val="00020EC2"/>
    <w:rsid w:val="0002105B"/>
    <w:rsid w:val="00021354"/>
    <w:rsid w:val="00021499"/>
    <w:rsid w:val="0002155B"/>
    <w:rsid w:val="00021767"/>
    <w:rsid w:val="00021807"/>
    <w:rsid w:val="000219C3"/>
    <w:rsid w:val="00021A1B"/>
    <w:rsid w:val="00021B25"/>
    <w:rsid w:val="00021C01"/>
    <w:rsid w:val="00021DF6"/>
    <w:rsid w:val="00021E86"/>
    <w:rsid w:val="000220AB"/>
    <w:rsid w:val="00022239"/>
    <w:rsid w:val="00022282"/>
    <w:rsid w:val="000222A6"/>
    <w:rsid w:val="000224FD"/>
    <w:rsid w:val="00022774"/>
    <w:rsid w:val="00022784"/>
    <w:rsid w:val="00022862"/>
    <w:rsid w:val="00022961"/>
    <w:rsid w:val="00022A26"/>
    <w:rsid w:val="00022AC0"/>
    <w:rsid w:val="00022ADB"/>
    <w:rsid w:val="00022BCC"/>
    <w:rsid w:val="00022D90"/>
    <w:rsid w:val="0002304A"/>
    <w:rsid w:val="000230AD"/>
    <w:rsid w:val="0002324C"/>
    <w:rsid w:val="00023818"/>
    <w:rsid w:val="000238F4"/>
    <w:rsid w:val="00023B3A"/>
    <w:rsid w:val="00023C89"/>
    <w:rsid w:val="00023D20"/>
    <w:rsid w:val="00023F32"/>
    <w:rsid w:val="00024078"/>
    <w:rsid w:val="000242BD"/>
    <w:rsid w:val="0002434E"/>
    <w:rsid w:val="0002435C"/>
    <w:rsid w:val="000245CE"/>
    <w:rsid w:val="0002460A"/>
    <w:rsid w:val="00024A49"/>
    <w:rsid w:val="00024BF2"/>
    <w:rsid w:val="00024D06"/>
    <w:rsid w:val="00024D07"/>
    <w:rsid w:val="00024D62"/>
    <w:rsid w:val="00025160"/>
    <w:rsid w:val="00025464"/>
    <w:rsid w:val="00025C95"/>
    <w:rsid w:val="00025F02"/>
    <w:rsid w:val="00026008"/>
    <w:rsid w:val="00026416"/>
    <w:rsid w:val="00026697"/>
    <w:rsid w:val="0002677A"/>
    <w:rsid w:val="00026A6F"/>
    <w:rsid w:val="00026B58"/>
    <w:rsid w:val="00026C6D"/>
    <w:rsid w:val="00026EBF"/>
    <w:rsid w:val="00027187"/>
    <w:rsid w:val="000271A7"/>
    <w:rsid w:val="00027329"/>
    <w:rsid w:val="0002738B"/>
    <w:rsid w:val="000275D8"/>
    <w:rsid w:val="000276C4"/>
    <w:rsid w:val="0002782B"/>
    <w:rsid w:val="00027840"/>
    <w:rsid w:val="00027852"/>
    <w:rsid w:val="000278B9"/>
    <w:rsid w:val="00027B65"/>
    <w:rsid w:val="000302BA"/>
    <w:rsid w:val="00030375"/>
    <w:rsid w:val="00030467"/>
    <w:rsid w:val="000304E9"/>
    <w:rsid w:val="00030A30"/>
    <w:rsid w:val="00030A40"/>
    <w:rsid w:val="00030E45"/>
    <w:rsid w:val="00031247"/>
    <w:rsid w:val="0003129A"/>
    <w:rsid w:val="0003140C"/>
    <w:rsid w:val="000314C7"/>
    <w:rsid w:val="0003155C"/>
    <w:rsid w:val="0003173F"/>
    <w:rsid w:val="000318B1"/>
    <w:rsid w:val="000318B8"/>
    <w:rsid w:val="0003194A"/>
    <w:rsid w:val="00031A97"/>
    <w:rsid w:val="00031AE9"/>
    <w:rsid w:val="00031C7E"/>
    <w:rsid w:val="00031C83"/>
    <w:rsid w:val="00031D2B"/>
    <w:rsid w:val="00031DA4"/>
    <w:rsid w:val="00032172"/>
    <w:rsid w:val="000324DD"/>
    <w:rsid w:val="00032508"/>
    <w:rsid w:val="000329B1"/>
    <w:rsid w:val="00032B52"/>
    <w:rsid w:val="00032C15"/>
    <w:rsid w:val="00032EB5"/>
    <w:rsid w:val="00032EB9"/>
    <w:rsid w:val="0003308F"/>
    <w:rsid w:val="00033336"/>
    <w:rsid w:val="00033584"/>
    <w:rsid w:val="00033A05"/>
    <w:rsid w:val="00033C24"/>
    <w:rsid w:val="00033CC3"/>
    <w:rsid w:val="00033FB7"/>
    <w:rsid w:val="0003402C"/>
    <w:rsid w:val="0003407F"/>
    <w:rsid w:val="000341A9"/>
    <w:rsid w:val="00034618"/>
    <w:rsid w:val="0003482E"/>
    <w:rsid w:val="00034973"/>
    <w:rsid w:val="00034BF3"/>
    <w:rsid w:val="00034E75"/>
    <w:rsid w:val="00034FA7"/>
    <w:rsid w:val="000350A3"/>
    <w:rsid w:val="000350E2"/>
    <w:rsid w:val="000351C6"/>
    <w:rsid w:val="00035231"/>
    <w:rsid w:val="000354E9"/>
    <w:rsid w:val="000356BE"/>
    <w:rsid w:val="000356E4"/>
    <w:rsid w:val="0003610E"/>
    <w:rsid w:val="0003657B"/>
    <w:rsid w:val="00036589"/>
    <w:rsid w:val="00036753"/>
    <w:rsid w:val="00036836"/>
    <w:rsid w:val="00036854"/>
    <w:rsid w:val="000369B3"/>
    <w:rsid w:val="00036A47"/>
    <w:rsid w:val="00036AED"/>
    <w:rsid w:val="00036D55"/>
    <w:rsid w:val="00036E5B"/>
    <w:rsid w:val="0003737F"/>
    <w:rsid w:val="000375A0"/>
    <w:rsid w:val="00037691"/>
    <w:rsid w:val="000377AF"/>
    <w:rsid w:val="000377B9"/>
    <w:rsid w:val="000378FB"/>
    <w:rsid w:val="00037923"/>
    <w:rsid w:val="00037935"/>
    <w:rsid w:val="00037BA1"/>
    <w:rsid w:val="00037CB8"/>
    <w:rsid w:val="00037D57"/>
    <w:rsid w:val="00037E52"/>
    <w:rsid w:val="00037FF2"/>
    <w:rsid w:val="000402BC"/>
    <w:rsid w:val="0004033D"/>
    <w:rsid w:val="0004044D"/>
    <w:rsid w:val="00040712"/>
    <w:rsid w:val="0004098F"/>
    <w:rsid w:val="000409C4"/>
    <w:rsid w:val="000409DA"/>
    <w:rsid w:val="00040A1F"/>
    <w:rsid w:val="00040AC7"/>
    <w:rsid w:val="00040D58"/>
    <w:rsid w:val="00040DD4"/>
    <w:rsid w:val="00040E50"/>
    <w:rsid w:val="00040F00"/>
    <w:rsid w:val="00040FD5"/>
    <w:rsid w:val="00041547"/>
    <w:rsid w:val="0004162F"/>
    <w:rsid w:val="00041716"/>
    <w:rsid w:val="00041818"/>
    <w:rsid w:val="00041AA0"/>
    <w:rsid w:val="00041AB1"/>
    <w:rsid w:val="00041C33"/>
    <w:rsid w:val="00041C8D"/>
    <w:rsid w:val="00041D78"/>
    <w:rsid w:val="000420BF"/>
    <w:rsid w:val="00042164"/>
    <w:rsid w:val="00042405"/>
    <w:rsid w:val="00042638"/>
    <w:rsid w:val="000427F2"/>
    <w:rsid w:val="000429E9"/>
    <w:rsid w:val="00042A5D"/>
    <w:rsid w:val="00042A67"/>
    <w:rsid w:val="00042A8A"/>
    <w:rsid w:val="00042D25"/>
    <w:rsid w:val="00043098"/>
    <w:rsid w:val="000430CD"/>
    <w:rsid w:val="0004311E"/>
    <w:rsid w:val="00043426"/>
    <w:rsid w:val="000435C5"/>
    <w:rsid w:val="0004368E"/>
    <w:rsid w:val="000438EA"/>
    <w:rsid w:val="00043E03"/>
    <w:rsid w:val="00044457"/>
    <w:rsid w:val="00044474"/>
    <w:rsid w:val="00044891"/>
    <w:rsid w:val="000448EB"/>
    <w:rsid w:val="00044CB2"/>
    <w:rsid w:val="00044F20"/>
    <w:rsid w:val="0004506C"/>
    <w:rsid w:val="00045265"/>
    <w:rsid w:val="000453A9"/>
    <w:rsid w:val="000454FA"/>
    <w:rsid w:val="00045563"/>
    <w:rsid w:val="00045585"/>
    <w:rsid w:val="00045AC9"/>
    <w:rsid w:val="00045C4A"/>
    <w:rsid w:val="00045E6E"/>
    <w:rsid w:val="00045E71"/>
    <w:rsid w:val="00046604"/>
    <w:rsid w:val="0004689A"/>
    <w:rsid w:val="000468EF"/>
    <w:rsid w:val="00046A12"/>
    <w:rsid w:val="00046A90"/>
    <w:rsid w:val="00046B87"/>
    <w:rsid w:val="00046C69"/>
    <w:rsid w:val="00046D43"/>
    <w:rsid w:val="00046D6C"/>
    <w:rsid w:val="00046D87"/>
    <w:rsid w:val="00046E07"/>
    <w:rsid w:val="00046EE0"/>
    <w:rsid w:val="0004711F"/>
    <w:rsid w:val="00047287"/>
    <w:rsid w:val="00047392"/>
    <w:rsid w:val="000477E3"/>
    <w:rsid w:val="0004797F"/>
    <w:rsid w:val="00047B60"/>
    <w:rsid w:val="00047DE1"/>
    <w:rsid w:val="00047E38"/>
    <w:rsid w:val="00047E3D"/>
    <w:rsid w:val="000501C1"/>
    <w:rsid w:val="00050245"/>
    <w:rsid w:val="00050339"/>
    <w:rsid w:val="00050350"/>
    <w:rsid w:val="000503C2"/>
    <w:rsid w:val="00050500"/>
    <w:rsid w:val="0005071A"/>
    <w:rsid w:val="0005083B"/>
    <w:rsid w:val="00050A5B"/>
    <w:rsid w:val="00050AA0"/>
    <w:rsid w:val="00050D2C"/>
    <w:rsid w:val="00050D5C"/>
    <w:rsid w:val="00050EBC"/>
    <w:rsid w:val="00050F68"/>
    <w:rsid w:val="000511E8"/>
    <w:rsid w:val="000511F4"/>
    <w:rsid w:val="0005122D"/>
    <w:rsid w:val="00051323"/>
    <w:rsid w:val="00051453"/>
    <w:rsid w:val="0005153B"/>
    <w:rsid w:val="0005241A"/>
    <w:rsid w:val="00052879"/>
    <w:rsid w:val="000528EB"/>
    <w:rsid w:val="00052ADC"/>
    <w:rsid w:val="00052B3C"/>
    <w:rsid w:val="00052D0F"/>
    <w:rsid w:val="00053053"/>
    <w:rsid w:val="00053245"/>
    <w:rsid w:val="0005383E"/>
    <w:rsid w:val="0005389B"/>
    <w:rsid w:val="00053912"/>
    <w:rsid w:val="00053A1C"/>
    <w:rsid w:val="00053CEE"/>
    <w:rsid w:val="00053D04"/>
    <w:rsid w:val="00053ED4"/>
    <w:rsid w:val="000540B8"/>
    <w:rsid w:val="00054122"/>
    <w:rsid w:val="0005445A"/>
    <w:rsid w:val="000544E5"/>
    <w:rsid w:val="0005469A"/>
    <w:rsid w:val="00054729"/>
    <w:rsid w:val="0005475A"/>
    <w:rsid w:val="0005479F"/>
    <w:rsid w:val="000547F3"/>
    <w:rsid w:val="00054929"/>
    <w:rsid w:val="0005498A"/>
    <w:rsid w:val="00054CCD"/>
    <w:rsid w:val="00054ECB"/>
    <w:rsid w:val="00054FC4"/>
    <w:rsid w:val="00055102"/>
    <w:rsid w:val="000554F0"/>
    <w:rsid w:val="000556D0"/>
    <w:rsid w:val="000557B3"/>
    <w:rsid w:val="00055949"/>
    <w:rsid w:val="00055BC2"/>
    <w:rsid w:val="000560C1"/>
    <w:rsid w:val="00056144"/>
    <w:rsid w:val="0005621E"/>
    <w:rsid w:val="000564D8"/>
    <w:rsid w:val="00056508"/>
    <w:rsid w:val="000566F4"/>
    <w:rsid w:val="00056888"/>
    <w:rsid w:val="00056AF7"/>
    <w:rsid w:val="00056B8C"/>
    <w:rsid w:val="00056C6D"/>
    <w:rsid w:val="00056C7F"/>
    <w:rsid w:val="00056E36"/>
    <w:rsid w:val="00057009"/>
    <w:rsid w:val="00057115"/>
    <w:rsid w:val="0005754C"/>
    <w:rsid w:val="000575D4"/>
    <w:rsid w:val="000577DC"/>
    <w:rsid w:val="000579E5"/>
    <w:rsid w:val="00057C0F"/>
    <w:rsid w:val="0006000D"/>
    <w:rsid w:val="000600E2"/>
    <w:rsid w:val="000602CB"/>
    <w:rsid w:val="000603DE"/>
    <w:rsid w:val="00060407"/>
    <w:rsid w:val="000608A1"/>
    <w:rsid w:val="00060937"/>
    <w:rsid w:val="00060A6E"/>
    <w:rsid w:val="00060A73"/>
    <w:rsid w:val="00060D7F"/>
    <w:rsid w:val="00060EA3"/>
    <w:rsid w:val="00061090"/>
    <w:rsid w:val="00061131"/>
    <w:rsid w:val="000612BB"/>
    <w:rsid w:val="00061408"/>
    <w:rsid w:val="00061655"/>
    <w:rsid w:val="000619AC"/>
    <w:rsid w:val="00061AA4"/>
    <w:rsid w:val="00061C9D"/>
    <w:rsid w:val="00061EDF"/>
    <w:rsid w:val="00061EF8"/>
    <w:rsid w:val="0006214A"/>
    <w:rsid w:val="000622D4"/>
    <w:rsid w:val="00062459"/>
    <w:rsid w:val="0006252A"/>
    <w:rsid w:val="0006259B"/>
    <w:rsid w:val="000625C8"/>
    <w:rsid w:val="00062780"/>
    <w:rsid w:val="00062B5C"/>
    <w:rsid w:val="00062C40"/>
    <w:rsid w:val="00062D4E"/>
    <w:rsid w:val="00062DDA"/>
    <w:rsid w:val="00062E50"/>
    <w:rsid w:val="000631F1"/>
    <w:rsid w:val="00063241"/>
    <w:rsid w:val="000632AB"/>
    <w:rsid w:val="00063B21"/>
    <w:rsid w:val="00063BBF"/>
    <w:rsid w:val="00063C38"/>
    <w:rsid w:val="00063CA1"/>
    <w:rsid w:val="00063FA4"/>
    <w:rsid w:val="00063FAB"/>
    <w:rsid w:val="00063FF4"/>
    <w:rsid w:val="00064176"/>
    <w:rsid w:val="00064256"/>
    <w:rsid w:val="0006466A"/>
    <w:rsid w:val="0006487C"/>
    <w:rsid w:val="00064900"/>
    <w:rsid w:val="0006495F"/>
    <w:rsid w:val="00064A9D"/>
    <w:rsid w:val="00064E04"/>
    <w:rsid w:val="00065026"/>
    <w:rsid w:val="00065088"/>
    <w:rsid w:val="00065297"/>
    <w:rsid w:val="00065493"/>
    <w:rsid w:val="000654B8"/>
    <w:rsid w:val="00065646"/>
    <w:rsid w:val="0006575B"/>
    <w:rsid w:val="0006585C"/>
    <w:rsid w:val="000659A4"/>
    <w:rsid w:val="000659E4"/>
    <w:rsid w:val="00065B34"/>
    <w:rsid w:val="00065C51"/>
    <w:rsid w:val="000660BA"/>
    <w:rsid w:val="0006617A"/>
    <w:rsid w:val="0006627A"/>
    <w:rsid w:val="00066529"/>
    <w:rsid w:val="0006671D"/>
    <w:rsid w:val="00066AA2"/>
    <w:rsid w:val="00066D41"/>
    <w:rsid w:val="00067190"/>
    <w:rsid w:val="000671A0"/>
    <w:rsid w:val="0006735F"/>
    <w:rsid w:val="000674DD"/>
    <w:rsid w:val="00067541"/>
    <w:rsid w:val="0006764E"/>
    <w:rsid w:val="00067929"/>
    <w:rsid w:val="00067C95"/>
    <w:rsid w:val="00067D8B"/>
    <w:rsid w:val="0007012B"/>
    <w:rsid w:val="000701FB"/>
    <w:rsid w:val="00070252"/>
    <w:rsid w:val="00070384"/>
    <w:rsid w:val="00070628"/>
    <w:rsid w:val="0007067F"/>
    <w:rsid w:val="000706C8"/>
    <w:rsid w:val="00070840"/>
    <w:rsid w:val="00070856"/>
    <w:rsid w:val="00070A8A"/>
    <w:rsid w:val="00070E4C"/>
    <w:rsid w:val="0007100C"/>
    <w:rsid w:val="000710AF"/>
    <w:rsid w:val="0007119B"/>
    <w:rsid w:val="000713CA"/>
    <w:rsid w:val="000713D0"/>
    <w:rsid w:val="000713F1"/>
    <w:rsid w:val="0007148F"/>
    <w:rsid w:val="00071658"/>
    <w:rsid w:val="00071A2E"/>
    <w:rsid w:val="00071A6A"/>
    <w:rsid w:val="00071B48"/>
    <w:rsid w:val="00071D1F"/>
    <w:rsid w:val="00071F6B"/>
    <w:rsid w:val="00071FCD"/>
    <w:rsid w:val="00072015"/>
    <w:rsid w:val="00072090"/>
    <w:rsid w:val="000720E7"/>
    <w:rsid w:val="000723E4"/>
    <w:rsid w:val="0007243A"/>
    <w:rsid w:val="000724F5"/>
    <w:rsid w:val="00072623"/>
    <w:rsid w:val="0007283C"/>
    <w:rsid w:val="00072933"/>
    <w:rsid w:val="00072AED"/>
    <w:rsid w:val="00072B6B"/>
    <w:rsid w:val="00072D3B"/>
    <w:rsid w:val="00072E51"/>
    <w:rsid w:val="00073215"/>
    <w:rsid w:val="00073387"/>
    <w:rsid w:val="000734F3"/>
    <w:rsid w:val="0007352F"/>
    <w:rsid w:val="000737A7"/>
    <w:rsid w:val="0007390B"/>
    <w:rsid w:val="00073A58"/>
    <w:rsid w:val="00073E79"/>
    <w:rsid w:val="0007435A"/>
    <w:rsid w:val="0007436B"/>
    <w:rsid w:val="00074784"/>
    <w:rsid w:val="0007485F"/>
    <w:rsid w:val="00074884"/>
    <w:rsid w:val="00074A19"/>
    <w:rsid w:val="00074A30"/>
    <w:rsid w:val="00074BF2"/>
    <w:rsid w:val="00074E2D"/>
    <w:rsid w:val="00074E34"/>
    <w:rsid w:val="00074EF0"/>
    <w:rsid w:val="00075149"/>
    <w:rsid w:val="00075256"/>
    <w:rsid w:val="00075546"/>
    <w:rsid w:val="00075584"/>
    <w:rsid w:val="000759F4"/>
    <w:rsid w:val="00075AC6"/>
    <w:rsid w:val="00075C24"/>
    <w:rsid w:val="00075C70"/>
    <w:rsid w:val="00075D04"/>
    <w:rsid w:val="00075D20"/>
    <w:rsid w:val="00075E68"/>
    <w:rsid w:val="00075EB1"/>
    <w:rsid w:val="00076067"/>
    <w:rsid w:val="0007674B"/>
    <w:rsid w:val="000769EA"/>
    <w:rsid w:val="00076F8F"/>
    <w:rsid w:val="0007713B"/>
    <w:rsid w:val="00077509"/>
    <w:rsid w:val="000775CD"/>
    <w:rsid w:val="000778CE"/>
    <w:rsid w:val="00077940"/>
    <w:rsid w:val="00077C46"/>
    <w:rsid w:val="00077CD9"/>
    <w:rsid w:val="0008008C"/>
    <w:rsid w:val="00080AA8"/>
    <w:rsid w:val="00080C56"/>
    <w:rsid w:val="00080D28"/>
    <w:rsid w:val="00080EA3"/>
    <w:rsid w:val="00080ED8"/>
    <w:rsid w:val="0008112F"/>
    <w:rsid w:val="000816EC"/>
    <w:rsid w:val="00081915"/>
    <w:rsid w:val="00081CC0"/>
    <w:rsid w:val="00081E3E"/>
    <w:rsid w:val="00082039"/>
    <w:rsid w:val="00082047"/>
    <w:rsid w:val="0008227B"/>
    <w:rsid w:val="000823F8"/>
    <w:rsid w:val="000823FB"/>
    <w:rsid w:val="00082402"/>
    <w:rsid w:val="0008244D"/>
    <w:rsid w:val="0008252B"/>
    <w:rsid w:val="00082573"/>
    <w:rsid w:val="000825D2"/>
    <w:rsid w:val="00082634"/>
    <w:rsid w:val="00082925"/>
    <w:rsid w:val="00082932"/>
    <w:rsid w:val="00082ADF"/>
    <w:rsid w:val="00082D9B"/>
    <w:rsid w:val="000830C5"/>
    <w:rsid w:val="0008311B"/>
    <w:rsid w:val="0008337A"/>
    <w:rsid w:val="000834EA"/>
    <w:rsid w:val="000837E1"/>
    <w:rsid w:val="000838B8"/>
    <w:rsid w:val="00083953"/>
    <w:rsid w:val="00083ADF"/>
    <w:rsid w:val="00083B2E"/>
    <w:rsid w:val="00083F4B"/>
    <w:rsid w:val="0008408A"/>
    <w:rsid w:val="00084199"/>
    <w:rsid w:val="0008444C"/>
    <w:rsid w:val="0008484B"/>
    <w:rsid w:val="00084977"/>
    <w:rsid w:val="00084A14"/>
    <w:rsid w:val="00084BAE"/>
    <w:rsid w:val="00084BCC"/>
    <w:rsid w:val="00084EB2"/>
    <w:rsid w:val="000850DD"/>
    <w:rsid w:val="000850E8"/>
    <w:rsid w:val="00085370"/>
    <w:rsid w:val="00085396"/>
    <w:rsid w:val="0008560E"/>
    <w:rsid w:val="00085733"/>
    <w:rsid w:val="000857EF"/>
    <w:rsid w:val="00085934"/>
    <w:rsid w:val="00085CFD"/>
    <w:rsid w:val="00085DDD"/>
    <w:rsid w:val="00085E92"/>
    <w:rsid w:val="00086017"/>
    <w:rsid w:val="00086301"/>
    <w:rsid w:val="0008634E"/>
    <w:rsid w:val="0008641F"/>
    <w:rsid w:val="0008660E"/>
    <w:rsid w:val="000867BD"/>
    <w:rsid w:val="00086834"/>
    <w:rsid w:val="00086957"/>
    <w:rsid w:val="00086B03"/>
    <w:rsid w:val="00086C27"/>
    <w:rsid w:val="00087085"/>
    <w:rsid w:val="00087380"/>
    <w:rsid w:val="0008798D"/>
    <w:rsid w:val="00087A09"/>
    <w:rsid w:val="00087B2D"/>
    <w:rsid w:val="00087B4B"/>
    <w:rsid w:val="00087CF2"/>
    <w:rsid w:val="0009011E"/>
    <w:rsid w:val="000901D0"/>
    <w:rsid w:val="0009036C"/>
    <w:rsid w:val="000904BF"/>
    <w:rsid w:val="0009054B"/>
    <w:rsid w:val="0009058F"/>
    <w:rsid w:val="0009070A"/>
    <w:rsid w:val="0009084E"/>
    <w:rsid w:val="00090CA0"/>
    <w:rsid w:val="00090D4C"/>
    <w:rsid w:val="00090D7F"/>
    <w:rsid w:val="00090E28"/>
    <w:rsid w:val="00090E90"/>
    <w:rsid w:val="00090F5D"/>
    <w:rsid w:val="000915BF"/>
    <w:rsid w:val="000917D1"/>
    <w:rsid w:val="00091CD4"/>
    <w:rsid w:val="00091CE1"/>
    <w:rsid w:val="00091D53"/>
    <w:rsid w:val="00091D6E"/>
    <w:rsid w:val="00091DBD"/>
    <w:rsid w:val="00091FC4"/>
    <w:rsid w:val="0009201E"/>
    <w:rsid w:val="000922F1"/>
    <w:rsid w:val="0009244B"/>
    <w:rsid w:val="00092509"/>
    <w:rsid w:val="00092629"/>
    <w:rsid w:val="00092796"/>
    <w:rsid w:val="00092883"/>
    <w:rsid w:val="00092C44"/>
    <w:rsid w:val="00092D58"/>
    <w:rsid w:val="00092DCC"/>
    <w:rsid w:val="00092E86"/>
    <w:rsid w:val="0009300A"/>
    <w:rsid w:val="0009301C"/>
    <w:rsid w:val="0009341A"/>
    <w:rsid w:val="0009342E"/>
    <w:rsid w:val="00093908"/>
    <w:rsid w:val="0009391C"/>
    <w:rsid w:val="00093A41"/>
    <w:rsid w:val="00093EEA"/>
    <w:rsid w:val="000940A5"/>
    <w:rsid w:val="00094326"/>
    <w:rsid w:val="00094419"/>
    <w:rsid w:val="0009473B"/>
    <w:rsid w:val="0009477C"/>
    <w:rsid w:val="00094869"/>
    <w:rsid w:val="00094A07"/>
    <w:rsid w:val="00094A3F"/>
    <w:rsid w:val="00094B38"/>
    <w:rsid w:val="00094C14"/>
    <w:rsid w:val="00094C19"/>
    <w:rsid w:val="00094CF0"/>
    <w:rsid w:val="00094E29"/>
    <w:rsid w:val="00094EF4"/>
    <w:rsid w:val="00094FF5"/>
    <w:rsid w:val="000953BC"/>
    <w:rsid w:val="000953D4"/>
    <w:rsid w:val="00095490"/>
    <w:rsid w:val="000954D2"/>
    <w:rsid w:val="00095507"/>
    <w:rsid w:val="0009596B"/>
    <w:rsid w:val="00095ACC"/>
    <w:rsid w:val="00095F8E"/>
    <w:rsid w:val="00096193"/>
    <w:rsid w:val="00096311"/>
    <w:rsid w:val="00096420"/>
    <w:rsid w:val="00096547"/>
    <w:rsid w:val="00096A13"/>
    <w:rsid w:val="00096A17"/>
    <w:rsid w:val="00096A2F"/>
    <w:rsid w:val="00096F10"/>
    <w:rsid w:val="0009702D"/>
    <w:rsid w:val="0009705E"/>
    <w:rsid w:val="00097065"/>
    <w:rsid w:val="0009715F"/>
    <w:rsid w:val="000972B5"/>
    <w:rsid w:val="000972C5"/>
    <w:rsid w:val="000972EA"/>
    <w:rsid w:val="00097798"/>
    <w:rsid w:val="00097845"/>
    <w:rsid w:val="00097FBE"/>
    <w:rsid w:val="00097FC2"/>
    <w:rsid w:val="000A029A"/>
    <w:rsid w:val="000A02A4"/>
    <w:rsid w:val="000A05A1"/>
    <w:rsid w:val="000A088C"/>
    <w:rsid w:val="000A0E70"/>
    <w:rsid w:val="000A0F37"/>
    <w:rsid w:val="000A1379"/>
    <w:rsid w:val="000A13EB"/>
    <w:rsid w:val="000A1533"/>
    <w:rsid w:val="000A167A"/>
    <w:rsid w:val="000A1ABC"/>
    <w:rsid w:val="000A1ADD"/>
    <w:rsid w:val="000A1CE6"/>
    <w:rsid w:val="000A1D39"/>
    <w:rsid w:val="000A1F5D"/>
    <w:rsid w:val="000A20DA"/>
    <w:rsid w:val="000A21E2"/>
    <w:rsid w:val="000A2375"/>
    <w:rsid w:val="000A2380"/>
    <w:rsid w:val="000A2592"/>
    <w:rsid w:val="000A26C0"/>
    <w:rsid w:val="000A290C"/>
    <w:rsid w:val="000A2CD5"/>
    <w:rsid w:val="000A32B2"/>
    <w:rsid w:val="000A3304"/>
    <w:rsid w:val="000A3423"/>
    <w:rsid w:val="000A343B"/>
    <w:rsid w:val="000A3730"/>
    <w:rsid w:val="000A377E"/>
    <w:rsid w:val="000A385B"/>
    <w:rsid w:val="000A3875"/>
    <w:rsid w:val="000A3E23"/>
    <w:rsid w:val="000A40DB"/>
    <w:rsid w:val="000A42C1"/>
    <w:rsid w:val="000A458A"/>
    <w:rsid w:val="000A4A06"/>
    <w:rsid w:val="000A4E1E"/>
    <w:rsid w:val="000A4F27"/>
    <w:rsid w:val="000A507E"/>
    <w:rsid w:val="000A5429"/>
    <w:rsid w:val="000A579B"/>
    <w:rsid w:val="000A57A2"/>
    <w:rsid w:val="000A5800"/>
    <w:rsid w:val="000A5B17"/>
    <w:rsid w:val="000A5B33"/>
    <w:rsid w:val="000A5CD1"/>
    <w:rsid w:val="000A5E71"/>
    <w:rsid w:val="000A5EBA"/>
    <w:rsid w:val="000A5F06"/>
    <w:rsid w:val="000A61F9"/>
    <w:rsid w:val="000A636F"/>
    <w:rsid w:val="000A64AF"/>
    <w:rsid w:val="000A66A3"/>
    <w:rsid w:val="000A6837"/>
    <w:rsid w:val="000A687B"/>
    <w:rsid w:val="000A689C"/>
    <w:rsid w:val="000A68BF"/>
    <w:rsid w:val="000A6900"/>
    <w:rsid w:val="000A69D5"/>
    <w:rsid w:val="000A6F14"/>
    <w:rsid w:val="000A7364"/>
    <w:rsid w:val="000A74A9"/>
    <w:rsid w:val="000A75AC"/>
    <w:rsid w:val="000A75D5"/>
    <w:rsid w:val="000A797E"/>
    <w:rsid w:val="000A79DD"/>
    <w:rsid w:val="000A7A50"/>
    <w:rsid w:val="000A7C42"/>
    <w:rsid w:val="000A7EEE"/>
    <w:rsid w:val="000B006A"/>
    <w:rsid w:val="000B0684"/>
    <w:rsid w:val="000B07C6"/>
    <w:rsid w:val="000B0801"/>
    <w:rsid w:val="000B08F5"/>
    <w:rsid w:val="000B0CB7"/>
    <w:rsid w:val="000B0D14"/>
    <w:rsid w:val="000B0D51"/>
    <w:rsid w:val="000B0DF8"/>
    <w:rsid w:val="000B0FEB"/>
    <w:rsid w:val="000B117D"/>
    <w:rsid w:val="000B11A7"/>
    <w:rsid w:val="000B14D4"/>
    <w:rsid w:val="000B19B0"/>
    <w:rsid w:val="000B1C0A"/>
    <w:rsid w:val="000B1C6D"/>
    <w:rsid w:val="000B1CB9"/>
    <w:rsid w:val="000B1CDD"/>
    <w:rsid w:val="000B1FF3"/>
    <w:rsid w:val="000B227D"/>
    <w:rsid w:val="000B231A"/>
    <w:rsid w:val="000B2487"/>
    <w:rsid w:val="000B2749"/>
    <w:rsid w:val="000B2B34"/>
    <w:rsid w:val="000B2B7D"/>
    <w:rsid w:val="000B2D83"/>
    <w:rsid w:val="000B2E92"/>
    <w:rsid w:val="000B2F50"/>
    <w:rsid w:val="000B2F6F"/>
    <w:rsid w:val="000B3118"/>
    <w:rsid w:val="000B329A"/>
    <w:rsid w:val="000B336E"/>
    <w:rsid w:val="000B3680"/>
    <w:rsid w:val="000B373E"/>
    <w:rsid w:val="000B396B"/>
    <w:rsid w:val="000B3A39"/>
    <w:rsid w:val="000B3B21"/>
    <w:rsid w:val="000B41B3"/>
    <w:rsid w:val="000B41D9"/>
    <w:rsid w:val="000B425A"/>
    <w:rsid w:val="000B4372"/>
    <w:rsid w:val="000B43D1"/>
    <w:rsid w:val="000B458D"/>
    <w:rsid w:val="000B460E"/>
    <w:rsid w:val="000B4992"/>
    <w:rsid w:val="000B4A69"/>
    <w:rsid w:val="000B4E2D"/>
    <w:rsid w:val="000B516E"/>
    <w:rsid w:val="000B55E7"/>
    <w:rsid w:val="000B599C"/>
    <w:rsid w:val="000B5E4D"/>
    <w:rsid w:val="000B6575"/>
    <w:rsid w:val="000B663C"/>
    <w:rsid w:val="000B6E07"/>
    <w:rsid w:val="000B6EEE"/>
    <w:rsid w:val="000B70B2"/>
    <w:rsid w:val="000B714A"/>
    <w:rsid w:val="000B7169"/>
    <w:rsid w:val="000B7461"/>
    <w:rsid w:val="000B75DC"/>
    <w:rsid w:val="000B765A"/>
    <w:rsid w:val="000B7ABD"/>
    <w:rsid w:val="000B7D22"/>
    <w:rsid w:val="000B7DA3"/>
    <w:rsid w:val="000B7DB9"/>
    <w:rsid w:val="000B7EAD"/>
    <w:rsid w:val="000B7EC7"/>
    <w:rsid w:val="000C0156"/>
    <w:rsid w:val="000C036C"/>
    <w:rsid w:val="000C05FE"/>
    <w:rsid w:val="000C0756"/>
    <w:rsid w:val="000C087A"/>
    <w:rsid w:val="000C0979"/>
    <w:rsid w:val="000C0A90"/>
    <w:rsid w:val="000C0B45"/>
    <w:rsid w:val="000C0D3C"/>
    <w:rsid w:val="000C1071"/>
    <w:rsid w:val="000C118F"/>
    <w:rsid w:val="000C11F2"/>
    <w:rsid w:val="000C1242"/>
    <w:rsid w:val="000C144A"/>
    <w:rsid w:val="000C145F"/>
    <w:rsid w:val="000C18BD"/>
    <w:rsid w:val="000C1BED"/>
    <w:rsid w:val="000C1CFB"/>
    <w:rsid w:val="000C1D84"/>
    <w:rsid w:val="000C1DE3"/>
    <w:rsid w:val="000C1EE9"/>
    <w:rsid w:val="000C210C"/>
    <w:rsid w:val="000C2334"/>
    <w:rsid w:val="000C2581"/>
    <w:rsid w:val="000C25ED"/>
    <w:rsid w:val="000C2926"/>
    <w:rsid w:val="000C2AB7"/>
    <w:rsid w:val="000C2E6D"/>
    <w:rsid w:val="000C3010"/>
    <w:rsid w:val="000C3024"/>
    <w:rsid w:val="000C30B5"/>
    <w:rsid w:val="000C310B"/>
    <w:rsid w:val="000C31B5"/>
    <w:rsid w:val="000C3468"/>
    <w:rsid w:val="000C360F"/>
    <w:rsid w:val="000C36CC"/>
    <w:rsid w:val="000C36F2"/>
    <w:rsid w:val="000C3721"/>
    <w:rsid w:val="000C373B"/>
    <w:rsid w:val="000C3745"/>
    <w:rsid w:val="000C3804"/>
    <w:rsid w:val="000C387C"/>
    <w:rsid w:val="000C3A2C"/>
    <w:rsid w:val="000C3D30"/>
    <w:rsid w:val="000C3F30"/>
    <w:rsid w:val="000C4089"/>
    <w:rsid w:val="000C41DC"/>
    <w:rsid w:val="000C4214"/>
    <w:rsid w:val="000C43FD"/>
    <w:rsid w:val="000C4428"/>
    <w:rsid w:val="000C4455"/>
    <w:rsid w:val="000C45E1"/>
    <w:rsid w:val="000C4782"/>
    <w:rsid w:val="000C49F4"/>
    <w:rsid w:val="000C4A54"/>
    <w:rsid w:val="000C4B8F"/>
    <w:rsid w:val="000C4C60"/>
    <w:rsid w:val="000C4C9D"/>
    <w:rsid w:val="000C5285"/>
    <w:rsid w:val="000C5390"/>
    <w:rsid w:val="000C5734"/>
    <w:rsid w:val="000C576B"/>
    <w:rsid w:val="000C58CC"/>
    <w:rsid w:val="000C5959"/>
    <w:rsid w:val="000C5BF6"/>
    <w:rsid w:val="000C5C62"/>
    <w:rsid w:val="000C5D76"/>
    <w:rsid w:val="000C63BA"/>
    <w:rsid w:val="000C656F"/>
    <w:rsid w:val="000C66BB"/>
    <w:rsid w:val="000C66F8"/>
    <w:rsid w:val="000C678B"/>
    <w:rsid w:val="000C67DE"/>
    <w:rsid w:val="000C6886"/>
    <w:rsid w:val="000C68DC"/>
    <w:rsid w:val="000C694E"/>
    <w:rsid w:val="000C69FF"/>
    <w:rsid w:val="000C6B9C"/>
    <w:rsid w:val="000C6EC5"/>
    <w:rsid w:val="000C6F6B"/>
    <w:rsid w:val="000C6F97"/>
    <w:rsid w:val="000C7491"/>
    <w:rsid w:val="000C74A9"/>
    <w:rsid w:val="000C7638"/>
    <w:rsid w:val="000C7690"/>
    <w:rsid w:val="000C7739"/>
    <w:rsid w:val="000C77CC"/>
    <w:rsid w:val="000C789B"/>
    <w:rsid w:val="000C7A95"/>
    <w:rsid w:val="000C7C3B"/>
    <w:rsid w:val="000C7D0A"/>
    <w:rsid w:val="000C7F0F"/>
    <w:rsid w:val="000C7F91"/>
    <w:rsid w:val="000D0176"/>
    <w:rsid w:val="000D021F"/>
    <w:rsid w:val="000D054D"/>
    <w:rsid w:val="000D056E"/>
    <w:rsid w:val="000D058A"/>
    <w:rsid w:val="000D0721"/>
    <w:rsid w:val="000D0CAA"/>
    <w:rsid w:val="000D0EBB"/>
    <w:rsid w:val="000D1390"/>
    <w:rsid w:val="000D1649"/>
    <w:rsid w:val="000D177C"/>
    <w:rsid w:val="000D17DF"/>
    <w:rsid w:val="000D1A28"/>
    <w:rsid w:val="000D1D22"/>
    <w:rsid w:val="000D1DA0"/>
    <w:rsid w:val="000D1F19"/>
    <w:rsid w:val="000D1F71"/>
    <w:rsid w:val="000D238A"/>
    <w:rsid w:val="000D23D9"/>
    <w:rsid w:val="000D265A"/>
    <w:rsid w:val="000D2874"/>
    <w:rsid w:val="000D2B3D"/>
    <w:rsid w:val="000D2B8E"/>
    <w:rsid w:val="000D2CC5"/>
    <w:rsid w:val="000D2D5F"/>
    <w:rsid w:val="000D2D83"/>
    <w:rsid w:val="000D2E85"/>
    <w:rsid w:val="000D32AB"/>
    <w:rsid w:val="000D3474"/>
    <w:rsid w:val="000D35C6"/>
    <w:rsid w:val="000D36DD"/>
    <w:rsid w:val="000D3782"/>
    <w:rsid w:val="000D3895"/>
    <w:rsid w:val="000D38A1"/>
    <w:rsid w:val="000D3919"/>
    <w:rsid w:val="000D3B91"/>
    <w:rsid w:val="000D3EFA"/>
    <w:rsid w:val="000D3FCF"/>
    <w:rsid w:val="000D4001"/>
    <w:rsid w:val="000D4430"/>
    <w:rsid w:val="000D44B3"/>
    <w:rsid w:val="000D4592"/>
    <w:rsid w:val="000D47A2"/>
    <w:rsid w:val="000D47C9"/>
    <w:rsid w:val="000D4839"/>
    <w:rsid w:val="000D4A70"/>
    <w:rsid w:val="000D4AB6"/>
    <w:rsid w:val="000D4CEF"/>
    <w:rsid w:val="000D4D79"/>
    <w:rsid w:val="000D4E47"/>
    <w:rsid w:val="000D4FF5"/>
    <w:rsid w:val="000D50B4"/>
    <w:rsid w:val="000D575B"/>
    <w:rsid w:val="000D57FE"/>
    <w:rsid w:val="000D58DA"/>
    <w:rsid w:val="000D5A29"/>
    <w:rsid w:val="000D5A4A"/>
    <w:rsid w:val="000D5B96"/>
    <w:rsid w:val="000D5DCC"/>
    <w:rsid w:val="000D5F9D"/>
    <w:rsid w:val="000D6150"/>
    <w:rsid w:val="000D664D"/>
    <w:rsid w:val="000D6A8B"/>
    <w:rsid w:val="000D6C22"/>
    <w:rsid w:val="000D6F14"/>
    <w:rsid w:val="000D7240"/>
    <w:rsid w:val="000D76E3"/>
    <w:rsid w:val="000D7852"/>
    <w:rsid w:val="000D79F3"/>
    <w:rsid w:val="000D7B25"/>
    <w:rsid w:val="000D7EB1"/>
    <w:rsid w:val="000E0208"/>
    <w:rsid w:val="000E055C"/>
    <w:rsid w:val="000E0663"/>
    <w:rsid w:val="000E0751"/>
    <w:rsid w:val="000E07C7"/>
    <w:rsid w:val="000E08C8"/>
    <w:rsid w:val="000E0957"/>
    <w:rsid w:val="000E0A4E"/>
    <w:rsid w:val="000E0BA5"/>
    <w:rsid w:val="000E0CB7"/>
    <w:rsid w:val="000E0D87"/>
    <w:rsid w:val="000E0F31"/>
    <w:rsid w:val="000E11BA"/>
    <w:rsid w:val="000E1264"/>
    <w:rsid w:val="000E1340"/>
    <w:rsid w:val="000E138E"/>
    <w:rsid w:val="000E18C8"/>
    <w:rsid w:val="000E18C9"/>
    <w:rsid w:val="000E202D"/>
    <w:rsid w:val="000E20F7"/>
    <w:rsid w:val="000E22F1"/>
    <w:rsid w:val="000E236B"/>
    <w:rsid w:val="000E23C3"/>
    <w:rsid w:val="000E2436"/>
    <w:rsid w:val="000E25DF"/>
    <w:rsid w:val="000E25F5"/>
    <w:rsid w:val="000E26AF"/>
    <w:rsid w:val="000E2A1F"/>
    <w:rsid w:val="000E2BC3"/>
    <w:rsid w:val="000E2F12"/>
    <w:rsid w:val="000E312D"/>
    <w:rsid w:val="000E33C9"/>
    <w:rsid w:val="000E3597"/>
    <w:rsid w:val="000E3695"/>
    <w:rsid w:val="000E37BA"/>
    <w:rsid w:val="000E37D0"/>
    <w:rsid w:val="000E3838"/>
    <w:rsid w:val="000E3A69"/>
    <w:rsid w:val="000E3B91"/>
    <w:rsid w:val="000E3EEB"/>
    <w:rsid w:val="000E4193"/>
    <w:rsid w:val="000E4214"/>
    <w:rsid w:val="000E4239"/>
    <w:rsid w:val="000E42D9"/>
    <w:rsid w:val="000E44A0"/>
    <w:rsid w:val="000E45E5"/>
    <w:rsid w:val="000E45E6"/>
    <w:rsid w:val="000E47B2"/>
    <w:rsid w:val="000E4B40"/>
    <w:rsid w:val="000E4D4C"/>
    <w:rsid w:val="000E4DFE"/>
    <w:rsid w:val="000E4FCE"/>
    <w:rsid w:val="000E505D"/>
    <w:rsid w:val="000E5065"/>
    <w:rsid w:val="000E51FA"/>
    <w:rsid w:val="000E5423"/>
    <w:rsid w:val="000E56AD"/>
    <w:rsid w:val="000E56D5"/>
    <w:rsid w:val="000E579E"/>
    <w:rsid w:val="000E57A9"/>
    <w:rsid w:val="000E5AC0"/>
    <w:rsid w:val="000E5C15"/>
    <w:rsid w:val="000E5DB7"/>
    <w:rsid w:val="000E6275"/>
    <w:rsid w:val="000E641E"/>
    <w:rsid w:val="000E64F8"/>
    <w:rsid w:val="000E6C1D"/>
    <w:rsid w:val="000E6C8A"/>
    <w:rsid w:val="000E6E00"/>
    <w:rsid w:val="000E6F2C"/>
    <w:rsid w:val="000E7033"/>
    <w:rsid w:val="000E710F"/>
    <w:rsid w:val="000E71CE"/>
    <w:rsid w:val="000E72C1"/>
    <w:rsid w:val="000E7429"/>
    <w:rsid w:val="000E7436"/>
    <w:rsid w:val="000E74EB"/>
    <w:rsid w:val="000E76FC"/>
    <w:rsid w:val="000E7810"/>
    <w:rsid w:val="000E78C3"/>
    <w:rsid w:val="000E7931"/>
    <w:rsid w:val="000E7A01"/>
    <w:rsid w:val="000E7B04"/>
    <w:rsid w:val="000E7CDF"/>
    <w:rsid w:val="000E7E54"/>
    <w:rsid w:val="000F00E0"/>
    <w:rsid w:val="000F00F2"/>
    <w:rsid w:val="000F0124"/>
    <w:rsid w:val="000F0297"/>
    <w:rsid w:val="000F03B2"/>
    <w:rsid w:val="000F041D"/>
    <w:rsid w:val="000F056C"/>
    <w:rsid w:val="000F09E2"/>
    <w:rsid w:val="000F0B40"/>
    <w:rsid w:val="000F0B9F"/>
    <w:rsid w:val="000F0BD4"/>
    <w:rsid w:val="000F0C45"/>
    <w:rsid w:val="000F0E51"/>
    <w:rsid w:val="000F0F58"/>
    <w:rsid w:val="000F10A9"/>
    <w:rsid w:val="000F127E"/>
    <w:rsid w:val="000F1349"/>
    <w:rsid w:val="000F13BA"/>
    <w:rsid w:val="000F1679"/>
    <w:rsid w:val="000F18BB"/>
    <w:rsid w:val="000F1D83"/>
    <w:rsid w:val="000F2281"/>
    <w:rsid w:val="000F23E3"/>
    <w:rsid w:val="000F26EF"/>
    <w:rsid w:val="000F286C"/>
    <w:rsid w:val="000F2C0B"/>
    <w:rsid w:val="000F2CCD"/>
    <w:rsid w:val="000F2D0E"/>
    <w:rsid w:val="000F2E6D"/>
    <w:rsid w:val="000F2E99"/>
    <w:rsid w:val="000F2F2A"/>
    <w:rsid w:val="000F2F4D"/>
    <w:rsid w:val="000F3119"/>
    <w:rsid w:val="000F3265"/>
    <w:rsid w:val="000F35B2"/>
    <w:rsid w:val="000F3886"/>
    <w:rsid w:val="000F3AD9"/>
    <w:rsid w:val="000F3B89"/>
    <w:rsid w:val="000F3BD7"/>
    <w:rsid w:val="000F3EBC"/>
    <w:rsid w:val="000F3FCC"/>
    <w:rsid w:val="000F4010"/>
    <w:rsid w:val="000F41C0"/>
    <w:rsid w:val="000F421D"/>
    <w:rsid w:val="000F4440"/>
    <w:rsid w:val="000F46A7"/>
    <w:rsid w:val="000F4753"/>
    <w:rsid w:val="000F4836"/>
    <w:rsid w:val="000F4A14"/>
    <w:rsid w:val="000F4B5A"/>
    <w:rsid w:val="000F4CB1"/>
    <w:rsid w:val="000F4D8D"/>
    <w:rsid w:val="000F4DB3"/>
    <w:rsid w:val="000F4DFA"/>
    <w:rsid w:val="000F4F20"/>
    <w:rsid w:val="000F4F2D"/>
    <w:rsid w:val="000F51F7"/>
    <w:rsid w:val="000F529E"/>
    <w:rsid w:val="000F5339"/>
    <w:rsid w:val="000F53FB"/>
    <w:rsid w:val="000F54BF"/>
    <w:rsid w:val="000F5941"/>
    <w:rsid w:val="000F5947"/>
    <w:rsid w:val="000F59DB"/>
    <w:rsid w:val="000F5A2C"/>
    <w:rsid w:val="000F5B17"/>
    <w:rsid w:val="000F5CCF"/>
    <w:rsid w:val="000F5DBB"/>
    <w:rsid w:val="000F5DFB"/>
    <w:rsid w:val="000F60C0"/>
    <w:rsid w:val="000F6142"/>
    <w:rsid w:val="000F6186"/>
    <w:rsid w:val="000F61A7"/>
    <w:rsid w:val="000F66BF"/>
    <w:rsid w:val="000F6832"/>
    <w:rsid w:val="000F6BA8"/>
    <w:rsid w:val="000F706C"/>
    <w:rsid w:val="000F70A1"/>
    <w:rsid w:val="000F70CD"/>
    <w:rsid w:val="000F72ED"/>
    <w:rsid w:val="000F7B4A"/>
    <w:rsid w:val="000F7C00"/>
    <w:rsid w:val="000F7D7A"/>
    <w:rsid w:val="000F7EF3"/>
    <w:rsid w:val="000F7F07"/>
    <w:rsid w:val="000F7F2E"/>
    <w:rsid w:val="0010003E"/>
    <w:rsid w:val="001000BB"/>
    <w:rsid w:val="001000F5"/>
    <w:rsid w:val="001003F5"/>
    <w:rsid w:val="00100474"/>
    <w:rsid w:val="001004D3"/>
    <w:rsid w:val="001004ED"/>
    <w:rsid w:val="001006FE"/>
    <w:rsid w:val="0010070E"/>
    <w:rsid w:val="001007A6"/>
    <w:rsid w:val="00100ABE"/>
    <w:rsid w:val="00100EE1"/>
    <w:rsid w:val="00100F16"/>
    <w:rsid w:val="00101138"/>
    <w:rsid w:val="00101144"/>
    <w:rsid w:val="00101365"/>
    <w:rsid w:val="0010139D"/>
    <w:rsid w:val="00101481"/>
    <w:rsid w:val="00101581"/>
    <w:rsid w:val="001016F3"/>
    <w:rsid w:val="00101756"/>
    <w:rsid w:val="00101758"/>
    <w:rsid w:val="00101C87"/>
    <w:rsid w:val="00101C8C"/>
    <w:rsid w:val="00101EF8"/>
    <w:rsid w:val="00101F51"/>
    <w:rsid w:val="0010223E"/>
    <w:rsid w:val="00102272"/>
    <w:rsid w:val="00102287"/>
    <w:rsid w:val="001022C7"/>
    <w:rsid w:val="001026D2"/>
    <w:rsid w:val="00102873"/>
    <w:rsid w:val="00102B90"/>
    <w:rsid w:val="00102F39"/>
    <w:rsid w:val="001032BD"/>
    <w:rsid w:val="00103361"/>
    <w:rsid w:val="00103694"/>
    <w:rsid w:val="00103762"/>
    <w:rsid w:val="00103BFC"/>
    <w:rsid w:val="00103E33"/>
    <w:rsid w:val="00103F20"/>
    <w:rsid w:val="00103FC3"/>
    <w:rsid w:val="00104052"/>
    <w:rsid w:val="00104119"/>
    <w:rsid w:val="001041F2"/>
    <w:rsid w:val="001045EB"/>
    <w:rsid w:val="0010489D"/>
    <w:rsid w:val="00104958"/>
    <w:rsid w:val="00104985"/>
    <w:rsid w:val="00104ABF"/>
    <w:rsid w:val="00104B2E"/>
    <w:rsid w:val="00104BFE"/>
    <w:rsid w:val="00104DF4"/>
    <w:rsid w:val="00104DF5"/>
    <w:rsid w:val="00105153"/>
    <w:rsid w:val="001051B2"/>
    <w:rsid w:val="0010553C"/>
    <w:rsid w:val="00105732"/>
    <w:rsid w:val="0010576E"/>
    <w:rsid w:val="00105A61"/>
    <w:rsid w:val="00105BC5"/>
    <w:rsid w:val="00106420"/>
    <w:rsid w:val="00106425"/>
    <w:rsid w:val="0010648E"/>
    <w:rsid w:val="0010660C"/>
    <w:rsid w:val="001066B9"/>
    <w:rsid w:val="0010670E"/>
    <w:rsid w:val="001067BA"/>
    <w:rsid w:val="001067D7"/>
    <w:rsid w:val="001068C8"/>
    <w:rsid w:val="001068CD"/>
    <w:rsid w:val="00106B89"/>
    <w:rsid w:val="00106DFF"/>
    <w:rsid w:val="0010725D"/>
    <w:rsid w:val="001072D8"/>
    <w:rsid w:val="001072F6"/>
    <w:rsid w:val="00107354"/>
    <w:rsid w:val="00107402"/>
    <w:rsid w:val="00107503"/>
    <w:rsid w:val="00107517"/>
    <w:rsid w:val="001077D6"/>
    <w:rsid w:val="001077DF"/>
    <w:rsid w:val="00107AA2"/>
    <w:rsid w:val="00107F1B"/>
    <w:rsid w:val="00107FF2"/>
    <w:rsid w:val="001100AF"/>
    <w:rsid w:val="001102F6"/>
    <w:rsid w:val="001103CB"/>
    <w:rsid w:val="001103DC"/>
    <w:rsid w:val="0011079F"/>
    <w:rsid w:val="001107F0"/>
    <w:rsid w:val="00110915"/>
    <w:rsid w:val="00110F2A"/>
    <w:rsid w:val="00111014"/>
    <w:rsid w:val="00111026"/>
    <w:rsid w:val="001110CE"/>
    <w:rsid w:val="00111148"/>
    <w:rsid w:val="00111310"/>
    <w:rsid w:val="00111355"/>
    <w:rsid w:val="001113F2"/>
    <w:rsid w:val="001116C9"/>
    <w:rsid w:val="00111AE3"/>
    <w:rsid w:val="00111BBE"/>
    <w:rsid w:val="00111BCC"/>
    <w:rsid w:val="00111CF0"/>
    <w:rsid w:val="0011211F"/>
    <w:rsid w:val="00112264"/>
    <w:rsid w:val="001122A8"/>
    <w:rsid w:val="0011241E"/>
    <w:rsid w:val="001126B2"/>
    <w:rsid w:val="00112B05"/>
    <w:rsid w:val="00112D0C"/>
    <w:rsid w:val="00112DC2"/>
    <w:rsid w:val="00112DDC"/>
    <w:rsid w:val="00112F48"/>
    <w:rsid w:val="00112FC9"/>
    <w:rsid w:val="001130B9"/>
    <w:rsid w:val="001130D2"/>
    <w:rsid w:val="00113303"/>
    <w:rsid w:val="00113357"/>
    <w:rsid w:val="00113429"/>
    <w:rsid w:val="0011349D"/>
    <w:rsid w:val="001136DC"/>
    <w:rsid w:val="00113888"/>
    <w:rsid w:val="00113D02"/>
    <w:rsid w:val="00113EB5"/>
    <w:rsid w:val="0011409E"/>
    <w:rsid w:val="001141A3"/>
    <w:rsid w:val="001141AB"/>
    <w:rsid w:val="001145FC"/>
    <w:rsid w:val="001147C4"/>
    <w:rsid w:val="00114C95"/>
    <w:rsid w:val="00114E29"/>
    <w:rsid w:val="0011541E"/>
    <w:rsid w:val="00115535"/>
    <w:rsid w:val="001155C4"/>
    <w:rsid w:val="00115678"/>
    <w:rsid w:val="001156F3"/>
    <w:rsid w:val="001157F0"/>
    <w:rsid w:val="00115AD0"/>
    <w:rsid w:val="00115B4C"/>
    <w:rsid w:val="00115B61"/>
    <w:rsid w:val="00115E07"/>
    <w:rsid w:val="00115F57"/>
    <w:rsid w:val="00116384"/>
    <w:rsid w:val="001163A2"/>
    <w:rsid w:val="001164C7"/>
    <w:rsid w:val="0011650C"/>
    <w:rsid w:val="00116790"/>
    <w:rsid w:val="00116862"/>
    <w:rsid w:val="001168DF"/>
    <w:rsid w:val="0011691B"/>
    <w:rsid w:val="00116C6F"/>
    <w:rsid w:val="00117049"/>
    <w:rsid w:val="0011723A"/>
    <w:rsid w:val="00117292"/>
    <w:rsid w:val="001173D9"/>
    <w:rsid w:val="0011749C"/>
    <w:rsid w:val="00117533"/>
    <w:rsid w:val="00117615"/>
    <w:rsid w:val="001176D1"/>
    <w:rsid w:val="001176DA"/>
    <w:rsid w:val="00117876"/>
    <w:rsid w:val="001178B8"/>
    <w:rsid w:val="00117940"/>
    <w:rsid w:val="0011794E"/>
    <w:rsid w:val="00117A46"/>
    <w:rsid w:val="00117B16"/>
    <w:rsid w:val="00117C95"/>
    <w:rsid w:val="00117EBC"/>
    <w:rsid w:val="00120109"/>
    <w:rsid w:val="001203CA"/>
    <w:rsid w:val="001204F8"/>
    <w:rsid w:val="00120529"/>
    <w:rsid w:val="001209C0"/>
    <w:rsid w:val="00120AD7"/>
    <w:rsid w:val="00120B85"/>
    <w:rsid w:val="00120BA5"/>
    <w:rsid w:val="00120BA8"/>
    <w:rsid w:val="0012128E"/>
    <w:rsid w:val="00121323"/>
    <w:rsid w:val="00121410"/>
    <w:rsid w:val="00121512"/>
    <w:rsid w:val="00121690"/>
    <w:rsid w:val="001219DC"/>
    <w:rsid w:val="00121C2B"/>
    <w:rsid w:val="00121DDA"/>
    <w:rsid w:val="00121F86"/>
    <w:rsid w:val="00122241"/>
    <w:rsid w:val="001226A1"/>
    <w:rsid w:val="001228EA"/>
    <w:rsid w:val="001229F1"/>
    <w:rsid w:val="00122AE4"/>
    <w:rsid w:val="00122BC0"/>
    <w:rsid w:val="00122D2D"/>
    <w:rsid w:val="00122E1B"/>
    <w:rsid w:val="00122EE1"/>
    <w:rsid w:val="00123417"/>
    <w:rsid w:val="00123431"/>
    <w:rsid w:val="00123694"/>
    <w:rsid w:val="0012370E"/>
    <w:rsid w:val="001237A6"/>
    <w:rsid w:val="00123A10"/>
    <w:rsid w:val="00123D79"/>
    <w:rsid w:val="00123F8F"/>
    <w:rsid w:val="00124300"/>
    <w:rsid w:val="00124344"/>
    <w:rsid w:val="00124352"/>
    <w:rsid w:val="00124654"/>
    <w:rsid w:val="0012465D"/>
    <w:rsid w:val="00124A7A"/>
    <w:rsid w:val="0012500B"/>
    <w:rsid w:val="00125269"/>
    <w:rsid w:val="00125326"/>
    <w:rsid w:val="00125368"/>
    <w:rsid w:val="001254AF"/>
    <w:rsid w:val="0012550F"/>
    <w:rsid w:val="0012552D"/>
    <w:rsid w:val="00125579"/>
    <w:rsid w:val="00125610"/>
    <w:rsid w:val="001256FE"/>
    <w:rsid w:val="001257CB"/>
    <w:rsid w:val="0012595E"/>
    <w:rsid w:val="00125CE8"/>
    <w:rsid w:val="00125D94"/>
    <w:rsid w:val="00125E83"/>
    <w:rsid w:val="001261DC"/>
    <w:rsid w:val="00126340"/>
    <w:rsid w:val="00126403"/>
    <w:rsid w:val="00126706"/>
    <w:rsid w:val="001269A7"/>
    <w:rsid w:val="00126A2E"/>
    <w:rsid w:val="00126C63"/>
    <w:rsid w:val="00126DE6"/>
    <w:rsid w:val="00126E34"/>
    <w:rsid w:val="00126F8E"/>
    <w:rsid w:val="00127477"/>
    <w:rsid w:val="00127537"/>
    <w:rsid w:val="00127736"/>
    <w:rsid w:val="00127A2B"/>
    <w:rsid w:val="00127A4F"/>
    <w:rsid w:val="00127A81"/>
    <w:rsid w:val="00127B9B"/>
    <w:rsid w:val="00127F77"/>
    <w:rsid w:val="00130297"/>
    <w:rsid w:val="00130428"/>
    <w:rsid w:val="001307B6"/>
    <w:rsid w:val="00130A49"/>
    <w:rsid w:val="001313A5"/>
    <w:rsid w:val="001313BA"/>
    <w:rsid w:val="001313C1"/>
    <w:rsid w:val="001315C8"/>
    <w:rsid w:val="00131730"/>
    <w:rsid w:val="0013173B"/>
    <w:rsid w:val="0013185E"/>
    <w:rsid w:val="0013185F"/>
    <w:rsid w:val="0013188A"/>
    <w:rsid w:val="001318A8"/>
    <w:rsid w:val="001319A9"/>
    <w:rsid w:val="00131EF3"/>
    <w:rsid w:val="00131F56"/>
    <w:rsid w:val="00132140"/>
    <w:rsid w:val="001324B8"/>
    <w:rsid w:val="00132590"/>
    <w:rsid w:val="00132647"/>
    <w:rsid w:val="00132751"/>
    <w:rsid w:val="0013292F"/>
    <w:rsid w:val="00132AD8"/>
    <w:rsid w:val="00132E7B"/>
    <w:rsid w:val="00132EC2"/>
    <w:rsid w:val="00133031"/>
    <w:rsid w:val="001335AE"/>
    <w:rsid w:val="001336B7"/>
    <w:rsid w:val="001337BD"/>
    <w:rsid w:val="00133CEC"/>
    <w:rsid w:val="00133D61"/>
    <w:rsid w:val="00133EBF"/>
    <w:rsid w:val="0013404A"/>
    <w:rsid w:val="001340ED"/>
    <w:rsid w:val="0013460F"/>
    <w:rsid w:val="0013479D"/>
    <w:rsid w:val="00134811"/>
    <w:rsid w:val="001348BC"/>
    <w:rsid w:val="00134A14"/>
    <w:rsid w:val="00134A95"/>
    <w:rsid w:val="00134BC8"/>
    <w:rsid w:val="00134CCC"/>
    <w:rsid w:val="00134CE9"/>
    <w:rsid w:val="00134D50"/>
    <w:rsid w:val="00134D6D"/>
    <w:rsid w:val="00134E59"/>
    <w:rsid w:val="00134EC1"/>
    <w:rsid w:val="00135019"/>
    <w:rsid w:val="00135072"/>
    <w:rsid w:val="0013510A"/>
    <w:rsid w:val="00135295"/>
    <w:rsid w:val="001352C9"/>
    <w:rsid w:val="00135429"/>
    <w:rsid w:val="001354A8"/>
    <w:rsid w:val="00135562"/>
    <w:rsid w:val="00135990"/>
    <w:rsid w:val="00135A08"/>
    <w:rsid w:val="00135A24"/>
    <w:rsid w:val="00135B4C"/>
    <w:rsid w:val="00135BD6"/>
    <w:rsid w:val="00135DFB"/>
    <w:rsid w:val="00135E8D"/>
    <w:rsid w:val="00135F83"/>
    <w:rsid w:val="00135FF3"/>
    <w:rsid w:val="001361F7"/>
    <w:rsid w:val="001364C1"/>
    <w:rsid w:val="0013683C"/>
    <w:rsid w:val="00136B2E"/>
    <w:rsid w:val="00136E72"/>
    <w:rsid w:val="00136F92"/>
    <w:rsid w:val="00136FDE"/>
    <w:rsid w:val="001370DB"/>
    <w:rsid w:val="0013721B"/>
    <w:rsid w:val="0013723F"/>
    <w:rsid w:val="001372DB"/>
    <w:rsid w:val="0013739D"/>
    <w:rsid w:val="0013751A"/>
    <w:rsid w:val="001379A7"/>
    <w:rsid w:val="00137ABC"/>
    <w:rsid w:val="00137BED"/>
    <w:rsid w:val="00137E2C"/>
    <w:rsid w:val="00137FD2"/>
    <w:rsid w:val="001400FA"/>
    <w:rsid w:val="00140107"/>
    <w:rsid w:val="001401B9"/>
    <w:rsid w:val="001402CE"/>
    <w:rsid w:val="0014034E"/>
    <w:rsid w:val="001404D6"/>
    <w:rsid w:val="00140570"/>
    <w:rsid w:val="0014081F"/>
    <w:rsid w:val="00140838"/>
    <w:rsid w:val="00140A2F"/>
    <w:rsid w:val="00140C14"/>
    <w:rsid w:val="001413BB"/>
    <w:rsid w:val="0014143A"/>
    <w:rsid w:val="00141628"/>
    <w:rsid w:val="0014180F"/>
    <w:rsid w:val="00141B1C"/>
    <w:rsid w:val="00141BBC"/>
    <w:rsid w:val="00141CCF"/>
    <w:rsid w:val="00141E19"/>
    <w:rsid w:val="00141EBC"/>
    <w:rsid w:val="00141F2B"/>
    <w:rsid w:val="00141F5D"/>
    <w:rsid w:val="001420BE"/>
    <w:rsid w:val="0014214A"/>
    <w:rsid w:val="00142344"/>
    <w:rsid w:val="00142673"/>
    <w:rsid w:val="001427A8"/>
    <w:rsid w:val="001428FB"/>
    <w:rsid w:val="00142B17"/>
    <w:rsid w:val="00142B4A"/>
    <w:rsid w:val="00142D18"/>
    <w:rsid w:val="00142ECE"/>
    <w:rsid w:val="00142F9A"/>
    <w:rsid w:val="001432AF"/>
    <w:rsid w:val="001434C7"/>
    <w:rsid w:val="0014366D"/>
    <w:rsid w:val="001438EE"/>
    <w:rsid w:val="00143A3B"/>
    <w:rsid w:val="00143D8E"/>
    <w:rsid w:val="00144070"/>
    <w:rsid w:val="00144161"/>
    <w:rsid w:val="001441FD"/>
    <w:rsid w:val="0014422B"/>
    <w:rsid w:val="001443BC"/>
    <w:rsid w:val="001444C7"/>
    <w:rsid w:val="0014464B"/>
    <w:rsid w:val="001446AA"/>
    <w:rsid w:val="00144D92"/>
    <w:rsid w:val="00145417"/>
    <w:rsid w:val="0014544F"/>
    <w:rsid w:val="0014589B"/>
    <w:rsid w:val="001458CD"/>
    <w:rsid w:val="00145CA3"/>
    <w:rsid w:val="00145DBA"/>
    <w:rsid w:val="00145E81"/>
    <w:rsid w:val="00146003"/>
    <w:rsid w:val="001460C3"/>
    <w:rsid w:val="001465AD"/>
    <w:rsid w:val="00146826"/>
    <w:rsid w:val="0014692C"/>
    <w:rsid w:val="001469CD"/>
    <w:rsid w:val="00146AE4"/>
    <w:rsid w:val="00146C69"/>
    <w:rsid w:val="00146C7D"/>
    <w:rsid w:val="00146CFD"/>
    <w:rsid w:val="00146F21"/>
    <w:rsid w:val="00146F58"/>
    <w:rsid w:val="001470CF"/>
    <w:rsid w:val="00147347"/>
    <w:rsid w:val="00147438"/>
    <w:rsid w:val="00147564"/>
    <w:rsid w:val="0014795B"/>
    <w:rsid w:val="00147A86"/>
    <w:rsid w:val="00147B80"/>
    <w:rsid w:val="00147D93"/>
    <w:rsid w:val="0015009B"/>
    <w:rsid w:val="00150250"/>
    <w:rsid w:val="00150390"/>
    <w:rsid w:val="001503A1"/>
    <w:rsid w:val="001505F8"/>
    <w:rsid w:val="00150668"/>
    <w:rsid w:val="00150AFB"/>
    <w:rsid w:val="00150B4E"/>
    <w:rsid w:val="00150C6B"/>
    <w:rsid w:val="001511CE"/>
    <w:rsid w:val="00151210"/>
    <w:rsid w:val="00151228"/>
    <w:rsid w:val="00151274"/>
    <w:rsid w:val="00151283"/>
    <w:rsid w:val="001512B2"/>
    <w:rsid w:val="00151729"/>
    <w:rsid w:val="0015178B"/>
    <w:rsid w:val="00151967"/>
    <w:rsid w:val="00151D12"/>
    <w:rsid w:val="00151D72"/>
    <w:rsid w:val="00151DF6"/>
    <w:rsid w:val="001520DD"/>
    <w:rsid w:val="00152343"/>
    <w:rsid w:val="00152419"/>
    <w:rsid w:val="0015253A"/>
    <w:rsid w:val="0015267A"/>
    <w:rsid w:val="0015285D"/>
    <w:rsid w:val="00152946"/>
    <w:rsid w:val="00152A9D"/>
    <w:rsid w:val="00152DB2"/>
    <w:rsid w:val="00152EF2"/>
    <w:rsid w:val="001530EE"/>
    <w:rsid w:val="0015322A"/>
    <w:rsid w:val="001532C1"/>
    <w:rsid w:val="0015352E"/>
    <w:rsid w:val="00153722"/>
    <w:rsid w:val="0015375E"/>
    <w:rsid w:val="00153765"/>
    <w:rsid w:val="0015384D"/>
    <w:rsid w:val="00153856"/>
    <w:rsid w:val="00153B35"/>
    <w:rsid w:val="00153CD9"/>
    <w:rsid w:val="00153CE0"/>
    <w:rsid w:val="00153D9D"/>
    <w:rsid w:val="00153E6F"/>
    <w:rsid w:val="00153EEE"/>
    <w:rsid w:val="001545AD"/>
    <w:rsid w:val="0015473A"/>
    <w:rsid w:val="00154756"/>
    <w:rsid w:val="0015476D"/>
    <w:rsid w:val="00154BA6"/>
    <w:rsid w:val="00154F4A"/>
    <w:rsid w:val="00154F95"/>
    <w:rsid w:val="00155074"/>
    <w:rsid w:val="00155333"/>
    <w:rsid w:val="00155836"/>
    <w:rsid w:val="00155ABD"/>
    <w:rsid w:val="00155AC2"/>
    <w:rsid w:val="00155BFE"/>
    <w:rsid w:val="00155C63"/>
    <w:rsid w:val="00155C7C"/>
    <w:rsid w:val="00155EAF"/>
    <w:rsid w:val="00155FA3"/>
    <w:rsid w:val="001560DD"/>
    <w:rsid w:val="001562C2"/>
    <w:rsid w:val="0015640B"/>
    <w:rsid w:val="00156595"/>
    <w:rsid w:val="00156884"/>
    <w:rsid w:val="00156A09"/>
    <w:rsid w:val="00156A99"/>
    <w:rsid w:val="00156ADD"/>
    <w:rsid w:val="00156D4F"/>
    <w:rsid w:val="00157060"/>
    <w:rsid w:val="00157137"/>
    <w:rsid w:val="00157502"/>
    <w:rsid w:val="00157A77"/>
    <w:rsid w:val="00157C0C"/>
    <w:rsid w:val="00157E98"/>
    <w:rsid w:val="00157FA9"/>
    <w:rsid w:val="00160044"/>
    <w:rsid w:val="00160096"/>
    <w:rsid w:val="00160584"/>
    <w:rsid w:val="00160680"/>
    <w:rsid w:val="001606DC"/>
    <w:rsid w:val="00160706"/>
    <w:rsid w:val="0016098C"/>
    <w:rsid w:val="00160C64"/>
    <w:rsid w:val="00161174"/>
    <w:rsid w:val="00161671"/>
    <w:rsid w:val="0016171C"/>
    <w:rsid w:val="001618C7"/>
    <w:rsid w:val="00161AB6"/>
    <w:rsid w:val="00161D26"/>
    <w:rsid w:val="00161D62"/>
    <w:rsid w:val="00161E8A"/>
    <w:rsid w:val="00161F60"/>
    <w:rsid w:val="00162022"/>
    <w:rsid w:val="00162149"/>
    <w:rsid w:val="0016216B"/>
    <w:rsid w:val="001621A7"/>
    <w:rsid w:val="0016256E"/>
    <w:rsid w:val="00162674"/>
    <w:rsid w:val="00162AC5"/>
    <w:rsid w:val="00162AF0"/>
    <w:rsid w:val="00162AF6"/>
    <w:rsid w:val="00162BA3"/>
    <w:rsid w:val="00162D0D"/>
    <w:rsid w:val="00162D52"/>
    <w:rsid w:val="00162D80"/>
    <w:rsid w:val="001632F1"/>
    <w:rsid w:val="00163650"/>
    <w:rsid w:val="001636B0"/>
    <w:rsid w:val="001636D8"/>
    <w:rsid w:val="00163806"/>
    <w:rsid w:val="001639CE"/>
    <w:rsid w:val="00163AC3"/>
    <w:rsid w:val="00163C3C"/>
    <w:rsid w:val="00163CB3"/>
    <w:rsid w:val="00163E41"/>
    <w:rsid w:val="00163FAE"/>
    <w:rsid w:val="00164167"/>
    <w:rsid w:val="00164169"/>
    <w:rsid w:val="00164256"/>
    <w:rsid w:val="001642FE"/>
    <w:rsid w:val="001643E9"/>
    <w:rsid w:val="001644A0"/>
    <w:rsid w:val="0016470F"/>
    <w:rsid w:val="0016491C"/>
    <w:rsid w:val="0016492B"/>
    <w:rsid w:val="00164B92"/>
    <w:rsid w:val="00164D2D"/>
    <w:rsid w:val="0016504A"/>
    <w:rsid w:val="0016511E"/>
    <w:rsid w:val="001653AD"/>
    <w:rsid w:val="001653C3"/>
    <w:rsid w:val="0016555C"/>
    <w:rsid w:val="0016581C"/>
    <w:rsid w:val="00165A6D"/>
    <w:rsid w:val="00165C54"/>
    <w:rsid w:val="00165C6A"/>
    <w:rsid w:val="00165D13"/>
    <w:rsid w:val="00165F6A"/>
    <w:rsid w:val="00166039"/>
    <w:rsid w:val="001662B6"/>
    <w:rsid w:val="001662ED"/>
    <w:rsid w:val="001666DE"/>
    <w:rsid w:val="00166896"/>
    <w:rsid w:val="00166A9D"/>
    <w:rsid w:val="00166B6C"/>
    <w:rsid w:val="00166B9B"/>
    <w:rsid w:val="00166C1A"/>
    <w:rsid w:val="00166F68"/>
    <w:rsid w:val="0016709C"/>
    <w:rsid w:val="001670EC"/>
    <w:rsid w:val="001671C4"/>
    <w:rsid w:val="0016726E"/>
    <w:rsid w:val="001672D3"/>
    <w:rsid w:val="00167385"/>
    <w:rsid w:val="001673A0"/>
    <w:rsid w:val="00167470"/>
    <w:rsid w:val="001674F6"/>
    <w:rsid w:val="0016753F"/>
    <w:rsid w:val="0016780E"/>
    <w:rsid w:val="00167AF1"/>
    <w:rsid w:val="00167CBF"/>
    <w:rsid w:val="00167D29"/>
    <w:rsid w:val="00167D9B"/>
    <w:rsid w:val="00167DBD"/>
    <w:rsid w:val="00167DE0"/>
    <w:rsid w:val="00167E71"/>
    <w:rsid w:val="001701DB"/>
    <w:rsid w:val="001703B9"/>
    <w:rsid w:val="001704C3"/>
    <w:rsid w:val="0017091F"/>
    <w:rsid w:val="00170DBB"/>
    <w:rsid w:val="00170DDE"/>
    <w:rsid w:val="00170E46"/>
    <w:rsid w:val="00170EAA"/>
    <w:rsid w:val="00170FE6"/>
    <w:rsid w:val="001710D8"/>
    <w:rsid w:val="0017119F"/>
    <w:rsid w:val="001711D7"/>
    <w:rsid w:val="00171202"/>
    <w:rsid w:val="00171253"/>
    <w:rsid w:val="00171260"/>
    <w:rsid w:val="0017162D"/>
    <w:rsid w:val="001718EB"/>
    <w:rsid w:val="00171B07"/>
    <w:rsid w:val="00171B66"/>
    <w:rsid w:val="00171B69"/>
    <w:rsid w:val="00171D07"/>
    <w:rsid w:val="00171DB2"/>
    <w:rsid w:val="00171E32"/>
    <w:rsid w:val="001720F0"/>
    <w:rsid w:val="001721F8"/>
    <w:rsid w:val="0017221D"/>
    <w:rsid w:val="0017248F"/>
    <w:rsid w:val="00172786"/>
    <w:rsid w:val="00172B44"/>
    <w:rsid w:val="00172D2B"/>
    <w:rsid w:val="00172DAE"/>
    <w:rsid w:val="00173023"/>
    <w:rsid w:val="001730E3"/>
    <w:rsid w:val="001733AA"/>
    <w:rsid w:val="00173406"/>
    <w:rsid w:val="00173A57"/>
    <w:rsid w:val="00173AB4"/>
    <w:rsid w:val="00173BE7"/>
    <w:rsid w:val="00173E43"/>
    <w:rsid w:val="00173FD4"/>
    <w:rsid w:val="001740BF"/>
    <w:rsid w:val="00174151"/>
    <w:rsid w:val="001742D3"/>
    <w:rsid w:val="00174373"/>
    <w:rsid w:val="00174564"/>
    <w:rsid w:val="00174850"/>
    <w:rsid w:val="00174BC2"/>
    <w:rsid w:val="00174D0D"/>
    <w:rsid w:val="00174DCC"/>
    <w:rsid w:val="0017508D"/>
    <w:rsid w:val="00175117"/>
    <w:rsid w:val="00175535"/>
    <w:rsid w:val="0017554F"/>
    <w:rsid w:val="001757B3"/>
    <w:rsid w:val="0017584F"/>
    <w:rsid w:val="00175D22"/>
    <w:rsid w:val="00175DDB"/>
    <w:rsid w:val="00175E0C"/>
    <w:rsid w:val="00175E7E"/>
    <w:rsid w:val="001761D1"/>
    <w:rsid w:val="00176335"/>
    <w:rsid w:val="00176448"/>
    <w:rsid w:val="001764EF"/>
    <w:rsid w:val="00176650"/>
    <w:rsid w:val="001766F7"/>
    <w:rsid w:val="001768E9"/>
    <w:rsid w:val="0017696E"/>
    <w:rsid w:val="00176B84"/>
    <w:rsid w:val="00176D76"/>
    <w:rsid w:val="00176ED4"/>
    <w:rsid w:val="00177045"/>
    <w:rsid w:val="001773A1"/>
    <w:rsid w:val="00177581"/>
    <w:rsid w:val="0017759E"/>
    <w:rsid w:val="00177679"/>
    <w:rsid w:val="00177AB7"/>
    <w:rsid w:val="00177BAA"/>
    <w:rsid w:val="00177BBC"/>
    <w:rsid w:val="00177F62"/>
    <w:rsid w:val="00180063"/>
    <w:rsid w:val="00180364"/>
    <w:rsid w:val="00180380"/>
    <w:rsid w:val="001804DE"/>
    <w:rsid w:val="00180532"/>
    <w:rsid w:val="0018053F"/>
    <w:rsid w:val="001805F1"/>
    <w:rsid w:val="001808C1"/>
    <w:rsid w:val="00180C30"/>
    <w:rsid w:val="00180C68"/>
    <w:rsid w:val="00180E23"/>
    <w:rsid w:val="00181025"/>
    <w:rsid w:val="00181090"/>
    <w:rsid w:val="0018119E"/>
    <w:rsid w:val="00181238"/>
    <w:rsid w:val="001813EC"/>
    <w:rsid w:val="00181449"/>
    <w:rsid w:val="001815EC"/>
    <w:rsid w:val="0018162A"/>
    <w:rsid w:val="00181AEF"/>
    <w:rsid w:val="00181BA0"/>
    <w:rsid w:val="00181C4A"/>
    <w:rsid w:val="00181E6C"/>
    <w:rsid w:val="00181F6E"/>
    <w:rsid w:val="0018201D"/>
    <w:rsid w:val="001821E1"/>
    <w:rsid w:val="001823DC"/>
    <w:rsid w:val="001824BB"/>
    <w:rsid w:val="00182549"/>
    <w:rsid w:val="00182693"/>
    <w:rsid w:val="001828E9"/>
    <w:rsid w:val="00182E57"/>
    <w:rsid w:val="00182EB4"/>
    <w:rsid w:val="0018314B"/>
    <w:rsid w:val="001836E3"/>
    <w:rsid w:val="00183704"/>
    <w:rsid w:val="00183737"/>
    <w:rsid w:val="0018391D"/>
    <w:rsid w:val="001839AF"/>
    <w:rsid w:val="001839C1"/>
    <w:rsid w:val="00183AE0"/>
    <w:rsid w:val="00183D7B"/>
    <w:rsid w:val="00184126"/>
    <w:rsid w:val="00184189"/>
    <w:rsid w:val="00184350"/>
    <w:rsid w:val="001848DE"/>
    <w:rsid w:val="00184959"/>
    <w:rsid w:val="00184DE5"/>
    <w:rsid w:val="0018507F"/>
    <w:rsid w:val="001850E3"/>
    <w:rsid w:val="0018517F"/>
    <w:rsid w:val="001851CB"/>
    <w:rsid w:val="00185255"/>
    <w:rsid w:val="00185275"/>
    <w:rsid w:val="00185288"/>
    <w:rsid w:val="001856E6"/>
    <w:rsid w:val="001856EB"/>
    <w:rsid w:val="00185747"/>
    <w:rsid w:val="001857A8"/>
    <w:rsid w:val="001858A6"/>
    <w:rsid w:val="00185903"/>
    <w:rsid w:val="00185C00"/>
    <w:rsid w:val="00185C10"/>
    <w:rsid w:val="00185DF7"/>
    <w:rsid w:val="00185F8D"/>
    <w:rsid w:val="00186060"/>
    <w:rsid w:val="0018626E"/>
    <w:rsid w:val="00186598"/>
    <w:rsid w:val="001865F4"/>
    <w:rsid w:val="0018670F"/>
    <w:rsid w:val="001868A9"/>
    <w:rsid w:val="00186B46"/>
    <w:rsid w:val="00186EDF"/>
    <w:rsid w:val="0018702D"/>
    <w:rsid w:val="00187080"/>
    <w:rsid w:val="00187222"/>
    <w:rsid w:val="00187280"/>
    <w:rsid w:val="001873A7"/>
    <w:rsid w:val="001873C2"/>
    <w:rsid w:val="001876B7"/>
    <w:rsid w:val="001876C3"/>
    <w:rsid w:val="00187857"/>
    <w:rsid w:val="00187C59"/>
    <w:rsid w:val="00187D9B"/>
    <w:rsid w:val="00187EA9"/>
    <w:rsid w:val="00187F72"/>
    <w:rsid w:val="00190014"/>
    <w:rsid w:val="00190359"/>
    <w:rsid w:val="001903D2"/>
    <w:rsid w:val="001904FB"/>
    <w:rsid w:val="0019062C"/>
    <w:rsid w:val="00190738"/>
    <w:rsid w:val="0019079D"/>
    <w:rsid w:val="00190A90"/>
    <w:rsid w:val="00190B52"/>
    <w:rsid w:val="00190B67"/>
    <w:rsid w:val="00190B76"/>
    <w:rsid w:val="00191172"/>
    <w:rsid w:val="00191272"/>
    <w:rsid w:val="00191431"/>
    <w:rsid w:val="0019152A"/>
    <w:rsid w:val="00191A6D"/>
    <w:rsid w:val="00191D2F"/>
    <w:rsid w:val="00191DB1"/>
    <w:rsid w:val="00191FCA"/>
    <w:rsid w:val="00192117"/>
    <w:rsid w:val="0019228E"/>
    <w:rsid w:val="0019246E"/>
    <w:rsid w:val="00192675"/>
    <w:rsid w:val="00192BB0"/>
    <w:rsid w:val="00192C4B"/>
    <w:rsid w:val="00192CE3"/>
    <w:rsid w:val="00192D04"/>
    <w:rsid w:val="00192EC5"/>
    <w:rsid w:val="00192F68"/>
    <w:rsid w:val="00192FF1"/>
    <w:rsid w:val="001931FE"/>
    <w:rsid w:val="001936C2"/>
    <w:rsid w:val="00193B6A"/>
    <w:rsid w:val="00193B95"/>
    <w:rsid w:val="00193E03"/>
    <w:rsid w:val="00193E31"/>
    <w:rsid w:val="00193EAD"/>
    <w:rsid w:val="00194207"/>
    <w:rsid w:val="00194255"/>
    <w:rsid w:val="00194389"/>
    <w:rsid w:val="001946B7"/>
    <w:rsid w:val="00194B0D"/>
    <w:rsid w:val="001951AB"/>
    <w:rsid w:val="00195224"/>
    <w:rsid w:val="001952FE"/>
    <w:rsid w:val="001956A9"/>
    <w:rsid w:val="001958F1"/>
    <w:rsid w:val="00195998"/>
    <w:rsid w:val="00195A2E"/>
    <w:rsid w:val="00195A99"/>
    <w:rsid w:val="00195AF2"/>
    <w:rsid w:val="00195D85"/>
    <w:rsid w:val="00195D92"/>
    <w:rsid w:val="00195F90"/>
    <w:rsid w:val="00196224"/>
    <w:rsid w:val="00196266"/>
    <w:rsid w:val="001962F3"/>
    <w:rsid w:val="001963AF"/>
    <w:rsid w:val="00196649"/>
    <w:rsid w:val="001966F6"/>
    <w:rsid w:val="001967AA"/>
    <w:rsid w:val="001969C5"/>
    <w:rsid w:val="001969E0"/>
    <w:rsid w:val="00196A9D"/>
    <w:rsid w:val="00196B09"/>
    <w:rsid w:val="00196C1A"/>
    <w:rsid w:val="00196E67"/>
    <w:rsid w:val="00196EBF"/>
    <w:rsid w:val="00196F6E"/>
    <w:rsid w:val="00197061"/>
    <w:rsid w:val="0019709D"/>
    <w:rsid w:val="001971BB"/>
    <w:rsid w:val="00197322"/>
    <w:rsid w:val="001974FD"/>
    <w:rsid w:val="001975AC"/>
    <w:rsid w:val="001975F4"/>
    <w:rsid w:val="00197798"/>
    <w:rsid w:val="0019781A"/>
    <w:rsid w:val="001979C0"/>
    <w:rsid w:val="00197F30"/>
    <w:rsid w:val="00197FC2"/>
    <w:rsid w:val="001A0134"/>
    <w:rsid w:val="001A0265"/>
    <w:rsid w:val="001A0278"/>
    <w:rsid w:val="001A02FF"/>
    <w:rsid w:val="001A03AB"/>
    <w:rsid w:val="001A0533"/>
    <w:rsid w:val="001A0733"/>
    <w:rsid w:val="001A0822"/>
    <w:rsid w:val="001A0A23"/>
    <w:rsid w:val="001A0CB4"/>
    <w:rsid w:val="001A0FFF"/>
    <w:rsid w:val="001A143D"/>
    <w:rsid w:val="001A14AD"/>
    <w:rsid w:val="001A165D"/>
    <w:rsid w:val="001A1AFB"/>
    <w:rsid w:val="001A1C95"/>
    <w:rsid w:val="001A1D10"/>
    <w:rsid w:val="001A1EBC"/>
    <w:rsid w:val="001A2026"/>
    <w:rsid w:val="001A204A"/>
    <w:rsid w:val="001A211B"/>
    <w:rsid w:val="001A22BD"/>
    <w:rsid w:val="001A2383"/>
    <w:rsid w:val="001A2445"/>
    <w:rsid w:val="001A26F5"/>
    <w:rsid w:val="001A2724"/>
    <w:rsid w:val="001A2832"/>
    <w:rsid w:val="001A2BC5"/>
    <w:rsid w:val="001A2C18"/>
    <w:rsid w:val="001A2E25"/>
    <w:rsid w:val="001A2EB8"/>
    <w:rsid w:val="001A2F52"/>
    <w:rsid w:val="001A3056"/>
    <w:rsid w:val="001A3244"/>
    <w:rsid w:val="001A348C"/>
    <w:rsid w:val="001A392E"/>
    <w:rsid w:val="001A3940"/>
    <w:rsid w:val="001A3A91"/>
    <w:rsid w:val="001A3F93"/>
    <w:rsid w:val="001A3FC7"/>
    <w:rsid w:val="001A416C"/>
    <w:rsid w:val="001A43F2"/>
    <w:rsid w:val="001A45B8"/>
    <w:rsid w:val="001A4942"/>
    <w:rsid w:val="001A4B62"/>
    <w:rsid w:val="001A4DEA"/>
    <w:rsid w:val="001A4ECD"/>
    <w:rsid w:val="001A4F44"/>
    <w:rsid w:val="001A5536"/>
    <w:rsid w:val="001A59ED"/>
    <w:rsid w:val="001A5B30"/>
    <w:rsid w:val="001A5CCD"/>
    <w:rsid w:val="001A5D7B"/>
    <w:rsid w:val="001A5D82"/>
    <w:rsid w:val="001A5E7E"/>
    <w:rsid w:val="001A5F4E"/>
    <w:rsid w:val="001A6237"/>
    <w:rsid w:val="001A625A"/>
    <w:rsid w:val="001A653D"/>
    <w:rsid w:val="001A6840"/>
    <w:rsid w:val="001A6AAE"/>
    <w:rsid w:val="001A71B5"/>
    <w:rsid w:val="001A729C"/>
    <w:rsid w:val="001A729D"/>
    <w:rsid w:val="001A7474"/>
    <w:rsid w:val="001A762C"/>
    <w:rsid w:val="001A7766"/>
    <w:rsid w:val="001A782B"/>
    <w:rsid w:val="001A79B0"/>
    <w:rsid w:val="001A7A91"/>
    <w:rsid w:val="001A7C12"/>
    <w:rsid w:val="001A7DF3"/>
    <w:rsid w:val="001A7FBA"/>
    <w:rsid w:val="001B030E"/>
    <w:rsid w:val="001B04B7"/>
    <w:rsid w:val="001B0535"/>
    <w:rsid w:val="001B0893"/>
    <w:rsid w:val="001B0A3F"/>
    <w:rsid w:val="001B0A5C"/>
    <w:rsid w:val="001B0C2F"/>
    <w:rsid w:val="001B0D00"/>
    <w:rsid w:val="001B0D4C"/>
    <w:rsid w:val="001B13E4"/>
    <w:rsid w:val="001B162A"/>
    <w:rsid w:val="001B1780"/>
    <w:rsid w:val="001B17DB"/>
    <w:rsid w:val="001B182F"/>
    <w:rsid w:val="001B18DC"/>
    <w:rsid w:val="001B1A00"/>
    <w:rsid w:val="001B1A77"/>
    <w:rsid w:val="001B1D7A"/>
    <w:rsid w:val="001B1F01"/>
    <w:rsid w:val="001B1FC2"/>
    <w:rsid w:val="001B2603"/>
    <w:rsid w:val="001B275B"/>
    <w:rsid w:val="001B2988"/>
    <w:rsid w:val="001B2CCB"/>
    <w:rsid w:val="001B2DA3"/>
    <w:rsid w:val="001B2E34"/>
    <w:rsid w:val="001B2E46"/>
    <w:rsid w:val="001B37D9"/>
    <w:rsid w:val="001B385F"/>
    <w:rsid w:val="001B3D6C"/>
    <w:rsid w:val="001B418F"/>
    <w:rsid w:val="001B41E1"/>
    <w:rsid w:val="001B44BE"/>
    <w:rsid w:val="001B4566"/>
    <w:rsid w:val="001B4602"/>
    <w:rsid w:val="001B4648"/>
    <w:rsid w:val="001B46EE"/>
    <w:rsid w:val="001B4767"/>
    <w:rsid w:val="001B4929"/>
    <w:rsid w:val="001B494F"/>
    <w:rsid w:val="001B4F49"/>
    <w:rsid w:val="001B51F5"/>
    <w:rsid w:val="001B5201"/>
    <w:rsid w:val="001B5429"/>
    <w:rsid w:val="001B56C4"/>
    <w:rsid w:val="001B56FA"/>
    <w:rsid w:val="001B5AD9"/>
    <w:rsid w:val="001B5CA6"/>
    <w:rsid w:val="001B5F93"/>
    <w:rsid w:val="001B60B2"/>
    <w:rsid w:val="001B64CB"/>
    <w:rsid w:val="001B69C2"/>
    <w:rsid w:val="001B6C9D"/>
    <w:rsid w:val="001B6D97"/>
    <w:rsid w:val="001B6E6A"/>
    <w:rsid w:val="001B720E"/>
    <w:rsid w:val="001B72DC"/>
    <w:rsid w:val="001B72E9"/>
    <w:rsid w:val="001B7469"/>
    <w:rsid w:val="001B7659"/>
    <w:rsid w:val="001B77C7"/>
    <w:rsid w:val="001B7E13"/>
    <w:rsid w:val="001B7E30"/>
    <w:rsid w:val="001B7E68"/>
    <w:rsid w:val="001B7E88"/>
    <w:rsid w:val="001B7F13"/>
    <w:rsid w:val="001B7F14"/>
    <w:rsid w:val="001B7F37"/>
    <w:rsid w:val="001C01C1"/>
    <w:rsid w:val="001C01DE"/>
    <w:rsid w:val="001C06B7"/>
    <w:rsid w:val="001C0773"/>
    <w:rsid w:val="001C0953"/>
    <w:rsid w:val="001C0A04"/>
    <w:rsid w:val="001C0C74"/>
    <w:rsid w:val="001C0CA1"/>
    <w:rsid w:val="001C0CCC"/>
    <w:rsid w:val="001C0D9C"/>
    <w:rsid w:val="001C0DA5"/>
    <w:rsid w:val="001C0EE2"/>
    <w:rsid w:val="001C0FD9"/>
    <w:rsid w:val="001C12FF"/>
    <w:rsid w:val="001C1514"/>
    <w:rsid w:val="001C1536"/>
    <w:rsid w:val="001C1978"/>
    <w:rsid w:val="001C1A20"/>
    <w:rsid w:val="001C1AB0"/>
    <w:rsid w:val="001C1B09"/>
    <w:rsid w:val="001C1CFE"/>
    <w:rsid w:val="001C1F57"/>
    <w:rsid w:val="001C1FAE"/>
    <w:rsid w:val="001C20D5"/>
    <w:rsid w:val="001C20F4"/>
    <w:rsid w:val="001C2195"/>
    <w:rsid w:val="001C2266"/>
    <w:rsid w:val="001C2436"/>
    <w:rsid w:val="001C2485"/>
    <w:rsid w:val="001C24A2"/>
    <w:rsid w:val="001C2714"/>
    <w:rsid w:val="001C28C8"/>
    <w:rsid w:val="001C2C59"/>
    <w:rsid w:val="001C2C86"/>
    <w:rsid w:val="001C2CD3"/>
    <w:rsid w:val="001C2CDF"/>
    <w:rsid w:val="001C2DEE"/>
    <w:rsid w:val="001C2EA6"/>
    <w:rsid w:val="001C2EB3"/>
    <w:rsid w:val="001C3291"/>
    <w:rsid w:val="001C34B9"/>
    <w:rsid w:val="001C3552"/>
    <w:rsid w:val="001C3810"/>
    <w:rsid w:val="001C397A"/>
    <w:rsid w:val="001C397C"/>
    <w:rsid w:val="001C39CF"/>
    <w:rsid w:val="001C3A1B"/>
    <w:rsid w:val="001C3A9B"/>
    <w:rsid w:val="001C3ABD"/>
    <w:rsid w:val="001C3B66"/>
    <w:rsid w:val="001C3B78"/>
    <w:rsid w:val="001C3C75"/>
    <w:rsid w:val="001C3FD5"/>
    <w:rsid w:val="001C42C7"/>
    <w:rsid w:val="001C4392"/>
    <w:rsid w:val="001C43D3"/>
    <w:rsid w:val="001C455F"/>
    <w:rsid w:val="001C4846"/>
    <w:rsid w:val="001C48FF"/>
    <w:rsid w:val="001C4902"/>
    <w:rsid w:val="001C4CB6"/>
    <w:rsid w:val="001C4D50"/>
    <w:rsid w:val="001C4DC7"/>
    <w:rsid w:val="001C4E00"/>
    <w:rsid w:val="001C4E07"/>
    <w:rsid w:val="001C4FDB"/>
    <w:rsid w:val="001C50B7"/>
    <w:rsid w:val="001C53FF"/>
    <w:rsid w:val="001C5A49"/>
    <w:rsid w:val="001C5FD6"/>
    <w:rsid w:val="001C6166"/>
    <w:rsid w:val="001C6710"/>
    <w:rsid w:val="001C67E0"/>
    <w:rsid w:val="001C6A04"/>
    <w:rsid w:val="001C6BDC"/>
    <w:rsid w:val="001C6E10"/>
    <w:rsid w:val="001C6E2D"/>
    <w:rsid w:val="001C7017"/>
    <w:rsid w:val="001C7108"/>
    <w:rsid w:val="001C7495"/>
    <w:rsid w:val="001C76E1"/>
    <w:rsid w:val="001C7B7D"/>
    <w:rsid w:val="001C7B88"/>
    <w:rsid w:val="001D013F"/>
    <w:rsid w:val="001D01EA"/>
    <w:rsid w:val="001D0229"/>
    <w:rsid w:val="001D04D0"/>
    <w:rsid w:val="001D052E"/>
    <w:rsid w:val="001D056A"/>
    <w:rsid w:val="001D05AD"/>
    <w:rsid w:val="001D09B7"/>
    <w:rsid w:val="001D0A30"/>
    <w:rsid w:val="001D0B5A"/>
    <w:rsid w:val="001D0C27"/>
    <w:rsid w:val="001D0C38"/>
    <w:rsid w:val="001D1005"/>
    <w:rsid w:val="001D1737"/>
    <w:rsid w:val="001D18BF"/>
    <w:rsid w:val="001D192C"/>
    <w:rsid w:val="001D19F4"/>
    <w:rsid w:val="001D1D70"/>
    <w:rsid w:val="001D2022"/>
    <w:rsid w:val="001D2225"/>
    <w:rsid w:val="001D2295"/>
    <w:rsid w:val="001D22FB"/>
    <w:rsid w:val="001D25F9"/>
    <w:rsid w:val="001D261C"/>
    <w:rsid w:val="001D271D"/>
    <w:rsid w:val="001D29F8"/>
    <w:rsid w:val="001D2F62"/>
    <w:rsid w:val="001D3316"/>
    <w:rsid w:val="001D33E3"/>
    <w:rsid w:val="001D38A2"/>
    <w:rsid w:val="001D3CB5"/>
    <w:rsid w:val="001D3E54"/>
    <w:rsid w:val="001D3F21"/>
    <w:rsid w:val="001D44C7"/>
    <w:rsid w:val="001D49DF"/>
    <w:rsid w:val="001D4A19"/>
    <w:rsid w:val="001D4EEA"/>
    <w:rsid w:val="001D50EB"/>
    <w:rsid w:val="001D525C"/>
    <w:rsid w:val="001D5416"/>
    <w:rsid w:val="001D541F"/>
    <w:rsid w:val="001D575D"/>
    <w:rsid w:val="001D58DA"/>
    <w:rsid w:val="001D5E5C"/>
    <w:rsid w:val="001D6186"/>
    <w:rsid w:val="001D61E2"/>
    <w:rsid w:val="001D6576"/>
    <w:rsid w:val="001D65DE"/>
    <w:rsid w:val="001D670C"/>
    <w:rsid w:val="001D6BF4"/>
    <w:rsid w:val="001D6EB6"/>
    <w:rsid w:val="001D6EC6"/>
    <w:rsid w:val="001D6ECE"/>
    <w:rsid w:val="001D6F98"/>
    <w:rsid w:val="001D702E"/>
    <w:rsid w:val="001D704E"/>
    <w:rsid w:val="001D7066"/>
    <w:rsid w:val="001D75DB"/>
    <w:rsid w:val="001D7A0F"/>
    <w:rsid w:val="001D7AAA"/>
    <w:rsid w:val="001D7B22"/>
    <w:rsid w:val="001E032C"/>
    <w:rsid w:val="001E03D2"/>
    <w:rsid w:val="001E0878"/>
    <w:rsid w:val="001E0AF7"/>
    <w:rsid w:val="001E0DD2"/>
    <w:rsid w:val="001E1022"/>
    <w:rsid w:val="001E130E"/>
    <w:rsid w:val="001E134E"/>
    <w:rsid w:val="001E1A33"/>
    <w:rsid w:val="001E1AA9"/>
    <w:rsid w:val="001E1CDA"/>
    <w:rsid w:val="001E1EF7"/>
    <w:rsid w:val="001E252B"/>
    <w:rsid w:val="001E289C"/>
    <w:rsid w:val="001E2911"/>
    <w:rsid w:val="001E2AD5"/>
    <w:rsid w:val="001E2B2B"/>
    <w:rsid w:val="001E2E54"/>
    <w:rsid w:val="001E30E5"/>
    <w:rsid w:val="001E30FF"/>
    <w:rsid w:val="001E32BE"/>
    <w:rsid w:val="001E3474"/>
    <w:rsid w:val="001E35A2"/>
    <w:rsid w:val="001E37EC"/>
    <w:rsid w:val="001E3826"/>
    <w:rsid w:val="001E3947"/>
    <w:rsid w:val="001E39F4"/>
    <w:rsid w:val="001E3A3C"/>
    <w:rsid w:val="001E3B53"/>
    <w:rsid w:val="001E3E0C"/>
    <w:rsid w:val="001E3E65"/>
    <w:rsid w:val="001E3EF7"/>
    <w:rsid w:val="001E46A9"/>
    <w:rsid w:val="001E4903"/>
    <w:rsid w:val="001E492F"/>
    <w:rsid w:val="001E4987"/>
    <w:rsid w:val="001E49B5"/>
    <w:rsid w:val="001E49C0"/>
    <w:rsid w:val="001E4CC6"/>
    <w:rsid w:val="001E4FAF"/>
    <w:rsid w:val="001E4FDA"/>
    <w:rsid w:val="001E501B"/>
    <w:rsid w:val="001E5176"/>
    <w:rsid w:val="001E5449"/>
    <w:rsid w:val="001E63F2"/>
    <w:rsid w:val="001E6477"/>
    <w:rsid w:val="001E6514"/>
    <w:rsid w:val="001E66A8"/>
    <w:rsid w:val="001E6876"/>
    <w:rsid w:val="001E6880"/>
    <w:rsid w:val="001E6909"/>
    <w:rsid w:val="001E69F9"/>
    <w:rsid w:val="001E6BD9"/>
    <w:rsid w:val="001E6E73"/>
    <w:rsid w:val="001E6F04"/>
    <w:rsid w:val="001E70E7"/>
    <w:rsid w:val="001E7108"/>
    <w:rsid w:val="001E71CE"/>
    <w:rsid w:val="001E7235"/>
    <w:rsid w:val="001E7287"/>
    <w:rsid w:val="001E742B"/>
    <w:rsid w:val="001E76C8"/>
    <w:rsid w:val="001E78BB"/>
    <w:rsid w:val="001E797D"/>
    <w:rsid w:val="001E7A01"/>
    <w:rsid w:val="001E7A2A"/>
    <w:rsid w:val="001E7B01"/>
    <w:rsid w:val="001E7D34"/>
    <w:rsid w:val="001F00FE"/>
    <w:rsid w:val="001F018F"/>
    <w:rsid w:val="001F02DA"/>
    <w:rsid w:val="001F02F5"/>
    <w:rsid w:val="001F0526"/>
    <w:rsid w:val="001F052D"/>
    <w:rsid w:val="001F08D4"/>
    <w:rsid w:val="001F0D8A"/>
    <w:rsid w:val="001F0DEF"/>
    <w:rsid w:val="001F1141"/>
    <w:rsid w:val="001F120D"/>
    <w:rsid w:val="001F144D"/>
    <w:rsid w:val="001F14E1"/>
    <w:rsid w:val="001F1543"/>
    <w:rsid w:val="001F15BA"/>
    <w:rsid w:val="001F1729"/>
    <w:rsid w:val="001F1B06"/>
    <w:rsid w:val="001F1C8A"/>
    <w:rsid w:val="001F1D1B"/>
    <w:rsid w:val="001F1F7E"/>
    <w:rsid w:val="001F1FBA"/>
    <w:rsid w:val="001F2096"/>
    <w:rsid w:val="001F2129"/>
    <w:rsid w:val="001F23CF"/>
    <w:rsid w:val="001F2561"/>
    <w:rsid w:val="001F256D"/>
    <w:rsid w:val="001F25CE"/>
    <w:rsid w:val="001F2612"/>
    <w:rsid w:val="001F265D"/>
    <w:rsid w:val="001F28C3"/>
    <w:rsid w:val="001F2903"/>
    <w:rsid w:val="001F2A79"/>
    <w:rsid w:val="001F2DA2"/>
    <w:rsid w:val="001F312A"/>
    <w:rsid w:val="001F3258"/>
    <w:rsid w:val="001F3268"/>
    <w:rsid w:val="001F32D1"/>
    <w:rsid w:val="001F36AE"/>
    <w:rsid w:val="001F3823"/>
    <w:rsid w:val="001F38AA"/>
    <w:rsid w:val="001F394A"/>
    <w:rsid w:val="001F3D13"/>
    <w:rsid w:val="001F3E4E"/>
    <w:rsid w:val="001F3FC9"/>
    <w:rsid w:val="001F41B4"/>
    <w:rsid w:val="001F42D4"/>
    <w:rsid w:val="001F430E"/>
    <w:rsid w:val="001F4333"/>
    <w:rsid w:val="001F4468"/>
    <w:rsid w:val="001F44DD"/>
    <w:rsid w:val="001F452B"/>
    <w:rsid w:val="001F460A"/>
    <w:rsid w:val="001F4634"/>
    <w:rsid w:val="001F466E"/>
    <w:rsid w:val="001F4696"/>
    <w:rsid w:val="001F4989"/>
    <w:rsid w:val="001F4BB8"/>
    <w:rsid w:val="001F4BDB"/>
    <w:rsid w:val="001F4DE7"/>
    <w:rsid w:val="001F4FB7"/>
    <w:rsid w:val="001F504C"/>
    <w:rsid w:val="001F52E4"/>
    <w:rsid w:val="001F5598"/>
    <w:rsid w:val="001F584D"/>
    <w:rsid w:val="001F59F9"/>
    <w:rsid w:val="001F5A21"/>
    <w:rsid w:val="001F5A9F"/>
    <w:rsid w:val="001F5B95"/>
    <w:rsid w:val="001F5BCB"/>
    <w:rsid w:val="001F5BD4"/>
    <w:rsid w:val="001F5D4C"/>
    <w:rsid w:val="001F5D51"/>
    <w:rsid w:val="001F5DA0"/>
    <w:rsid w:val="001F64EA"/>
    <w:rsid w:val="001F65F2"/>
    <w:rsid w:val="001F6974"/>
    <w:rsid w:val="001F69E3"/>
    <w:rsid w:val="001F6A28"/>
    <w:rsid w:val="001F6BF6"/>
    <w:rsid w:val="001F6D0C"/>
    <w:rsid w:val="001F6DD4"/>
    <w:rsid w:val="001F7085"/>
    <w:rsid w:val="001F7243"/>
    <w:rsid w:val="001F73C4"/>
    <w:rsid w:val="001F73D3"/>
    <w:rsid w:val="001F73DD"/>
    <w:rsid w:val="001F7906"/>
    <w:rsid w:val="001F7A99"/>
    <w:rsid w:val="001F7B4C"/>
    <w:rsid w:val="001F7B99"/>
    <w:rsid w:val="00200037"/>
    <w:rsid w:val="00200060"/>
    <w:rsid w:val="002000FE"/>
    <w:rsid w:val="00200281"/>
    <w:rsid w:val="00200478"/>
    <w:rsid w:val="0020054B"/>
    <w:rsid w:val="0020056D"/>
    <w:rsid w:val="00200692"/>
    <w:rsid w:val="00200747"/>
    <w:rsid w:val="00200795"/>
    <w:rsid w:val="0020093E"/>
    <w:rsid w:val="00200980"/>
    <w:rsid w:val="002009FC"/>
    <w:rsid w:val="00200EAC"/>
    <w:rsid w:val="00200FA5"/>
    <w:rsid w:val="00201109"/>
    <w:rsid w:val="002012AD"/>
    <w:rsid w:val="002013FB"/>
    <w:rsid w:val="0020140F"/>
    <w:rsid w:val="0020144B"/>
    <w:rsid w:val="00201458"/>
    <w:rsid w:val="0020147F"/>
    <w:rsid w:val="0020155B"/>
    <w:rsid w:val="0020158C"/>
    <w:rsid w:val="002015AF"/>
    <w:rsid w:val="00201612"/>
    <w:rsid w:val="00201723"/>
    <w:rsid w:val="002017EA"/>
    <w:rsid w:val="00201921"/>
    <w:rsid w:val="00201938"/>
    <w:rsid w:val="00201ACC"/>
    <w:rsid w:val="00201BC7"/>
    <w:rsid w:val="00201E3C"/>
    <w:rsid w:val="00201EEA"/>
    <w:rsid w:val="00201F75"/>
    <w:rsid w:val="002020E7"/>
    <w:rsid w:val="0020217D"/>
    <w:rsid w:val="00202466"/>
    <w:rsid w:val="00202612"/>
    <w:rsid w:val="0020265B"/>
    <w:rsid w:val="00202A14"/>
    <w:rsid w:val="00202D00"/>
    <w:rsid w:val="00202E82"/>
    <w:rsid w:val="00202E8A"/>
    <w:rsid w:val="00203264"/>
    <w:rsid w:val="002033D9"/>
    <w:rsid w:val="002035A1"/>
    <w:rsid w:val="00203648"/>
    <w:rsid w:val="00203854"/>
    <w:rsid w:val="00203DBB"/>
    <w:rsid w:val="00203DE5"/>
    <w:rsid w:val="0020406C"/>
    <w:rsid w:val="00204141"/>
    <w:rsid w:val="002041E8"/>
    <w:rsid w:val="002041FD"/>
    <w:rsid w:val="002044D9"/>
    <w:rsid w:val="0020498B"/>
    <w:rsid w:val="002049EB"/>
    <w:rsid w:val="00204AAF"/>
    <w:rsid w:val="00204CBA"/>
    <w:rsid w:val="00204D7A"/>
    <w:rsid w:val="00205303"/>
    <w:rsid w:val="00205486"/>
    <w:rsid w:val="002055EC"/>
    <w:rsid w:val="00205875"/>
    <w:rsid w:val="002058A9"/>
    <w:rsid w:val="00205B25"/>
    <w:rsid w:val="00205DE1"/>
    <w:rsid w:val="00205F6E"/>
    <w:rsid w:val="00205F94"/>
    <w:rsid w:val="00205FD4"/>
    <w:rsid w:val="00206095"/>
    <w:rsid w:val="0020634C"/>
    <w:rsid w:val="002065A5"/>
    <w:rsid w:val="0020660E"/>
    <w:rsid w:val="00206791"/>
    <w:rsid w:val="002067BD"/>
    <w:rsid w:val="00206976"/>
    <w:rsid w:val="0020697E"/>
    <w:rsid w:val="00206BC1"/>
    <w:rsid w:val="00206BD7"/>
    <w:rsid w:val="00206C26"/>
    <w:rsid w:val="00206C55"/>
    <w:rsid w:val="00206F7A"/>
    <w:rsid w:val="00206F9B"/>
    <w:rsid w:val="002074CC"/>
    <w:rsid w:val="002074CE"/>
    <w:rsid w:val="00207659"/>
    <w:rsid w:val="002076E6"/>
    <w:rsid w:val="002079BB"/>
    <w:rsid w:val="002079C3"/>
    <w:rsid w:val="00207C64"/>
    <w:rsid w:val="00207CC9"/>
    <w:rsid w:val="00207CD3"/>
    <w:rsid w:val="00207E0F"/>
    <w:rsid w:val="00207ED4"/>
    <w:rsid w:val="0021008B"/>
    <w:rsid w:val="00210096"/>
    <w:rsid w:val="002103C0"/>
    <w:rsid w:val="0021050D"/>
    <w:rsid w:val="0021080D"/>
    <w:rsid w:val="0021086D"/>
    <w:rsid w:val="00210A26"/>
    <w:rsid w:val="00210ABA"/>
    <w:rsid w:val="00210B41"/>
    <w:rsid w:val="00210BEA"/>
    <w:rsid w:val="00210D06"/>
    <w:rsid w:val="00210D78"/>
    <w:rsid w:val="00211063"/>
    <w:rsid w:val="00211066"/>
    <w:rsid w:val="002110F3"/>
    <w:rsid w:val="00211599"/>
    <w:rsid w:val="002116A1"/>
    <w:rsid w:val="00211A79"/>
    <w:rsid w:val="00211ABD"/>
    <w:rsid w:val="00211BCD"/>
    <w:rsid w:val="00211CFE"/>
    <w:rsid w:val="00211F5D"/>
    <w:rsid w:val="00212347"/>
    <w:rsid w:val="002123A3"/>
    <w:rsid w:val="002127B7"/>
    <w:rsid w:val="002128C5"/>
    <w:rsid w:val="00212ABD"/>
    <w:rsid w:val="00212F44"/>
    <w:rsid w:val="00213075"/>
    <w:rsid w:val="00213170"/>
    <w:rsid w:val="002136CD"/>
    <w:rsid w:val="00213A4E"/>
    <w:rsid w:val="00213C92"/>
    <w:rsid w:val="00213CE9"/>
    <w:rsid w:val="00213D15"/>
    <w:rsid w:val="00213DAD"/>
    <w:rsid w:val="00213E3D"/>
    <w:rsid w:val="00213F4D"/>
    <w:rsid w:val="00213FDC"/>
    <w:rsid w:val="002142FC"/>
    <w:rsid w:val="0021433A"/>
    <w:rsid w:val="002143BB"/>
    <w:rsid w:val="002143E9"/>
    <w:rsid w:val="002146AF"/>
    <w:rsid w:val="00214756"/>
    <w:rsid w:val="002147C5"/>
    <w:rsid w:val="00214967"/>
    <w:rsid w:val="00214968"/>
    <w:rsid w:val="00214AAB"/>
    <w:rsid w:val="00214D17"/>
    <w:rsid w:val="00214D3E"/>
    <w:rsid w:val="00214D79"/>
    <w:rsid w:val="00214F1F"/>
    <w:rsid w:val="00214F24"/>
    <w:rsid w:val="00214FBE"/>
    <w:rsid w:val="00214FBF"/>
    <w:rsid w:val="0021504F"/>
    <w:rsid w:val="002150E9"/>
    <w:rsid w:val="002156D1"/>
    <w:rsid w:val="002157F8"/>
    <w:rsid w:val="00215B26"/>
    <w:rsid w:val="00215C53"/>
    <w:rsid w:val="00215C9D"/>
    <w:rsid w:val="00215D3E"/>
    <w:rsid w:val="00215ED0"/>
    <w:rsid w:val="00216025"/>
    <w:rsid w:val="002165DF"/>
    <w:rsid w:val="0021682E"/>
    <w:rsid w:val="00216B95"/>
    <w:rsid w:val="00216C6A"/>
    <w:rsid w:val="00216D6D"/>
    <w:rsid w:val="00216DBF"/>
    <w:rsid w:val="00216E22"/>
    <w:rsid w:val="00216F70"/>
    <w:rsid w:val="00217048"/>
    <w:rsid w:val="0021708F"/>
    <w:rsid w:val="002170DD"/>
    <w:rsid w:val="002172F1"/>
    <w:rsid w:val="0021761C"/>
    <w:rsid w:val="00217663"/>
    <w:rsid w:val="002177AC"/>
    <w:rsid w:val="00217E87"/>
    <w:rsid w:val="00220278"/>
    <w:rsid w:val="002205AE"/>
    <w:rsid w:val="002205DE"/>
    <w:rsid w:val="00220712"/>
    <w:rsid w:val="00220804"/>
    <w:rsid w:val="0022087A"/>
    <w:rsid w:val="00220BD3"/>
    <w:rsid w:val="00220DA0"/>
    <w:rsid w:val="00221046"/>
    <w:rsid w:val="002210EB"/>
    <w:rsid w:val="0022119C"/>
    <w:rsid w:val="00221264"/>
    <w:rsid w:val="00221416"/>
    <w:rsid w:val="002216B2"/>
    <w:rsid w:val="0022176E"/>
    <w:rsid w:val="00221E1A"/>
    <w:rsid w:val="00221F50"/>
    <w:rsid w:val="00222128"/>
    <w:rsid w:val="002222E9"/>
    <w:rsid w:val="0022261E"/>
    <w:rsid w:val="002227F4"/>
    <w:rsid w:val="00222884"/>
    <w:rsid w:val="00222AAC"/>
    <w:rsid w:val="00222C0F"/>
    <w:rsid w:val="00222E9A"/>
    <w:rsid w:val="00222F19"/>
    <w:rsid w:val="00223180"/>
    <w:rsid w:val="0022323B"/>
    <w:rsid w:val="0022337A"/>
    <w:rsid w:val="00223451"/>
    <w:rsid w:val="00223649"/>
    <w:rsid w:val="00223ACA"/>
    <w:rsid w:val="00223EC4"/>
    <w:rsid w:val="00223ED7"/>
    <w:rsid w:val="0022403C"/>
    <w:rsid w:val="00224372"/>
    <w:rsid w:val="00224423"/>
    <w:rsid w:val="00224709"/>
    <w:rsid w:val="00224802"/>
    <w:rsid w:val="00224A8F"/>
    <w:rsid w:val="00224ACE"/>
    <w:rsid w:val="00224E2E"/>
    <w:rsid w:val="00225309"/>
    <w:rsid w:val="0022552C"/>
    <w:rsid w:val="002255AC"/>
    <w:rsid w:val="002257C0"/>
    <w:rsid w:val="0022592B"/>
    <w:rsid w:val="00225B8B"/>
    <w:rsid w:val="00225E49"/>
    <w:rsid w:val="002261C2"/>
    <w:rsid w:val="00226257"/>
    <w:rsid w:val="002262E1"/>
    <w:rsid w:val="00226474"/>
    <w:rsid w:val="00226566"/>
    <w:rsid w:val="0022669F"/>
    <w:rsid w:val="00226789"/>
    <w:rsid w:val="00226831"/>
    <w:rsid w:val="00226861"/>
    <w:rsid w:val="00226C65"/>
    <w:rsid w:val="00226D54"/>
    <w:rsid w:val="00226E33"/>
    <w:rsid w:val="00226E36"/>
    <w:rsid w:val="00226F1E"/>
    <w:rsid w:val="00227A93"/>
    <w:rsid w:val="00227B39"/>
    <w:rsid w:val="00227D4F"/>
    <w:rsid w:val="00227E88"/>
    <w:rsid w:val="00227FBE"/>
    <w:rsid w:val="00230186"/>
    <w:rsid w:val="0023020F"/>
    <w:rsid w:val="00230366"/>
    <w:rsid w:val="0023057E"/>
    <w:rsid w:val="00230618"/>
    <w:rsid w:val="00230CE5"/>
    <w:rsid w:val="002312F4"/>
    <w:rsid w:val="00231622"/>
    <w:rsid w:val="00231668"/>
    <w:rsid w:val="00231B16"/>
    <w:rsid w:val="00231D19"/>
    <w:rsid w:val="00231FF1"/>
    <w:rsid w:val="0023211D"/>
    <w:rsid w:val="00232287"/>
    <w:rsid w:val="002325EB"/>
    <w:rsid w:val="002326CD"/>
    <w:rsid w:val="002326CE"/>
    <w:rsid w:val="002326DE"/>
    <w:rsid w:val="00232755"/>
    <w:rsid w:val="002327C9"/>
    <w:rsid w:val="002328AE"/>
    <w:rsid w:val="00232C55"/>
    <w:rsid w:val="0023324C"/>
    <w:rsid w:val="0023344B"/>
    <w:rsid w:val="002334BE"/>
    <w:rsid w:val="0023352C"/>
    <w:rsid w:val="002336C6"/>
    <w:rsid w:val="0023371F"/>
    <w:rsid w:val="00233788"/>
    <w:rsid w:val="002337EA"/>
    <w:rsid w:val="00233A30"/>
    <w:rsid w:val="00233A71"/>
    <w:rsid w:val="00233AD9"/>
    <w:rsid w:val="00233EDD"/>
    <w:rsid w:val="00233F69"/>
    <w:rsid w:val="0023403C"/>
    <w:rsid w:val="00234121"/>
    <w:rsid w:val="002342BF"/>
    <w:rsid w:val="002343CF"/>
    <w:rsid w:val="0023486E"/>
    <w:rsid w:val="00234B0B"/>
    <w:rsid w:val="00234C21"/>
    <w:rsid w:val="00234C22"/>
    <w:rsid w:val="00234C4B"/>
    <w:rsid w:val="00234E1B"/>
    <w:rsid w:val="00235283"/>
    <w:rsid w:val="002356A9"/>
    <w:rsid w:val="002356FA"/>
    <w:rsid w:val="0023575E"/>
    <w:rsid w:val="00235BB9"/>
    <w:rsid w:val="00235BD6"/>
    <w:rsid w:val="00235C6A"/>
    <w:rsid w:val="00235CC6"/>
    <w:rsid w:val="00235CF0"/>
    <w:rsid w:val="00235FFE"/>
    <w:rsid w:val="00236092"/>
    <w:rsid w:val="002363FE"/>
    <w:rsid w:val="00236479"/>
    <w:rsid w:val="0023665A"/>
    <w:rsid w:val="00236715"/>
    <w:rsid w:val="002367ED"/>
    <w:rsid w:val="00236D17"/>
    <w:rsid w:val="00236E4D"/>
    <w:rsid w:val="00236F5E"/>
    <w:rsid w:val="00237179"/>
    <w:rsid w:val="002373B1"/>
    <w:rsid w:val="0023771F"/>
    <w:rsid w:val="002377B9"/>
    <w:rsid w:val="0023787A"/>
    <w:rsid w:val="00237996"/>
    <w:rsid w:val="00237A0E"/>
    <w:rsid w:val="00237B9E"/>
    <w:rsid w:val="00237C6E"/>
    <w:rsid w:val="00240387"/>
    <w:rsid w:val="00240584"/>
    <w:rsid w:val="00240755"/>
    <w:rsid w:val="002407E1"/>
    <w:rsid w:val="002407E6"/>
    <w:rsid w:val="00240DA6"/>
    <w:rsid w:val="00240EA5"/>
    <w:rsid w:val="00240F0B"/>
    <w:rsid w:val="002410D7"/>
    <w:rsid w:val="0024114D"/>
    <w:rsid w:val="00241156"/>
    <w:rsid w:val="002411DB"/>
    <w:rsid w:val="00241228"/>
    <w:rsid w:val="0024136B"/>
    <w:rsid w:val="00241398"/>
    <w:rsid w:val="0024142D"/>
    <w:rsid w:val="002414EA"/>
    <w:rsid w:val="0024159B"/>
    <w:rsid w:val="002416D0"/>
    <w:rsid w:val="00241745"/>
    <w:rsid w:val="00241C05"/>
    <w:rsid w:val="00241C39"/>
    <w:rsid w:val="00241DFB"/>
    <w:rsid w:val="00242084"/>
    <w:rsid w:val="002422A0"/>
    <w:rsid w:val="002422BB"/>
    <w:rsid w:val="002423C1"/>
    <w:rsid w:val="002423FB"/>
    <w:rsid w:val="00242492"/>
    <w:rsid w:val="00242658"/>
    <w:rsid w:val="002427AE"/>
    <w:rsid w:val="0024286D"/>
    <w:rsid w:val="00242929"/>
    <w:rsid w:val="00242DCC"/>
    <w:rsid w:val="002433C0"/>
    <w:rsid w:val="0024369A"/>
    <w:rsid w:val="0024372F"/>
    <w:rsid w:val="002437C3"/>
    <w:rsid w:val="002439E0"/>
    <w:rsid w:val="00243D8C"/>
    <w:rsid w:val="00243E91"/>
    <w:rsid w:val="00243EED"/>
    <w:rsid w:val="00244102"/>
    <w:rsid w:val="002442FF"/>
    <w:rsid w:val="002444D3"/>
    <w:rsid w:val="0024455C"/>
    <w:rsid w:val="002446D6"/>
    <w:rsid w:val="002446DF"/>
    <w:rsid w:val="002447FE"/>
    <w:rsid w:val="00244B6B"/>
    <w:rsid w:val="00244C9B"/>
    <w:rsid w:val="00244ECE"/>
    <w:rsid w:val="00244F57"/>
    <w:rsid w:val="00244FE9"/>
    <w:rsid w:val="00245028"/>
    <w:rsid w:val="00245253"/>
    <w:rsid w:val="00245892"/>
    <w:rsid w:val="0024596A"/>
    <w:rsid w:val="002459B2"/>
    <w:rsid w:val="002459FF"/>
    <w:rsid w:val="00245FB7"/>
    <w:rsid w:val="00245FF8"/>
    <w:rsid w:val="002461B1"/>
    <w:rsid w:val="00246344"/>
    <w:rsid w:val="00246358"/>
    <w:rsid w:val="002463AF"/>
    <w:rsid w:val="00246605"/>
    <w:rsid w:val="002467EC"/>
    <w:rsid w:val="00246A30"/>
    <w:rsid w:val="00246AF5"/>
    <w:rsid w:val="00246C05"/>
    <w:rsid w:val="00246C40"/>
    <w:rsid w:val="00246C95"/>
    <w:rsid w:val="00247667"/>
    <w:rsid w:val="0024770F"/>
    <w:rsid w:val="0024775D"/>
    <w:rsid w:val="002477F0"/>
    <w:rsid w:val="00247919"/>
    <w:rsid w:val="00247B37"/>
    <w:rsid w:val="00247D03"/>
    <w:rsid w:val="00247D81"/>
    <w:rsid w:val="00250069"/>
    <w:rsid w:val="0025015F"/>
    <w:rsid w:val="00250218"/>
    <w:rsid w:val="002503A6"/>
    <w:rsid w:val="00250461"/>
    <w:rsid w:val="0025062B"/>
    <w:rsid w:val="0025078B"/>
    <w:rsid w:val="002508B7"/>
    <w:rsid w:val="00250914"/>
    <w:rsid w:val="00250943"/>
    <w:rsid w:val="0025096E"/>
    <w:rsid w:val="00250AD3"/>
    <w:rsid w:val="00250AFD"/>
    <w:rsid w:val="00250D48"/>
    <w:rsid w:val="00250F9A"/>
    <w:rsid w:val="002510B6"/>
    <w:rsid w:val="002512A1"/>
    <w:rsid w:val="0025130C"/>
    <w:rsid w:val="00251331"/>
    <w:rsid w:val="00251484"/>
    <w:rsid w:val="002514B1"/>
    <w:rsid w:val="0025155B"/>
    <w:rsid w:val="00251829"/>
    <w:rsid w:val="00251833"/>
    <w:rsid w:val="00251886"/>
    <w:rsid w:val="002518CE"/>
    <w:rsid w:val="002519D6"/>
    <w:rsid w:val="00251BDF"/>
    <w:rsid w:val="00251C77"/>
    <w:rsid w:val="00251E3A"/>
    <w:rsid w:val="002520DC"/>
    <w:rsid w:val="00252344"/>
    <w:rsid w:val="00252579"/>
    <w:rsid w:val="00252C77"/>
    <w:rsid w:val="00252F32"/>
    <w:rsid w:val="00252FB4"/>
    <w:rsid w:val="002531A8"/>
    <w:rsid w:val="002531D3"/>
    <w:rsid w:val="0025327C"/>
    <w:rsid w:val="00253617"/>
    <w:rsid w:val="0025378D"/>
    <w:rsid w:val="002538CC"/>
    <w:rsid w:val="002539CE"/>
    <w:rsid w:val="00253A00"/>
    <w:rsid w:val="00253D04"/>
    <w:rsid w:val="00253DCD"/>
    <w:rsid w:val="00253EC3"/>
    <w:rsid w:val="00253FFA"/>
    <w:rsid w:val="002543CF"/>
    <w:rsid w:val="0025475F"/>
    <w:rsid w:val="00254B53"/>
    <w:rsid w:val="00254DDB"/>
    <w:rsid w:val="00254DDF"/>
    <w:rsid w:val="00255034"/>
    <w:rsid w:val="002556B1"/>
    <w:rsid w:val="00255845"/>
    <w:rsid w:val="00255C9B"/>
    <w:rsid w:val="00255DB5"/>
    <w:rsid w:val="00255EE7"/>
    <w:rsid w:val="002562CC"/>
    <w:rsid w:val="00256356"/>
    <w:rsid w:val="00256463"/>
    <w:rsid w:val="00256491"/>
    <w:rsid w:val="002564F6"/>
    <w:rsid w:val="002566CB"/>
    <w:rsid w:val="00256909"/>
    <w:rsid w:val="002569C5"/>
    <w:rsid w:val="00256ACB"/>
    <w:rsid w:val="00256B4E"/>
    <w:rsid w:val="00256B6A"/>
    <w:rsid w:val="00256F59"/>
    <w:rsid w:val="00256FFD"/>
    <w:rsid w:val="002573C3"/>
    <w:rsid w:val="002575DD"/>
    <w:rsid w:val="0025760D"/>
    <w:rsid w:val="002576A3"/>
    <w:rsid w:val="002576B5"/>
    <w:rsid w:val="002577E6"/>
    <w:rsid w:val="00257976"/>
    <w:rsid w:val="00257CF9"/>
    <w:rsid w:val="00257E4F"/>
    <w:rsid w:val="00260163"/>
    <w:rsid w:val="002601D8"/>
    <w:rsid w:val="00260253"/>
    <w:rsid w:val="002602DE"/>
    <w:rsid w:val="00260380"/>
    <w:rsid w:val="0026039E"/>
    <w:rsid w:val="0026048B"/>
    <w:rsid w:val="002604B3"/>
    <w:rsid w:val="002605DA"/>
    <w:rsid w:val="002606C9"/>
    <w:rsid w:val="0026077D"/>
    <w:rsid w:val="002608EF"/>
    <w:rsid w:val="00260B5A"/>
    <w:rsid w:val="00260B8B"/>
    <w:rsid w:val="00260DEB"/>
    <w:rsid w:val="00260E46"/>
    <w:rsid w:val="002613D4"/>
    <w:rsid w:val="002613E8"/>
    <w:rsid w:val="002613FA"/>
    <w:rsid w:val="0026147A"/>
    <w:rsid w:val="002615AB"/>
    <w:rsid w:val="00261752"/>
    <w:rsid w:val="00261769"/>
    <w:rsid w:val="002617DD"/>
    <w:rsid w:val="00261A7C"/>
    <w:rsid w:val="00261BCC"/>
    <w:rsid w:val="00261E38"/>
    <w:rsid w:val="00261E86"/>
    <w:rsid w:val="00261F9D"/>
    <w:rsid w:val="00262136"/>
    <w:rsid w:val="00262221"/>
    <w:rsid w:val="00262321"/>
    <w:rsid w:val="002623FA"/>
    <w:rsid w:val="00262C90"/>
    <w:rsid w:val="00262EF1"/>
    <w:rsid w:val="00262F51"/>
    <w:rsid w:val="00263267"/>
    <w:rsid w:val="00263770"/>
    <w:rsid w:val="00263865"/>
    <w:rsid w:val="0026395F"/>
    <w:rsid w:val="00263A34"/>
    <w:rsid w:val="00263BC1"/>
    <w:rsid w:val="00264007"/>
    <w:rsid w:val="00264149"/>
    <w:rsid w:val="002641DF"/>
    <w:rsid w:val="0026449A"/>
    <w:rsid w:val="00264AD6"/>
    <w:rsid w:val="00264C24"/>
    <w:rsid w:val="00264CE9"/>
    <w:rsid w:val="00264D0B"/>
    <w:rsid w:val="00264D19"/>
    <w:rsid w:val="00264E65"/>
    <w:rsid w:val="00265052"/>
    <w:rsid w:val="00265374"/>
    <w:rsid w:val="00265396"/>
    <w:rsid w:val="002657AA"/>
    <w:rsid w:val="002657CB"/>
    <w:rsid w:val="00265876"/>
    <w:rsid w:val="002658DB"/>
    <w:rsid w:val="002659C6"/>
    <w:rsid w:val="00265EEF"/>
    <w:rsid w:val="00266233"/>
    <w:rsid w:val="0026634D"/>
    <w:rsid w:val="0026668B"/>
    <w:rsid w:val="002666EF"/>
    <w:rsid w:val="0026682A"/>
    <w:rsid w:val="00266C79"/>
    <w:rsid w:val="00266CE9"/>
    <w:rsid w:val="00266F24"/>
    <w:rsid w:val="0026703C"/>
    <w:rsid w:val="00267046"/>
    <w:rsid w:val="00267190"/>
    <w:rsid w:val="0026745C"/>
    <w:rsid w:val="00267469"/>
    <w:rsid w:val="002674B6"/>
    <w:rsid w:val="002675D8"/>
    <w:rsid w:val="00267A9E"/>
    <w:rsid w:val="00267F26"/>
    <w:rsid w:val="00267F9A"/>
    <w:rsid w:val="00270102"/>
    <w:rsid w:val="00270244"/>
    <w:rsid w:val="00270678"/>
    <w:rsid w:val="002706E2"/>
    <w:rsid w:val="002709BF"/>
    <w:rsid w:val="00270A36"/>
    <w:rsid w:val="00270AA8"/>
    <w:rsid w:val="00270AC0"/>
    <w:rsid w:val="00270D16"/>
    <w:rsid w:val="002711EB"/>
    <w:rsid w:val="00271298"/>
    <w:rsid w:val="002712C7"/>
    <w:rsid w:val="002714C0"/>
    <w:rsid w:val="002714D1"/>
    <w:rsid w:val="002716E4"/>
    <w:rsid w:val="0027187E"/>
    <w:rsid w:val="0027188F"/>
    <w:rsid w:val="0027195E"/>
    <w:rsid w:val="00271C16"/>
    <w:rsid w:val="00271EBF"/>
    <w:rsid w:val="002721B0"/>
    <w:rsid w:val="00272248"/>
    <w:rsid w:val="0027228E"/>
    <w:rsid w:val="00272337"/>
    <w:rsid w:val="00272375"/>
    <w:rsid w:val="00272626"/>
    <w:rsid w:val="00272911"/>
    <w:rsid w:val="00272DF0"/>
    <w:rsid w:val="00272E3C"/>
    <w:rsid w:val="00272F68"/>
    <w:rsid w:val="00273145"/>
    <w:rsid w:val="002731A6"/>
    <w:rsid w:val="002731BC"/>
    <w:rsid w:val="00273383"/>
    <w:rsid w:val="002734BE"/>
    <w:rsid w:val="0027359F"/>
    <w:rsid w:val="00273653"/>
    <w:rsid w:val="00273844"/>
    <w:rsid w:val="002738AB"/>
    <w:rsid w:val="00273B36"/>
    <w:rsid w:val="00273C66"/>
    <w:rsid w:val="00273C8E"/>
    <w:rsid w:val="00273F26"/>
    <w:rsid w:val="00274002"/>
    <w:rsid w:val="002740BC"/>
    <w:rsid w:val="00274274"/>
    <w:rsid w:val="0027429F"/>
    <w:rsid w:val="00274378"/>
    <w:rsid w:val="00274656"/>
    <w:rsid w:val="00274719"/>
    <w:rsid w:val="0027489D"/>
    <w:rsid w:val="00274B8A"/>
    <w:rsid w:val="00274E33"/>
    <w:rsid w:val="00275075"/>
    <w:rsid w:val="002750AF"/>
    <w:rsid w:val="0027519C"/>
    <w:rsid w:val="00275498"/>
    <w:rsid w:val="002755EB"/>
    <w:rsid w:val="00275768"/>
    <w:rsid w:val="00275908"/>
    <w:rsid w:val="00275945"/>
    <w:rsid w:val="00275C36"/>
    <w:rsid w:val="00275E21"/>
    <w:rsid w:val="00275EE9"/>
    <w:rsid w:val="00276052"/>
    <w:rsid w:val="002765A8"/>
    <w:rsid w:val="002765DF"/>
    <w:rsid w:val="0027677C"/>
    <w:rsid w:val="00276A1D"/>
    <w:rsid w:val="00276CD0"/>
    <w:rsid w:val="00276DDA"/>
    <w:rsid w:val="00276E87"/>
    <w:rsid w:val="0027709B"/>
    <w:rsid w:val="002774DC"/>
    <w:rsid w:val="0027758D"/>
    <w:rsid w:val="0027775F"/>
    <w:rsid w:val="00277A31"/>
    <w:rsid w:val="00277D6D"/>
    <w:rsid w:val="00277E4F"/>
    <w:rsid w:val="00277E64"/>
    <w:rsid w:val="00277E91"/>
    <w:rsid w:val="00280160"/>
    <w:rsid w:val="002802ED"/>
    <w:rsid w:val="00280340"/>
    <w:rsid w:val="0028036A"/>
    <w:rsid w:val="0028051C"/>
    <w:rsid w:val="002807C4"/>
    <w:rsid w:val="00280861"/>
    <w:rsid w:val="00280FBD"/>
    <w:rsid w:val="0028118B"/>
    <w:rsid w:val="002811B0"/>
    <w:rsid w:val="00281214"/>
    <w:rsid w:val="00281221"/>
    <w:rsid w:val="00281520"/>
    <w:rsid w:val="00281563"/>
    <w:rsid w:val="00281802"/>
    <w:rsid w:val="00281933"/>
    <w:rsid w:val="00281CC9"/>
    <w:rsid w:val="00281DB7"/>
    <w:rsid w:val="00281DD8"/>
    <w:rsid w:val="00281E8E"/>
    <w:rsid w:val="0028207F"/>
    <w:rsid w:val="00282120"/>
    <w:rsid w:val="0028245E"/>
    <w:rsid w:val="00282489"/>
    <w:rsid w:val="002828DD"/>
    <w:rsid w:val="00282C7F"/>
    <w:rsid w:val="00282EBB"/>
    <w:rsid w:val="00282F21"/>
    <w:rsid w:val="00283019"/>
    <w:rsid w:val="002830F6"/>
    <w:rsid w:val="00283137"/>
    <w:rsid w:val="00283170"/>
    <w:rsid w:val="002831F9"/>
    <w:rsid w:val="002832C2"/>
    <w:rsid w:val="002834B8"/>
    <w:rsid w:val="00283601"/>
    <w:rsid w:val="002837FE"/>
    <w:rsid w:val="00283811"/>
    <w:rsid w:val="00283821"/>
    <w:rsid w:val="00283ACA"/>
    <w:rsid w:val="00283DC9"/>
    <w:rsid w:val="00283EE1"/>
    <w:rsid w:val="00284255"/>
    <w:rsid w:val="00284374"/>
    <w:rsid w:val="00284708"/>
    <w:rsid w:val="0028488D"/>
    <w:rsid w:val="00284943"/>
    <w:rsid w:val="00284B1B"/>
    <w:rsid w:val="00285032"/>
    <w:rsid w:val="0028509F"/>
    <w:rsid w:val="002852E1"/>
    <w:rsid w:val="0028534A"/>
    <w:rsid w:val="00285460"/>
    <w:rsid w:val="00285AA9"/>
    <w:rsid w:val="00285B75"/>
    <w:rsid w:val="00285D2F"/>
    <w:rsid w:val="00285D81"/>
    <w:rsid w:val="00285DB3"/>
    <w:rsid w:val="00285EB6"/>
    <w:rsid w:val="00285FDE"/>
    <w:rsid w:val="0028609E"/>
    <w:rsid w:val="0028624F"/>
    <w:rsid w:val="00286268"/>
    <w:rsid w:val="00286477"/>
    <w:rsid w:val="0028655A"/>
    <w:rsid w:val="00286A6D"/>
    <w:rsid w:val="00286AD5"/>
    <w:rsid w:val="00286CF9"/>
    <w:rsid w:val="00286D4E"/>
    <w:rsid w:val="00286F8D"/>
    <w:rsid w:val="0028727E"/>
    <w:rsid w:val="00287436"/>
    <w:rsid w:val="002878EF"/>
    <w:rsid w:val="00287A27"/>
    <w:rsid w:val="00287B09"/>
    <w:rsid w:val="00287C20"/>
    <w:rsid w:val="00287C51"/>
    <w:rsid w:val="00287D53"/>
    <w:rsid w:val="0029004F"/>
    <w:rsid w:val="002900A3"/>
    <w:rsid w:val="002901E9"/>
    <w:rsid w:val="00290284"/>
    <w:rsid w:val="00290447"/>
    <w:rsid w:val="0029054C"/>
    <w:rsid w:val="0029057D"/>
    <w:rsid w:val="00290787"/>
    <w:rsid w:val="00290880"/>
    <w:rsid w:val="00290963"/>
    <w:rsid w:val="00290BA5"/>
    <w:rsid w:val="00290BD8"/>
    <w:rsid w:val="00290CF6"/>
    <w:rsid w:val="00290DA2"/>
    <w:rsid w:val="00290DBB"/>
    <w:rsid w:val="00290E61"/>
    <w:rsid w:val="00290F33"/>
    <w:rsid w:val="002910DC"/>
    <w:rsid w:val="00291231"/>
    <w:rsid w:val="00291550"/>
    <w:rsid w:val="002916BE"/>
    <w:rsid w:val="002916EB"/>
    <w:rsid w:val="00291A39"/>
    <w:rsid w:val="00291DC2"/>
    <w:rsid w:val="002920BB"/>
    <w:rsid w:val="002924EB"/>
    <w:rsid w:val="0029275B"/>
    <w:rsid w:val="002927AD"/>
    <w:rsid w:val="00292BB5"/>
    <w:rsid w:val="00292D05"/>
    <w:rsid w:val="00292ED1"/>
    <w:rsid w:val="00292F59"/>
    <w:rsid w:val="0029304A"/>
    <w:rsid w:val="002930F5"/>
    <w:rsid w:val="00293255"/>
    <w:rsid w:val="00293421"/>
    <w:rsid w:val="002936B4"/>
    <w:rsid w:val="00293746"/>
    <w:rsid w:val="00293C80"/>
    <w:rsid w:val="00293D9E"/>
    <w:rsid w:val="00293DB4"/>
    <w:rsid w:val="00293ED4"/>
    <w:rsid w:val="00293F5D"/>
    <w:rsid w:val="00294120"/>
    <w:rsid w:val="002943AC"/>
    <w:rsid w:val="0029450C"/>
    <w:rsid w:val="00294695"/>
    <w:rsid w:val="0029477A"/>
    <w:rsid w:val="002951D3"/>
    <w:rsid w:val="002951E4"/>
    <w:rsid w:val="0029530C"/>
    <w:rsid w:val="00295325"/>
    <w:rsid w:val="002954C5"/>
    <w:rsid w:val="00295705"/>
    <w:rsid w:val="002959A1"/>
    <w:rsid w:val="00295AE8"/>
    <w:rsid w:val="00295CC9"/>
    <w:rsid w:val="002963B9"/>
    <w:rsid w:val="00296557"/>
    <w:rsid w:val="00296720"/>
    <w:rsid w:val="00296A8C"/>
    <w:rsid w:val="00296C72"/>
    <w:rsid w:val="00296C97"/>
    <w:rsid w:val="00296DF3"/>
    <w:rsid w:val="00297208"/>
    <w:rsid w:val="002974B0"/>
    <w:rsid w:val="0029769A"/>
    <w:rsid w:val="00297712"/>
    <w:rsid w:val="00297883"/>
    <w:rsid w:val="00297A4D"/>
    <w:rsid w:val="00297C25"/>
    <w:rsid w:val="00297D0F"/>
    <w:rsid w:val="002A001D"/>
    <w:rsid w:val="002A03D0"/>
    <w:rsid w:val="002A05F5"/>
    <w:rsid w:val="002A096B"/>
    <w:rsid w:val="002A0975"/>
    <w:rsid w:val="002A09DF"/>
    <w:rsid w:val="002A0B21"/>
    <w:rsid w:val="002A0B39"/>
    <w:rsid w:val="002A0F8C"/>
    <w:rsid w:val="002A0FCC"/>
    <w:rsid w:val="002A1068"/>
    <w:rsid w:val="002A1155"/>
    <w:rsid w:val="002A12AE"/>
    <w:rsid w:val="002A12CB"/>
    <w:rsid w:val="002A12E8"/>
    <w:rsid w:val="002A130A"/>
    <w:rsid w:val="002A135A"/>
    <w:rsid w:val="002A1667"/>
    <w:rsid w:val="002A1729"/>
    <w:rsid w:val="002A1909"/>
    <w:rsid w:val="002A19E1"/>
    <w:rsid w:val="002A1B74"/>
    <w:rsid w:val="002A1C6F"/>
    <w:rsid w:val="002A1CAA"/>
    <w:rsid w:val="002A1CC8"/>
    <w:rsid w:val="002A1DC0"/>
    <w:rsid w:val="002A1EC0"/>
    <w:rsid w:val="002A22CA"/>
    <w:rsid w:val="002A2398"/>
    <w:rsid w:val="002A27B4"/>
    <w:rsid w:val="002A283E"/>
    <w:rsid w:val="002A29E7"/>
    <w:rsid w:val="002A2C84"/>
    <w:rsid w:val="002A2D57"/>
    <w:rsid w:val="002A2D65"/>
    <w:rsid w:val="002A333F"/>
    <w:rsid w:val="002A3741"/>
    <w:rsid w:val="002A3886"/>
    <w:rsid w:val="002A39E4"/>
    <w:rsid w:val="002A3A33"/>
    <w:rsid w:val="002A3B01"/>
    <w:rsid w:val="002A3B0D"/>
    <w:rsid w:val="002A3C88"/>
    <w:rsid w:val="002A3D9A"/>
    <w:rsid w:val="002A3EC4"/>
    <w:rsid w:val="002A3F5B"/>
    <w:rsid w:val="002A4149"/>
    <w:rsid w:val="002A42D8"/>
    <w:rsid w:val="002A4307"/>
    <w:rsid w:val="002A47C2"/>
    <w:rsid w:val="002A4C24"/>
    <w:rsid w:val="002A4C8F"/>
    <w:rsid w:val="002A4E1D"/>
    <w:rsid w:val="002A4F6D"/>
    <w:rsid w:val="002A521F"/>
    <w:rsid w:val="002A5461"/>
    <w:rsid w:val="002A54DA"/>
    <w:rsid w:val="002A54EE"/>
    <w:rsid w:val="002A5679"/>
    <w:rsid w:val="002A56AF"/>
    <w:rsid w:val="002A5944"/>
    <w:rsid w:val="002A59A8"/>
    <w:rsid w:val="002A5C5C"/>
    <w:rsid w:val="002A5C8E"/>
    <w:rsid w:val="002A5F3F"/>
    <w:rsid w:val="002A60BC"/>
    <w:rsid w:val="002A6542"/>
    <w:rsid w:val="002A6559"/>
    <w:rsid w:val="002A65BA"/>
    <w:rsid w:val="002A66A8"/>
    <w:rsid w:val="002A67FD"/>
    <w:rsid w:val="002A68A6"/>
    <w:rsid w:val="002A6985"/>
    <w:rsid w:val="002A6A12"/>
    <w:rsid w:val="002A6B30"/>
    <w:rsid w:val="002A6B9D"/>
    <w:rsid w:val="002A6E8C"/>
    <w:rsid w:val="002A7504"/>
    <w:rsid w:val="002A789E"/>
    <w:rsid w:val="002A79FD"/>
    <w:rsid w:val="002A7C9A"/>
    <w:rsid w:val="002A7D71"/>
    <w:rsid w:val="002A7DC8"/>
    <w:rsid w:val="002A7FE8"/>
    <w:rsid w:val="002B010C"/>
    <w:rsid w:val="002B02A2"/>
    <w:rsid w:val="002B02C8"/>
    <w:rsid w:val="002B035B"/>
    <w:rsid w:val="002B03C1"/>
    <w:rsid w:val="002B0526"/>
    <w:rsid w:val="002B058E"/>
    <w:rsid w:val="002B05C9"/>
    <w:rsid w:val="002B07B5"/>
    <w:rsid w:val="002B07FA"/>
    <w:rsid w:val="002B0854"/>
    <w:rsid w:val="002B0A55"/>
    <w:rsid w:val="002B0B8B"/>
    <w:rsid w:val="002B0BD6"/>
    <w:rsid w:val="002B0C69"/>
    <w:rsid w:val="002B0CBF"/>
    <w:rsid w:val="002B0D87"/>
    <w:rsid w:val="002B1001"/>
    <w:rsid w:val="002B13B3"/>
    <w:rsid w:val="002B14FD"/>
    <w:rsid w:val="002B1A43"/>
    <w:rsid w:val="002B1A91"/>
    <w:rsid w:val="002B1C82"/>
    <w:rsid w:val="002B1D6C"/>
    <w:rsid w:val="002B1EBB"/>
    <w:rsid w:val="002B204A"/>
    <w:rsid w:val="002B2065"/>
    <w:rsid w:val="002B2089"/>
    <w:rsid w:val="002B21EB"/>
    <w:rsid w:val="002B23C8"/>
    <w:rsid w:val="002B2479"/>
    <w:rsid w:val="002B25D6"/>
    <w:rsid w:val="002B27E4"/>
    <w:rsid w:val="002B2838"/>
    <w:rsid w:val="002B29F3"/>
    <w:rsid w:val="002B2A76"/>
    <w:rsid w:val="002B2B5D"/>
    <w:rsid w:val="002B2B8D"/>
    <w:rsid w:val="002B2C94"/>
    <w:rsid w:val="002B2E2D"/>
    <w:rsid w:val="002B2F41"/>
    <w:rsid w:val="002B2FCE"/>
    <w:rsid w:val="002B31AD"/>
    <w:rsid w:val="002B31F7"/>
    <w:rsid w:val="002B3442"/>
    <w:rsid w:val="002B34CB"/>
    <w:rsid w:val="002B3526"/>
    <w:rsid w:val="002B35A1"/>
    <w:rsid w:val="002B365A"/>
    <w:rsid w:val="002B36B3"/>
    <w:rsid w:val="002B3958"/>
    <w:rsid w:val="002B3967"/>
    <w:rsid w:val="002B396C"/>
    <w:rsid w:val="002B39DD"/>
    <w:rsid w:val="002B3A8C"/>
    <w:rsid w:val="002B3CEA"/>
    <w:rsid w:val="002B3ED0"/>
    <w:rsid w:val="002B434A"/>
    <w:rsid w:val="002B4388"/>
    <w:rsid w:val="002B4410"/>
    <w:rsid w:val="002B4625"/>
    <w:rsid w:val="002B4A00"/>
    <w:rsid w:val="002B4D77"/>
    <w:rsid w:val="002B4DC4"/>
    <w:rsid w:val="002B4ED2"/>
    <w:rsid w:val="002B5156"/>
    <w:rsid w:val="002B51A1"/>
    <w:rsid w:val="002B5423"/>
    <w:rsid w:val="002B552D"/>
    <w:rsid w:val="002B55FA"/>
    <w:rsid w:val="002B56EB"/>
    <w:rsid w:val="002B5761"/>
    <w:rsid w:val="002B5784"/>
    <w:rsid w:val="002B57B9"/>
    <w:rsid w:val="002B597B"/>
    <w:rsid w:val="002B5B89"/>
    <w:rsid w:val="002B5D2E"/>
    <w:rsid w:val="002B5F5F"/>
    <w:rsid w:val="002B6035"/>
    <w:rsid w:val="002B64D0"/>
    <w:rsid w:val="002B6543"/>
    <w:rsid w:val="002B65E9"/>
    <w:rsid w:val="002B65F4"/>
    <w:rsid w:val="002B6639"/>
    <w:rsid w:val="002B66CB"/>
    <w:rsid w:val="002B691F"/>
    <w:rsid w:val="002B6B51"/>
    <w:rsid w:val="002B6D50"/>
    <w:rsid w:val="002B73A9"/>
    <w:rsid w:val="002B7648"/>
    <w:rsid w:val="002B7867"/>
    <w:rsid w:val="002B78F5"/>
    <w:rsid w:val="002B7C19"/>
    <w:rsid w:val="002B7D7D"/>
    <w:rsid w:val="002B7E25"/>
    <w:rsid w:val="002B7ED0"/>
    <w:rsid w:val="002C0086"/>
    <w:rsid w:val="002C0088"/>
    <w:rsid w:val="002C00A0"/>
    <w:rsid w:val="002C0312"/>
    <w:rsid w:val="002C0527"/>
    <w:rsid w:val="002C05F2"/>
    <w:rsid w:val="002C071B"/>
    <w:rsid w:val="002C0A85"/>
    <w:rsid w:val="002C0B38"/>
    <w:rsid w:val="002C0C2D"/>
    <w:rsid w:val="002C0C32"/>
    <w:rsid w:val="002C0C6C"/>
    <w:rsid w:val="002C0EFE"/>
    <w:rsid w:val="002C0F39"/>
    <w:rsid w:val="002C10BA"/>
    <w:rsid w:val="002C12FA"/>
    <w:rsid w:val="002C13CA"/>
    <w:rsid w:val="002C16B5"/>
    <w:rsid w:val="002C1712"/>
    <w:rsid w:val="002C17FF"/>
    <w:rsid w:val="002C1BE2"/>
    <w:rsid w:val="002C1E72"/>
    <w:rsid w:val="002C1ECB"/>
    <w:rsid w:val="002C1F3F"/>
    <w:rsid w:val="002C2044"/>
    <w:rsid w:val="002C207A"/>
    <w:rsid w:val="002C2464"/>
    <w:rsid w:val="002C2475"/>
    <w:rsid w:val="002C25E9"/>
    <w:rsid w:val="002C26EA"/>
    <w:rsid w:val="002C271B"/>
    <w:rsid w:val="002C284A"/>
    <w:rsid w:val="002C2893"/>
    <w:rsid w:val="002C2A80"/>
    <w:rsid w:val="002C2A8F"/>
    <w:rsid w:val="002C2ACC"/>
    <w:rsid w:val="002C2B2A"/>
    <w:rsid w:val="002C2CD9"/>
    <w:rsid w:val="002C2E22"/>
    <w:rsid w:val="002C2E91"/>
    <w:rsid w:val="002C2FD6"/>
    <w:rsid w:val="002C322E"/>
    <w:rsid w:val="002C3273"/>
    <w:rsid w:val="002C335C"/>
    <w:rsid w:val="002C3369"/>
    <w:rsid w:val="002C365D"/>
    <w:rsid w:val="002C36E5"/>
    <w:rsid w:val="002C3733"/>
    <w:rsid w:val="002C3814"/>
    <w:rsid w:val="002C39F8"/>
    <w:rsid w:val="002C3B14"/>
    <w:rsid w:val="002C3C34"/>
    <w:rsid w:val="002C419B"/>
    <w:rsid w:val="002C44D4"/>
    <w:rsid w:val="002C4676"/>
    <w:rsid w:val="002C4918"/>
    <w:rsid w:val="002C4A3B"/>
    <w:rsid w:val="002C4A43"/>
    <w:rsid w:val="002C4A66"/>
    <w:rsid w:val="002C4AB8"/>
    <w:rsid w:val="002C4C7E"/>
    <w:rsid w:val="002C4C83"/>
    <w:rsid w:val="002C4DFB"/>
    <w:rsid w:val="002C5070"/>
    <w:rsid w:val="002C5142"/>
    <w:rsid w:val="002C520B"/>
    <w:rsid w:val="002C5421"/>
    <w:rsid w:val="002C554E"/>
    <w:rsid w:val="002C5B9F"/>
    <w:rsid w:val="002C5CC9"/>
    <w:rsid w:val="002C5CFF"/>
    <w:rsid w:val="002C5D6E"/>
    <w:rsid w:val="002C6056"/>
    <w:rsid w:val="002C64D8"/>
    <w:rsid w:val="002C6539"/>
    <w:rsid w:val="002C66A0"/>
    <w:rsid w:val="002C67D2"/>
    <w:rsid w:val="002C681C"/>
    <w:rsid w:val="002C6896"/>
    <w:rsid w:val="002C6C3C"/>
    <w:rsid w:val="002C6E8D"/>
    <w:rsid w:val="002C70CF"/>
    <w:rsid w:val="002C7107"/>
    <w:rsid w:val="002C717A"/>
    <w:rsid w:val="002C7251"/>
    <w:rsid w:val="002C7615"/>
    <w:rsid w:val="002C79B1"/>
    <w:rsid w:val="002C7A54"/>
    <w:rsid w:val="002C7BB3"/>
    <w:rsid w:val="002C7BDD"/>
    <w:rsid w:val="002C7C5F"/>
    <w:rsid w:val="002C7FCB"/>
    <w:rsid w:val="002D00FB"/>
    <w:rsid w:val="002D012B"/>
    <w:rsid w:val="002D04E7"/>
    <w:rsid w:val="002D0861"/>
    <w:rsid w:val="002D08AE"/>
    <w:rsid w:val="002D0AE9"/>
    <w:rsid w:val="002D0BA2"/>
    <w:rsid w:val="002D0DB9"/>
    <w:rsid w:val="002D0ED2"/>
    <w:rsid w:val="002D118D"/>
    <w:rsid w:val="002D12A1"/>
    <w:rsid w:val="002D1638"/>
    <w:rsid w:val="002D16F9"/>
    <w:rsid w:val="002D1840"/>
    <w:rsid w:val="002D193D"/>
    <w:rsid w:val="002D1A49"/>
    <w:rsid w:val="002D1A8A"/>
    <w:rsid w:val="002D1C99"/>
    <w:rsid w:val="002D1D0A"/>
    <w:rsid w:val="002D20C0"/>
    <w:rsid w:val="002D2122"/>
    <w:rsid w:val="002D251F"/>
    <w:rsid w:val="002D281F"/>
    <w:rsid w:val="002D2C54"/>
    <w:rsid w:val="002D323D"/>
    <w:rsid w:val="002D3293"/>
    <w:rsid w:val="002D32EC"/>
    <w:rsid w:val="002D3521"/>
    <w:rsid w:val="002D36F5"/>
    <w:rsid w:val="002D3969"/>
    <w:rsid w:val="002D39E2"/>
    <w:rsid w:val="002D39E4"/>
    <w:rsid w:val="002D3AC4"/>
    <w:rsid w:val="002D3BB5"/>
    <w:rsid w:val="002D3D9B"/>
    <w:rsid w:val="002D3DAE"/>
    <w:rsid w:val="002D425D"/>
    <w:rsid w:val="002D43C9"/>
    <w:rsid w:val="002D440B"/>
    <w:rsid w:val="002D4468"/>
    <w:rsid w:val="002D46DF"/>
    <w:rsid w:val="002D48D8"/>
    <w:rsid w:val="002D4975"/>
    <w:rsid w:val="002D4B78"/>
    <w:rsid w:val="002D54AC"/>
    <w:rsid w:val="002D5835"/>
    <w:rsid w:val="002D5B9C"/>
    <w:rsid w:val="002D5E17"/>
    <w:rsid w:val="002D5F44"/>
    <w:rsid w:val="002D6120"/>
    <w:rsid w:val="002D613D"/>
    <w:rsid w:val="002D627F"/>
    <w:rsid w:val="002D62DE"/>
    <w:rsid w:val="002D64C3"/>
    <w:rsid w:val="002D6752"/>
    <w:rsid w:val="002D68E8"/>
    <w:rsid w:val="002D6BC7"/>
    <w:rsid w:val="002D6E8F"/>
    <w:rsid w:val="002D7013"/>
    <w:rsid w:val="002D70A3"/>
    <w:rsid w:val="002D71D9"/>
    <w:rsid w:val="002D7218"/>
    <w:rsid w:val="002D73E7"/>
    <w:rsid w:val="002D7549"/>
    <w:rsid w:val="002D7878"/>
    <w:rsid w:val="002D7999"/>
    <w:rsid w:val="002D7BF9"/>
    <w:rsid w:val="002D7EC4"/>
    <w:rsid w:val="002D7FAC"/>
    <w:rsid w:val="002D7FBE"/>
    <w:rsid w:val="002E0450"/>
    <w:rsid w:val="002E04B2"/>
    <w:rsid w:val="002E053E"/>
    <w:rsid w:val="002E067C"/>
    <w:rsid w:val="002E06A2"/>
    <w:rsid w:val="002E0790"/>
    <w:rsid w:val="002E0950"/>
    <w:rsid w:val="002E0A96"/>
    <w:rsid w:val="002E0CE2"/>
    <w:rsid w:val="002E10D4"/>
    <w:rsid w:val="002E11AD"/>
    <w:rsid w:val="002E194A"/>
    <w:rsid w:val="002E1BA0"/>
    <w:rsid w:val="002E1CC8"/>
    <w:rsid w:val="002E1E71"/>
    <w:rsid w:val="002E2078"/>
    <w:rsid w:val="002E27EC"/>
    <w:rsid w:val="002E291D"/>
    <w:rsid w:val="002E2920"/>
    <w:rsid w:val="002E2AA3"/>
    <w:rsid w:val="002E2AAD"/>
    <w:rsid w:val="002E2E25"/>
    <w:rsid w:val="002E30F6"/>
    <w:rsid w:val="002E3219"/>
    <w:rsid w:val="002E3357"/>
    <w:rsid w:val="002E340E"/>
    <w:rsid w:val="002E34A9"/>
    <w:rsid w:val="002E3501"/>
    <w:rsid w:val="002E35AF"/>
    <w:rsid w:val="002E3631"/>
    <w:rsid w:val="002E363D"/>
    <w:rsid w:val="002E39C1"/>
    <w:rsid w:val="002E3B15"/>
    <w:rsid w:val="002E3BBA"/>
    <w:rsid w:val="002E3F14"/>
    <w:rsid w:val="002E4074"/>
    <w:rsid w:val="002E4078"/>
    <w:rsid w:val="002E40D8"/>
    <w:rsid w:val="002E4172"/>
    <w:rsid w:val="002E49AE"/>
    <w:rsid w:val="002E4BF8"/>
    <w:rsid w:val="002E4D11"/>
    <w:rsid w:val="002E5085"/>
    <w:rsid w:val="002E50D9"/>
    <w:rsid w:val="002E5156"/>
    <w:rsid w:val="002E5532"/>
    <w:rsid w:val="002E566C"/>
    <w:rsid w:val="002E56A9"/>
    <w:rsid w:val="002E5761"/>
    <w:rsid w:val="002E5932"/>
    <w:rsid w:val="002E5A2F"/>
    <w:rsid w:val="002E5B14"/>
    <w:rsid w:val="002E5C64"/>
    <w:rsid w:val="002E5DA2"/>
    <w:rsid w:val="002E5EC0"/>
    <w:rsid w:val="002E5F53"/>
    <w:rsid w:val="002E603D"/>
    <w:rsid w:val="002E6385"/>
    <w:rsid w:val="002E64DF"/>
    <w:rsid w:val="002E65CF"/>
    <w:rsid w:val="002E67E8"/>
    <w:rsid w:val="002E6844"/>
    <w:rsid w:val="002E68C2"/>
    <w:rsid w:val="002E69DD"/>
    <w:rsid w:val="002E6E19"/>
    <w:rsid w:val="002E7116"/>
    <w:rsid w:val="002E725B"/>
    <w:rsid w:val="002E72D4"/>
    <w:rsid w:val="002E7506"/>
    <w:rsid w:val="002E7838"/>
    <w:rsid w:val="002E78EA"/>
    <w:rsid w:val="002E7980"/>
    <w:rsid w:val="002E7AC2"/>
    <w:rsid w:val="002E7B05"/>
    <w:rsid w:val="002E7BA4"/>
    <w:rsid w:val="002E7F35"/>
    <w:rsid w:val="002F023F"/>
    <w:rsid w:val="002F0240"/>
    <w:rsid w:val="002F0686"/>
    <w:rsid w:val="002F084B"/>
    <w:rsid w:val="002F08F2"/>
    <w:rsid w:val="002F0BB9"/>
    <w:rsid w:val="002F0DAB"/>
    <w:rsid w:val="002F0E9E"/>
    <w:rsid w:val="002F0EE7"/>
    <w:rsid w:val="002F0FF1"/>
    <w:rsid w:val="002F113C"/>
    <w:rsid w:val="002F13B0"/>
    <w:rsid w:val="002F13EF"/>
    <w:rsid w:val="002F1487"/>
    <w:rsid w:val="002F15C1"/>
    <w:rsid w:val="002F1637"/>
    <w:rsid w:val="002F16E6"/>
    <w:rsid w:val="002F1A08"/>
    <w:rsid w:val="002F1A49"/>
    <w:rsid w:val="002F1B1C"/>
    <w:rsid w:val="002F1F04"/>
    <w:rsid w:val="002F2508"/>
    <w:rsid w:val="002F27A2"/>
    <w:rsid w:val="002F28E1"/>
    <w:rsid w:val="002F2AA4"/>
    <w:rsid w:val="002F2E9C"/>
    <w:rsid w:val="002F2FF8"/>
    <w:rsid w:val="002F34A2"/>
    <w:rsid w:val="002F34B4"/>
    <w:rsid w:val="002F3893"/>
    <w:rsid w:val="002F3994"/>
    <w:rsid w:val="002F3A0B"/>
    <w:rsid w:val="002F3E85"/>
    <w:rsid w:val="002F3E93"/>
    <w:rsid w:val="002F3FA8"/>
    <w:rsid w:val="002F410F"/>
    <w:rsid w:val="002F41E8"/>
    <w:rsid w:val="002F439A"/>
    <w:rsid w:val="002F44B8"/>
    <w:rsid w:val="002F475D"/>
    <w:rsid w:val="002F4897"/>
    <w:rsid w:val="002F4CD4"/>
    <w:rsid w:val="002F5108"/>
    <w:rsid w:val="002F520A"/>
    <w:rsid w:val="002F55DE"/>
    <w:rsid w:val="002F5661"/>
    <w:rsid w:val="002F56B4"/>
    <w:rsid w:val="002F5B33"/>
    <w:rsid w:val="002F5C9A"/>
    <w:rsid w:val="002F5E76"/>
    <w:rsid w:val="002F5F18"/>
    <w:rsid w:val="002F6207"/>
    <w:rsid w:val="002F6697"/>
    <w:rsid w:val="002F66D5"/>
    <w:rsid w:val="002F6721"/>
    <w:rsid w:val="002F6942"/>
    <w:rsid w:val="002F6963"/>
    <w:rsid w:val="002F6ADC"/>
    <w:rsid w:val="002F6C78"/>
    <w:rsid w:val="002F6DA3"/>
    <w:rsid w:val="002F6DA4"/>
    <w:rsid w:val="002F6DFD"/>
    <w:rsid w:val="002F6E35"/>
    <w:rsid w:val="002F7069"/>
    <w:rsid w:val="002F76D1"/>
    <w:rsid w:val="002F781D"/>
    <w:rsid w:val="002F7903"/>
    <w:rsid w:val="002F7C86"/>
    <w:rsid w:val="002F7C88"/>
    <w:rsid w:val="002F7D95"/>
    <w:rsid w:val="00300069"/>
    <w:rsid w:val="0030012E"/>
    <w:rsid w:val="00300254"/>
    <w:rsid w:val="003002B6"/>
    <w:rsid w:val="003005ED"/>
    <w:rsid w:val="00300766"/>
    <w:rsid w:val="00300AA3"/>
    <w:rsid w:val="00300AC9"/>
    <w:rsid w:val="00300CE8"/>
    <w:rsid w:val="00301019"/>
    <w:rsid w:val="003011E0"/>
    <w:rsid w:val="00301825"/>
    <w:rsid w:val="00301BA8"/>
    <w:rsid w:val="00301DD5"/>
    <w:rsid w:val="0030204A"/>
    <w:rsid w:val="003021F0"/>
    <w:rsid w:val="003024FD"/>
    <w:rsid w:val="00302569"/>
    <w:rsid w:val="00302845"/>
    <w:rsid w:val="003028F0"/>
    <w:rsid w:val="00302CFF"/>
    <w:rsid w:val="00302E46"/>
    <w:rsid w:val="003030B5"/>
    <w:rsid w:val="003031A1"/>
    <w:rsid w:val="003031BA"/>
    <w:rsid w:val="00303204"/>
    <w:rsid w:val="003035FF"/>
    <w:rsid w:val="00303672"/>
    <w:rsid w:val="0030375F"/>
    <w:rsid w:val="003037AB"/>
    <w:rsid w:val="00303D25"/>
    <w:rsid w:val="00303D42"/>
    <w:rsid w:val="00304146"/>
    <w:rsid w:val="003042A2"/>
    <w:rsid w:val="003044E8"/>
    <w:rsid w:val="003045AB"/>
    <w:rsid w:val="003045B0"/>
    <w:rsid w:val="00304E87"/>
    <w:rsid w:val="00304FB4"/>
    <w:rsid w:val="00304FD5"/>
    <w:rsid w:val="00305036"/>
    <w:rsid w:val="0030536B"/>
    <w:rsid w:val="003054BC"/>
    <w:rsid w:val="00305662"/>
    <w:rsid w:val="003056DD"/>
    <w:rsid w:val="00305813"/>
    <w:rsid w:val="00305831"/>
    <w:rsid w:val="003059EB"/>
    <w:rsid w:val="00305A4E"/>
    <w:rsid w:val="00305A7D"/>
    <w:rsid w:val="00305C47"/>
    <w:rsid w:val="00305CB9"/>
    <w:rsid w:val="00305CF1"/>
    <w:rsid w:val="0030619C"/>
    <w:rsid w:val="003062E6"/>
    <w:rsid w:val="003065FF"/>
    <w:rsid w:val="00306624"/>
    <w:rsid w:val="0030667B"/>
    <w:rsid w:val="003067B4"/>
    <w:rsid w:val="003067D2"/>
    <w:rsid w:val="003068A1"/>
    <w:rsid w:val="003069C1"/>
    <w:rsid w:val="00306A18"/>
    <w:rsid w:val="00306B73"/>
    <w:rsid w:val="00306D12"/>
    <w:rsid w:val="00306D6D"/>
    <w:rsid w:val="00307230"/>
    <w:rsid w:val="0030732B"/>
    <w:rsid w:val="00307C01"/>
    <w:rsid w:val="00307D30"/>
    <w:rsid w:val="00307E40"/>
    <w:rsid w:val="00310B1B"/>
    <w:rsid w:val="00310CC3"/>
    <w:rsid w:val="00310D0C"/>
    <w:rsid w:val="00311012"/>
    <w:rsid w:val="0031147A"/>
    <w:rsid w:val="003118D8"/>
    <w:rsid w:val="0031190F"/>
    <w:rsid w:val="003119C5"/>
    <w:rsid w:val="00311B46"/>
    <w:rsid w:val="00311C59"/>
    <w:rsid w:val="00312150"/>
    <w:rsid w:val="003123C8"/>
    <w:rsid w:val="0031256B"/>
    <w:rsid w:val="00312598"/>
    <w:rsid w:val="0031281A"/>
    <w:rsid w:val="003129C3"/>
    <w:rsid w:val="00312A89"/>
    <w:rsid w:val="00312C50"/>
    <w:rsid w:val="00312D5D"/>
    <w:rsid w:val="00312D71"/>
    <w:rsid w:val="00313180"/>
    <w:rsid w:val="003132F2"/>
    <w:rsid w:val="00313407"/>
    <w:rsid w:val="00313614"/>
    <w:rsid w:val="00313705"/>
    <w:rsid w:val="00313798"/>
    <w:rsid w:val="00313DA8"/>
    <w:rsid w:val="00313E2C"/>
    <w:rsid w:val="003140D0"/>
    <w:rsid w:val="003140D1"/>
    <w:rsid w:val="00314292"/>
    <w:rsid w:val="0031433E"/>
    <w:rsid w:val="0031442E"/>
    <w:rsid w:val="003144C1"/>
    <w:rsid w:val="00314762"/>
    <w:rsid w:val="00314833"/>
    <w:rsid w:val="00314960"/>
    <w:rsid w:val="00314A48"/>
    <w:rsid w:val="00314C2D"/>
    <w:rsid w:val="00314D2D"/>
    <w:rsid w:val="00314D5B"/>
    <w:rsid w:val="00314E99"/>
    <w:rsid w:val="00314FE6"/>
    <w:rsid w:val="0031519C"/>
    <w:rsid w:val="003155C1"/>
    <w:rsid w:val="00315726"/>
    <w:rsid w:val="003159EB"/>
    <w:rsid w:val="00315B83"/>
    <w:rsid w:val="00315C81"/>
    <w:rsid w:val="00315D22"/>
    <w:rsid w:val="00315D92"/>
    <w:rsid w:val="00315DCA"/>
    <w:rsid w:val="00315E58"/>
    <w:rsid w:val="00315E7A"/>
    <w:rsid w:val="00315F00"/>
    <w:rsid w:val="003160A5"/>
    <w:rsid w:val="0031623C"/>
    <w:rsid w:val="003162D4"/>
    <w:rsid w:val="003164D1"/>
    <w:rsid w:val="00316582"/>
    <w:rsid w:val="003165AA"/>
    <w:rsid w:val="003165E6"/>
    <w:rsid w:val="00316898"/>
    <w:rsid w:val="00316D12"/>
    <w:rsid w:val="00316E03"/>
    <w:rsid w:val="00316ED3"/>
    <w:rsid w:val="0031732C"/>
    <w:rsid w:val="003173AC"/>
    <w:rsid w:val="003175FF"/>
    <w:rsid w:val="00317B4C"/>
    <w:rsid w:val="00317BDE"/>
    <w:rsid w:val="00317BE0"/>
    <w:rsid w:val="00317FF2"/>
    <w:rsid w:val="003201C8"/>
    <w:rsid w:val="0032046E"/>
    <w:rsid w:val="00320504"/>
    <w:rsid w:val="0032071C"/>
    <w:rsid w:val="0032080B"/>
    <w:rsid w:val="00320834"/>
    <w:rsid w:val="00320A5A"/>
    <w:rsid w:val="00320F14"/>
    <w:rsid w:val="00320F5F"/>
    <w:rsid w:val="00321226"/>
    <w:rsid w:val="00321381"/>
    <w:rsid w:val="003213BE"/>
    <w:rsid w:val="00321493"/>
    <w:rsid w:val="00321682"/>
    <w:rsid w:val="0032181E"/>
    <w:rsid w:val="0032189C"/>
    <w:rsid w:val="00321BCC"/>
    <w:rsid w:val="00322428"/>
    <w:rsid w:val="003225E0"/>
    <w:rsid w:val="0032266C"/>
    <w:rsid w:val="0032268C"/>
    <w:rsid w:val="003226E0"/>
    <w:rsid w:val="003227CA"/>
    <w:rsid w:val="00322AA8"/>
    <w:rsid w:val="00322EE5"/>
    <w:rsid w:val="00322EE8"/>
    <w:rsid w:val="003230D2"/>
    <w:rsid w:val="0032310B"/>
    <w:rsid w:val="00323196"/>
    <w:rsid w:val="003231A3"/>
    <w:rsid w:val="00323555"/>
    <w:rsid w:val="003235CE"/>
    <w:rsid w:val="003237F8"/>
    <w:rsid w:val="003238A5"/>
    <w:rsid w:val="003238D6"/>
    <w:rsid w:val="00323904"/>
    <w:rsid w:val="003239ED"/>
    <w:rsid w:val="00323E52"/>
    <w:rsid w:val="00323EF0"/>
    <w:rsid w:val="00324064"/>
    <w:rsid w:val="003242C9"/>
    <w:rsid w:val="00324322"/>
    <w:rsid w:val="003244A2"/>
    <w:rsid w:val="003245A3"/>
    <w:rsid w:val="00324611"/>
    <w:rsid w:val="00324708"/>
    <w:rsid w:val="00324755"/>
    <w:rsid w:val="00324A4A"/>
    <w:rsid w:val="00324C54"/>
    <w:rsid w:val="00324ED6"/>
    <w:rsid w:val="00325055"/>
    <w:rsid w:val="00325100"/>
    <w:rsid w:val="003252B3"/>
    <w:rsid w:val="0032538D"/>
    <w:rsid w:val="00325458"/>
    <w:rsid w:val="003254C0"/>
    <w:rsid w:val="00325FFF"/>
    <w:rsid w:val="0032612F"/>
    <w:rsid w:val="00326306"/>
    <w:rsid w:val="0032630B"/>
    <w:rsid w:val="003267CC"/>
    <w:rsid w:val="003268C0"/>
    <w:rsid w:val="00326925"/>
    <w:rsid w:val="003269AD"/>
    <w:rsid w:val="00326A84"/>
    <w:rsid w:val="00326CAB"/>
    <w:rsid w:val="00326DB2"/>
    <w:rsid w:val="00326DC5"/>
    <w:rsid w:val="00326DEF"/>
    <w:rsid w:val="00326E20"/>
    <w:rsid w:val="00326E76"/>
    <w:rsid w:val="00326F41"/>
    <w:rsid w:val="003272C6"/>
    <w:rsid w:val="0032735A"/>
    <w:rsid w:val="0032743A"/>
    <w:rsid w:val="003277D9"/>
    <w:rsid w:val="00327AE8"/>
    <w:rsid w:val="00327C8D"/>
    <w:rsid w:val="00327D94"/>
    <w:rsid w:val="003300E9"/>
    <w:rsid w:val="00330141"/>
    <w:rsid w:val="00330158"/>
    <w:rsid w:val="003303D7"/>
    <w:rsid w:val="00330432"/>
    <w:rsid w:val="00330612"/>
    <w:rsid w:val="003306B5"/>
    <w:rsid w:val="003306DF"/>
    <w:rsid w:val="00330A8A"/>
    <w:rsid w:val="00330B32"/>
    <w:rsid w:val="00330C83"/>
    <w:rsid w:val="00330D5F"/>
    <w:rsid w:val="00330DAF"/>
    <w:rsid w:val="00330F6A"/>
    <w:rsid w:val="00331011"/>
    <w:rsid w:val="003310FB"/>
    <w:rsid w:val="00331106"/>
    <w:rsid w:val="00331451"/>
    <w:rsid w:val="0033163A"/>
    <w:rsid w:val="003316C5"/>
    <w:rsid w:val="00331A2A"/>
    <w:rsid w:val="003322FF"/>
    <w:rsid w:val="003328B4"/>
    <w:rsid w:val="00332942"/>
    <w:rsid w:val="00332A1F"/>
    <w:rsid w:val="00332AB0"/>
    <w:rsid w:val="00332E39"/>
    <w:rsid w:val="00332E56"/>
    <w:rsid w:val="00332FCC"/>
    <w:rsid w:val="00333328"/>
    <w:rsid w:val="0033344C"/>
    <w:rsid w:val="00333465"/>
    <w:rsid w:val="003334D3"/>
    <w:rsid w:val="0033367B"/>
    <w:rsid w:val="003336E1"/>
    <w:rsid w:val="00333A2D"/>
    <w:rsid w:val="00333AC4"/>
    <w:rsid w:val="00333B9F"/>
    <w:rsid w:val="00333C9E"/>
    <w:rsid w:val="00333D0C"/>
    <w:rsid w:val="00333DA6"/>
    <w:rsid w:val="00333FFE"/>
    <w:rsid w:val="0033440B"/>
    <w:rsid w:val="00334411"/>
    <w:rsid w:val="00334764"/>
    <w:rsid w:val="00334799"/>
    <w:rsid w:val="00334936"/>
    <w:rsid w:val="0033493E"/>
    <w:rsid w:val="00334AA4"/>
    <w:rsid w:val="00334CA1"/>
    <w:rsid w:val="00334DA2"/>
    <w:rsid w:val="00334DD7"/>
    <w:rsid w:val="00334E0A"/>
    <w:rsid w:val="0033530C"/>
    <w:rsid w:val="0033533E"/>
    <w:rsid w:val="003355A8"/>
    <w:rsid w:val="003355B9"/>
    <w:rsid w:val="0033560A"/>
    <w:rsid w:val="003356EE"/>
    <w:rsid w:val="00335AEC"/>
    <w:rsid w:val="00335AFC"/>
    <w:rsid w:val="00335BAA"/>
    <w:rsid w:val="00335C05"/>
    <w:rsid w:val="00335D7D"/>
    <w:rsid w:val="00335F08"/>
    <w:rsid w:val="00335F6D"/>
    <w:rsid w:val="003360D4"/>
    <w:rsid w:val="00336190"/>
    <w:rsid w:val="003361FE"/>
    <w:rsid w:val="00336220"/>
    <w:rsid w:val="00336417"/>
    <w:rsid w:val="003367D2"/>
    <w:rsid w:val="00336861"/>
    <w:rsid w:val="00336A35"/>
    <w:rsid w:val="00336AE9"/>
    <w:rsid w:val="00337115"/>
    <w:rsid w:val="0033711B"/>
    <w:rsid w:val="00337444"/>
    <w:rsid w:val="003374A5"/>
    <w:rsid w:val="003376C8"/>
    <w:rsid w:val="00337850"/>
    <w:rsid w:val="0033798B"/>
    <w:rsid w:val="00337B96"/>
    <w:rsid w:val="00337C74"/>
    <w:rsid w:val="0034039E"/>
    <w:rsid w:val="0034065A"/>
    <w:rsid w:val="00340789"/>
    <w:rsid w:val="00340A7C"/>
    <w:rsid w:val="00340AD7"/>
    <w:rsid w:val="00340E21"/>
    <w:rsid w:val="00340E55"/>
    <w:rsid w:val="00340E60"/>
    <w:rsid w:val="00340EF9"/>
    <w:rsid w:val="00341199"/>
    <w:rsid w:val="00341203"/>
    <w:rsid w:val="00341301"/>
    <w:rsid w:val="00341436"/>
    <w:rsid w:val="00341481"/>
    <w:rsid w:val="00341525"/>
    <w:rsid w:val="00341612"/>
    <w:rsid w:val="00341943"/>
    <w:rsid w:val="00341C7E"/>
    <w:rsid w:val="00341CD0"/>
    <w:rsid w:val="00341D1C"/>
    <w:rsid w:val="00341E29"/>
    <w:rsid w:val="00341E89"/>
    <w:rsid w:val="00341E8B"/>
    <w:rsid w:val="0034201F"/>
    <w:rsid w:val="00342146"/>
    <w:rsid w:val="003421A9"/>
    <w:rsid w:val="0034282B"/>
    <w:rsid w:val="00342911"/>
    <w:rsid w:val="00342933"/>
    <w:rsid w:val="00342C3E"/>
    <w:rsid w:val="00342CC1"/>
    <w:rsid w:val="00342CD5"/>
    <w:rsid w:val="00342EBA"/>
    <w:rsid w:val="00342FC2"/>
    <w:rsid w:val="00343011"/>
    <w:rsid w:val="00343056"/>
    <w:rsid w:val="003433B8"/>
    <w:rsid w:val="003434E3"/>
    <w:rsid w:val="003434F0"/>
    <w:rsid w:val="0034360A"/>
    <w:rsid w:val="00343740"/>
    <w:rsid w:val="00343960"/>
    <w:rsid w:val="00343C25"/>
    <w:rsid w:val="00343DCB"/>
    <w:rsid w:val="00343ECF"/>
    <w:rsid w:val="00343F11"/>
    <w:rsid w:val="00344022"/>
    <w:rsid w:val="00344107"/>
    <w:rsid w:val="00344308"/>
    <w:rsid w:val="0034433B"/>
    <w:rsid w:val="0034436D"/>
    <w:rsid w:val="00344395"/>
    <w:rsid w:val="00344570"/>
    <w:rsid w:val="0034495D"/>
    <w:rsid w:val="00344BBF"/>
    <w:rsid w:val="00344C17"/>
    <w:rsid w:val="00344C3D"/>
    <w:rsid w:val="00344CB1"/>
    <w:rsid w:val="00344D8E"/>
    <w:rsid w:val="003450B3"/>
    <w:rsid w:val="003452AD"/>
    <w:rsid w:val="00345331"/>
    <w:rsid w:val="003453EC"/>
    <w:rsid w:val="00345425"/>
    <w:rsid w:val="0034560D"/>
    <w:rsid w:val="003457C6"/>
    <w:rsid w:val="00345D2C"/>
    <w:rsid w:val="00345F6D"/>
    <w:rsid w:val="00345F8E"/>
    <w:rsid w:val="00345FA7"/>
    <w:rsid w:val="0034602F"/>
    <w:rsid w:val="003460C4"/>
    <w:rsid w:val="003461DF"/>
    <w:rsid w:val="003462B2"/>
    <w:rsid w:val="00346C42"/>
    <w:rsid w:val="00346D05"/>
    <w:rsid w:val="00346D39"/>
    <w:rsid w:val="00346D95"/>
    <w:rsid w:val="00346EE4"/>
    <w:rsid w:val="003472EA"/>
    <w:rsid w:val="00347386"/>
    <w:rsid w:val="0034739D"/>
    <w:rsid w:val="00347409"/>
    <w:rsid w:val="0034755E"/>
    <w:rsid w:val="003478E2"/>
    <w:rsid w:val="00347A1A"/>
    <w:rsid w:val="00347AEE"/>
    <w:rsid w:val="00347DF1"/>
    <w:rsid w:val="00347E68"/>
    <w:rsid w:val="00347F86"/>
    <w:rsid w:val="00347FA6"/>
    <w:rsid w:val="003500F9"/>
    <w:rsid w:val="00350259"/>
    <w:rsid w:val="003504C3"/>
    <w:rsid w:val="003505EF"/>
    <w:rsid w:val="0035092B"/>
    <w:rsid w:val="0035095E"/>
    <w:rsid w:val="003509FA"/>
    <w:rsid w:val="00350A8B"/>
    <w:rsid w:val="00350DD8"/>
    <w:rsid w:val="00350E04"/>
    <w:rsid w:val="00350F41"/>
    <w:rsid w:val="00351136"/>
    <w:rsid w:val="003515E0"/>
    <w:rsid w:val="0035165E"/>
    <w:rsid w:val="003516C4"/>
    <w:rsid w:val="0035180B"/>
    <w:rsid w:val="00351A8D"/>
    <w:rsid w:val="00352162"/>
    <w:rsid w:val="00352173"/>
    <w:rsid w:val="0035219F"/>
    <w:rsid w:val="003522E8"/>
    <w:rsid w:val="00352408"/>
    <w:rsid w:val="0035250E"/>
    <w:rsid w:val="0035259B"/>
    <w:rsid w:val="003527D2"/>
    <w:rsid w:val="003528C2"/>
    <w:rsid w:val="003528F3"/>
    <w:rsid w:val="00352A7A"/>
    <w:rsid w:val="00352B6A"/>
    <w:rsid w:val="00352D28"/>
    <w:rsid w:val="00352DB5"/>
    <w:rsid w:val="00352F7C"/>
    <w:rsid w:val="00353031"/>
    <w:rsid w:val="00353054"/>
    <w:rsid w:val="00353343"/>
    <w:rsid w:val="00353450"/>
    <w:rsid w:val="003534C9"/>
    <w:rsid w:val="0035356B"/>
    <w:rsid w:val="0035356D"/>
    <w:rsid w:val="003536A8"/>
    <w:rsid w:val="00353728"/>
    <w:rsid w:val="0035390E"/>
    <w:rsid w:val="0035399D"/>
    <w:rsid w:val="00353B65"/>
    <w:rsid w:val="00353FE9"/>
    <w:rsid w:val="0035456D"/>
    <w:rsid w:val="003545C8"/>
    <w:rsid w:val="0035460A"/>
    <w:rsid w:val="00354663"/>
    <w:rsid w:val="00354835"/>
    <w:rsid w:val="00354D47"/>
    <w:rsid w:val="00354D4C"/>
    <w:rsid w:val="00354E47"/>
    <w:rsid w:val="003553BB"/>
    <w:rsid w:val="0035586A"/>
    <w:rsid w:val="00355D00"/>
    <w:rsid w:val="00355DF7"/>
    <w:rsid w:val="003561C3"/>
    <w:rsid w:val="003562C7"/>
    <w:rsid w:val="0035651D"/>
    <w:rsid w:val="00356534"/>
    <w:rsid w:val="00356657"/>
    <w:rsid w:val="00356666"/>
    <w:rsid w:val="003566F4"/>
    <w:rsid w:val="003567D6"/>
    <w:rsid w:val="00356B0D"/>
    <w:rsid w:val="00356C6B"/>
    <w:rsid w:val="00356E0D"/>
    <w:rsid w:val="00356E54"/>
    <w:rsid w:val="00356EBF"/>
    <w:rsid w:val="00356FBB"/>
    <w:rsid w:val="0035721D"/>
    <w:rsid w:val="003575B4"/>
    <w:rsid w:val="0035762B"/>
    <w:rsid w:val="00357649"/>
    <w:rsid w:val="003576D4"/>
    <w:rsid w:val="00357720"/>
    <w:rsid w:val="0035789C"/>
    <w:rsid w:val="003579B0"/>
    <w:rsid w:val="00357B63"/>
    <w:rsid w:val="00357BAB"/>
    <w:rsid w:val="00357EBF"/>
    <w:rsid w:val="00360085"/>
    <w:rsid w:val="0036010E"/>
    <w:rsid w:val="00360425"/>
    <w:rsid w:val="0036096B"/>
    <w:rsid w:val="00360B0B"/>
    <w:rsid w:val="00360B48"/>
    <w:rsid w:val="00360EEA"/>
    <w:rsid w:val="00361215"/>
    <w:rsid w:val="003612EB"/>
    <w:rsid w:val="003613AF"/>
    <w:rsid w:val="00361452"/>
    <w:rsid w:val="00361455"/>
    <w:rsid w:val="00361722"/>
    <w:rsid w:val="003617DE"/>
    <w:rsid w:val="00361A31"/>
    <w:rsid w:val="00361A93"/>
    <w:rsid w:val="00361C1B"/>
    <w:rsid w:val="00361C2D"/>
    <w:rsid w:val="00361D3A"/>
    <w:rsid w:val="00361E50"/>
    <w:rsid w:val="00361E6E"/>
    <w:rsid w:val="00361EF9"/>
    <w:rsid w:val="0036219A"/>
    <w:rsid w:val="00362254"/>
    <w:rsid w:val="003622BA"/>
    <w:rsid w:val="003622D7"/>
    <w:rsid w:val="00362375"/>
    <w:rsid w:val="00362417"/>
    <w:rsid w:val="0036245B"/>
    <w:rsid w:val="00362573"/>
    <w:rsid w:val="003625CC"/>
    <w:rsid w:val="003629F7"/>
    <w:rsid w:val="00362A79"/>
    <w:rsid w:val="00362C41"/>
    <w:rsid w:val="00362CBB"/>
    <w:rsid w:val="00362DFB"/>
    <w:rsid w:val="00362F1C"/>
    <w:rsid w:val="00362FA6"/>
    <w:rsid w:val="00363059"/>
    <w:rsid w:val="0036342B"/>
    <w:rsid w:val="003636F4"/>
    <w:rsid w:val="0036373D"/>
    <w:rsid w:val="00363832"/>
    <w:rsid w:val="003638C4"/>
    <w:rsid w:val="003639A0"/>
    <w:rsid w:val="003640DD"/>
    <w:rsid w:val="003642B2"/>
    <w:rsid w:val="0036438B"/>
    <w:rsid w:val="003643B9"/>
    <w:rsid w:val="003644CA"/>
    <w:rsid w:val="003645EF"/>
    <w:rsid w:val="0036472B"/>
    <w:rsid w:val="00364B8E"/>
    <w:rsid w:val="00364BC1"/>
    <w:rsid w:val="00364C21"/>
    <w:rsid w:val="00364D34"/>
    <w:rsid w:val="00364EB4"/>
    <w:rsid w:val="00364FCC"/>
    <w:rsid w:val="00365021"/>
    <w:rsid w:val="00365061"/>
    <w:rsid w:val="003650F7"/>
    <w:rsid w:val="00365446"/>
    <w:rsid w:val="00365530"/>
    <w:rsid w:val="00365601"/>
    <w:rsid w:val="003658E1"/>
    <w:rsid w:val="00365F61"/>
    <w:rsid w:val="003660B5"/>
    <w:rsid w:val="00366355"/>
    <w:rsid w:val="00366788"/>
    <w:rsid w:val="00366AE7"/>
    <w:rsid w:val="00366B0B"/>
    <w:rsid w:val="00366BCD"/>
    <w:rsid w:val="00366E8B"/>
    <w:rsid w:val="00367240"/>
    <w:rsid w:val="0036742A"/>
    <w:rsid w:val="00367440"/>
    <w:rsid w:val="003674D6"/>
    <w:rsid w:val="003675CA"/>
    <w:rsid w:val="00367640"/>
    <w:rsid w:val="00367729"/>
    <w:rsid w:val="0036796A"/>
    <w:rsid w:val="00367C90"/>
    <w:rsid w:val="00367D0E"/>
    <w:rsid w:val="00367EFF"/>
    <w:rsid w:val="003701DD"/>
    <w:rsid w:val="00370202"/>
    <w:rsid w:val="00370271"/>
    <w:rsid w:val="0037057A"/>
    <w:rsid w:val="00370634"/>
    <w:rsid w:val="003706F9"/>
    <w:rsid w:val="00370A6E"/>
    <w:rsid w:val="00370BB8"/>
    <w:rsid w:val="00370CE1"/>
    <w:rsid w:val="00370D59"/>
    <w:rsid w:val="0037100C"/>
    <w:rsid w:val="00371106"/>
    <w:rsid w:val="00371219"/>
    <w:rsid w:val="0037121C"/>
    <w:rsid w:val="0037158E"/>
    <w:rsid w:val="003716B5"/>
    <w:rsid w:val="00371707"/>
    <w:rsid w:val="003717E4"/>
    <w:rsid w:val="003718B0"/>
    <w:rsid w:val="003718BC"/>
    <w:rsid w:val="003719D9"/>
    <w:rsid w:val="00371A77"/>
    <w:rsid w:val="0037209B"/>
    <w:rsid w:val="0037219C"/>
    <w:rsid w:val="0037241E"/>
    <w:rsid w:val="00372577"/>
    <w:rsid w:val="003725AC"/>
    <w:rsid w:val="003728AE"/>
    <w:rsid w:val="003728DF"/>
    <w:rsid w:val="00372A22"/>
    <w:rsid w:val="00372A91"/>
    <w:rsid w:val="00372BA4"/>
    <w:rsid w:val="00372C1F"/>
    <w:rsid w:val="003731E6"/>
    <w:rsid w:val="00373203"/>
    <w:rsid w:val="00373452"/>
    <w:rsid w:val="00373606"/>
    <w:rsid w:val="00373A2A"/>
    <w:rsid w:val="00373A98"/>
    <w:rsid w:val="00373CC6"/>
    <w:rsid w:val="00373DDA"/>
    <w:rsid w:val="00373E16"/>
    <w:rsid w:val="003743B5"/>
    <w:rsid w:val="003748D0"/>
    <w:rsid w:val="00374911"/>
    <w:rsid w:val="00374C3C"/>
    <w:rsid w:val="00374C8B"/>
    <w:rsid w:val="00374D3A"/>
    <w:rsid w:val="003751EF"/>
    <w:rsid w:val="00375514"/>
    <w:rsid w:val="003756EF"/>
    <w:rsid w:val="0037576C"/>
    <w:rsid w:val="00375797"/>
    <w:rsid w:val="00375891"/>
    <w:rsid w:val="003759C1"/>
    <w:rsid w:val="00375B19"/>
    <w:rsid w:val="00375BC6"/>
    <w:rsid w:val="00375C75"/>
    <w:rsid w:val="00375E5B"/>
    <w:rsid w:val="00375E67"/>
    <w:rsid w:val="00376203"/>
    <w:rsid w:val="003762F3"/>
    <w:rsid w:val="003767CD"/>
    <w:rsid w:val="0037694D"/>
    <w:rsid w:val="00376AE5"/>
    <w:rsid w:val="00376B51"/>
    <w:rsid w:val="00376F3D"/>
    <w:rsid w:val="0037720E"/>
    <w:rsid w:val="003772E4"/>
    <w:rsid w:val="003774EA"/>
    <w:rsid w:val="003775B0"/>
    <w:rsid w:val="00377693"/>
    <w:rsid w:val="00377825"/>
    <w:rsid w:val="00377981"/>
    <w:rsid w:val="00377A0E"/>
    <w:rsid w:val="00377A21"/>
    <w:rsid w:val="00377A93"/>
    <w:rsid w:val="00377B88"/>
    <w:rsid w:val="00377BFF"/>
    <w:rsid w:val="00377CD2"/>
    <w:rsid w:val="00377E74"/>
    <w:rsid w:val="00377F4A"/>
    <w:rsid w:val="003801CB"/>
    <w:rsid w:val="003803F2"/>
    <w:rsid w:val="00380462"/>
    <w:rsid w:val="0038060D"/>
    <w:rsid w:val="00380A44"/>
    <w:rsid w:val="00380B08"/>
    <w:rsid w:val="00380B4C"/>
    <w:rsid w:val="00380DEB"/>
    <w:rsid w:val="00381016"/>
    <w:rsid w:val="003810BF"/>
    <w:rsid w:val="0038137E"/>
    <w:rsid w:val="00381398"/>
    <w:rsid w:val="003813D1"/>
    <w:rsid w:val="0038184F"/>
    <w:rsid w:val="0038188C"/>
    <w:rsid w:val="00381D7F"/>
    <w:rsid w:val="00381FD1"/>
    <w:rsid w:val="0038223D"/>
    <w:rsid w:val="00382268"/>
    <w:rsid w:val="00382371"/>
    <w:rsid w:val="00382595"/>
    <w:rsid w:val="00382D61"/>
    <w:rsid w:val="00382DF6"/>
    <w:rsid w:val="00382E3B"/>
    <w:rsid w:val="00382E69"/>
    <w:rsid w:val="0038345E"/>
    <w:rsid w:val="00383479"/>
    <w:rsid w:val="003835F8"/>
    <w:rsid w:val="00383951"/>
    <w:rsid w:val="00383A56"/>
    <w:rsid w:val="00383C2D"/>
    <w:rsid w:val="00383EDC"/>
    <w:rsid w:val="00383F0D"/>
    <w:rsid w:val="003841E5"/>
    <w:rsid w:val="003842B4"/>
    <w:rsid w:val="00384729"/>
    <w:rsid w:val="0038479B"/>
    <w:rsid w:val="0038490B"/>
    <w:rsid w:val="003849EE"/>
    <w:rsid w:val="00384A47"/>
    <w:rsid w:val="00384ACE"/>
    <w:rsid w:val="00384B9D"/>
    <w:rsid w:val="00384D89"/>
    <w:rsid w:val="00384DC6"/>
    <w:rsid w:val="00384E19"/>
    <w:rsid w:val="00384E2F"/>
    <w:rsid w:val="00384E67"/>
    <w:rsid w:val="00384FB2"/>
    <w:rsid w:val="00385191"/>
    <w:rsid w:val="003853F7"/>
    <w:rsid w:val="00385796"/>
    <w:rsid w:val="0038586F"/>
    <w:rsid w:val="003859DB"/>
    <w:rsid w:val="00385CEC"/>
    <w:rsid w:val="00385CF1"/>
    <w:rsid w:val="00385E0A"/>
    <w:rsid w:val="00385F69"/>
    <w:rsid w:val="00385F9B"/>
    <w:rsid w:val="003860F7"/>
    <w:rsid w:val="0038627C"/>
    <w:rsid w:val="003865E5"/>
    <w:rsid w:val="0038668C"/>
    <w:rsid w:val="00386753"/>
    <w:rsid w:val="003868A5"/>
    <w:rsid w:val="00386C90"/>
    <w:rsid w:val="00386CA8"/>
    <w:rsid w:val="00386CD5"/>
    <w:rsid w:val="00386E9A"/>
    <w:rsid w:val="0038761B"/>
    <w:rsid w:val="00387749"/>
    <w:rsid w:val="00387773"/>
    <w:rsid w:val="0038783E"/>
    <w:rsid w:val="00387901"/>
    <w:rsid w:val="0038798E"/>
    <w:rsid w:val="003879A9"/>
    <w:rsid w:val="00387A09"/>
    <w:rsid w:val="00387B5D"/>
    <w:rsid w:val="00387D4F"/>
    <w:rsid w:val="00387E13"/>
    <w:rsid w:val="00387E68"/>
    <w:rsid w:val="00387F6E"/>
    <w:rsid w:val="00387FCC"/>
    <w:rsid w:val="00387FDF"/>
    <w:rsid w:val="0039023F"/>
    <w:rsid w:val="0039058E"/>
    <w:rsid w:val="0039082A"/>
    <w:rsid w:val="00390A0B"/>
    <w:rsid w:val="00390C97"/>
    <w:rsid w:val="00391078"/>
    <w:rsid w:val="00391266"/>
    <w:rsid w:val="00391694"/>
    <w:rsid w:val="003916D6"/>
    <w:rsid w:val="00391838"/>
    <w:rsid w:val="00391C97"/>
    <w:rsid w:val="00391F0B"/>
    <w:rsid w:val="003920DF"/>
    <w:rsid w:val="003921E6"/>
    <w:rsid w:val="00392D33"/>
    <w:rsid w:val="0039319E"/>
    <w:rsid w:val="0039357C"/>
    <w:rsid w:val="003935F2"/>
    <w:rsid w:val="0039360A"/>
    <w:rsid w:val="0039378C"/>
    <w:rsid w:val="00393856"/>
    <w:rsid w:val="00393A49"/>
    <w:rsid w:val="00393B4A"/>
    <w:rsid w:val="00393E08"/>
    <w:rsid w:val="00393E9F"/>
    <w:rsid w:val="00393F52"/>
    <w:rsid w:val="0039418A"/>
    <w:rsid w:val="0039433E"/>
    <w:rsid w:val="00394361"/>
    <w:rsid w:val="0039437B"/>
    <w:rsid w:val="00394411"/>
    <w:rsid w:val="00394471"/>
    <w:rsid w:val="0039454A"/>
    <w:rsid w:val="0039463D"/>
    <w:rsid w:val="003948E5"/>
    <w:rsid w:val="0039492B"/>
    <w:rsid w:val="003949CD"/>
    <w:rsid w:val="00394B64"/>
    <w:rsid w:val="00394D58"/>
    <w:rsid w:val="00394F93"/>
    <w:rsid w:val="0039503A"/>
    <w:rsid w:val="003951BC"/>
    <w:rsid w:val="00395283"/>
    <w:rsid w:val="0039554C"/>
    <w:rsid w:val="00395605"/>
    <w:rsid w:val="0039568E"/>
    <w:rsid w:val="00395D40"/>
    <w:rsid w:val="00395F76"/>
    <w:rsid w:val="00395F90"/>
    <w:rsid w:val="00396169"/>
    <w:rsid w:val="0039632C"/>
    <w:rsid w:val="00396711"/>
    <w:rsid w:val="00396873"/>
    <w:rsid w:val="0039696B"/>
    <w:rsid w:val="0039698A"/>
    <w:rsid w:val="00396A52"/>
    <w:rsid w:val="00396DA6"/>
    <w:rsid w:val="0039748A"/>
    <w:rsid w:val="00397543"/>
    <w:rsid w:val="003978F4"/>
    <w:rsid w:val="0039798D"/>
    <w:rsid w:val="00397A34"/>
    <w:rsid w:val="00397B5D"/>
    <w:rsid w:val="00397BD1"/>
    <w:rsid w:val="00397D8C"/>
    <w:rsid w:val="00397FA5"/>
    <w:rsid w:val="003A022B"/>
    <w:rsid w:val="003A054E"/>
    <w:rsid w:val="003A059B"/>
    <w:rsid w:val="003A07E5"/>
    <w:rsid w:val="003A08D2"/>
    <w:rsid w:val="003A09A3"/>
    <w:rsid w:val="003A0C09"/>
    <w:rsid w:val="003A0F35"/>
    <w:rsid w:val="003A0F51"/>
    <w:rsid w:val="003A1162"/>
    <w:rsid w:val="003A1280"/>
    <w:rsid w:val="003A1470"/>
    <w:rsid w:val="003A1668"/>
    <w:rsid w:val="003A16D5"/>
    <w:rsid w:val="003A19B6"/>
    <w:rsid w:val="003A1A30"/>
    <w:rsid w:val="003A1F54"/>
    <w:rsid w:val="003A2077"/>
    <w:rsid w:val="003A20B5"/>
    <w:rsid w:val="003A2128"/>
    <w:rsid w:val="003A24E4"/>
    <w:rsid w:val="003A25F3"/>
    <w:rsid w:val="003A2817"/>
    <w:rsid w:val="003A282A"/>
    <w:rsid w:val="003A2927"/>
    <w:rsid w:val="003A2B14"/>
    <w:rsid w:val="003A2C5F"/>
    <w:rsid w:val="003A2CA3"/>
    <w:rsid w:val="003A2E32"/>
    <w:rsid w:val="003A2EBE"/>
    <w:rsid w:val="003A2F8F"/>
    <w:rsid w:val="003A2FC3"/>
    <w:rsid w:val="003A308D"/>
    <w:rsid w:val="003A35A5"/>
    <w:rsid w:val="003A377B"/>
    <w:rsid w:val="003A39AC"/>
    <w:rsid w:val="003A4032"/>
    <w:rsid w:val="003A4250"/>
    <w:rsid w:val="003A431C"/>
    <w:rsid w:val="003A46CD"/>
    <w:rsid w:val="003A4760"/>
    <w:rsid w:val="003A4819"/>
    <w:rsid w:val="003A49C1"/>
    <w:rsid w:val="003A4A4B"/>
    <w:rsid w:val="003A4A56"/>
    <w:rsid w:val="003A4A93"/>
    <w:rsid w:val="003A4BFF"/>
    <w:rsid w:val="003A4C79"/>
    <w:rsid w:val="003A4D70"/>
    <w:rsid w:val="003A50A1"/>
    <w:rsid w:val="003A51A9"/>
    <w:rsid w:val="003A536A"/>
    <w:rsid w:val="003A5505"/>
    <w:rsid w:val="003A5658"/>
    <w:rsid w:val="003A5732"/>
    <w:rsid w:val="003A57D2"/>
    <w:rsid w:val="003A5835"/>
    <w:rsid w:val="003A5987"/>
    <w:rsid w:val="003A59C7"/>
    <w:rsid w:val="003A5E20"/>
    <w:rsid w:val="003A5FCD"/>
    <w:rsid w:val="003A6607"/>
    <w:rsid w:val="003A66AD"/>
    <w:rsid w:val="003A6752"/>
    <w:rsid w:val="003A67DC"/>
    <w:rsid w:val="003A6992"/>
    <w:rsid w:val="003A6C09"/>
    <w:rsid w:val="003A6E53"/>
    <w:rsid w:val="003A705B"/>
    <w:rsid w:val="003A70DF"/>
    <w:rsid w:val="003A71B6"/>
    <w:rsid w:val="003A7379"/>
    <w:rsid w:val="003A73C7"/>
    <w:rsid w:val="003A745A"/>
    <w:rsid w:val="003A7D40"/>
    <w:rsid w:val="003A7E2C"/>
    <w:rsid w:val="003A7E5A"/>
    <w:rsid w:val="003A7EB5"/>
    <w:rsid w:val="003B010C"/>
    <w:rsid w:val="003B0458"/>
    <w:rsid w:val="003B04CE"/>
    <w:rsid w:val="003B074C"/>
    <w:rsid w:val="003B0960"/>
    <w:rsid w:val="003B0D7A"/>
    <w:rsid w:val="003B0D8A"/>
    <w:rsid w:val="003B107E"/>
    <w:rsid w:val="003B11A2"/>
    <w:rsid w:val="003B12CC"/>
    <w:rsid w:val="003B13AA"/>
    <w:rsid w:val="003B151D"/>
    <w:rsid w:val="003B1525"/>
    <w:rsid w:val="003B153F"/>
    <w:rsid w:val="003B15C9"/>
    <w:rsid w:val="003B15FC"/>
    <w:rsid w:val="003B1925"/>
    <w:rsid w:val="003B1A56"/>
    <w:rsid w:val="003B1B4E"/>
    <w:rsid w:val="003B1DC4"/>
    <w:rsid w:val="003B204E"/>
    <w:rsid w:val="003B224D"/>
    <w:rsid w:val="003B25E0"/>
    <w:rsid w:val="003B3034"/>
    <w:rsid w:val="003B3154"/>
    <w:rsid w:val="003B31AF"/>
    <w:rsid w:val="003B32B0"/>
    <w:rsid w:val="003B3318"/>
    <w:rsid w:val="003B3320"/>
    <w:rsid w:val="003B3385"/>
    <w:rsid w:val="003B345E"/>
    <w:rsid w:val="003B37FA"/>
    <w:rsid w:val="003B3812"/>
    <w:rsid w:val="003B38BA"/>
    <w:rsid w:val="003B38FC"/>
    <w:rsid w:val="003B395B"/>
    <w:rsid w:val="003B398A"/>
    <w:rsid w:val="003B39B9"/>
    <w:rsid w:val="003B39CC"/>
    <w:rsid w:val="003B3B32"/>
    <w:rsid w:val="003B3B37"/>
    <w:rsid w:val="003B3C21"/>
    <w:rsid w:val="003B3E10"/>
    <w:rsid w:val="003B4003"/>
    <w:rsid w:val="003B40C9"/>
    <w:rsid w:val="003B4114"/>
    <w:rsid w:val="003B468B"/>
    <w:rsid w:val="003B4D68"/>
    <w:rsid w:val="003B4E61"/>
    <w:rsid w:val="003B52AA"/>
    <w:rsid w:val="003B532F"/>
    <w:rsid w:val="003B536F"/>
    <w:rsid w:val="003B5396"/>
    <w:rsid w:val="003B5398"/>
    <w:rsid w:val="003B5514"/>
    <w:rsid w:val="003B574F"/>
    <w:rsid w:val="003B5888"/>
    <w:rsid w:val="003B5AD6"/>
    <w:rsid w:val="003B5BBD"/>
    <w:rsid w:val="003B5BCA"/>
    <w:rsid w:val="003B5C55"/>
    <w:rsid w:val="003B5D00"/>
    <w:rsid w:val="003B5E35"/>
    <w:rsid w:val="003B5E9B"/>
    <w:rsid w:val="003B5FDB"/>
    <w:rsid w:val="003B5FE0"/>
    <w:rsid w:val="003B6009"/>
    <w:rsid w:val="003B61A9"/>
    <w:rsid w:val="003B61B6"/>
    <w:rsid w:val="003B621C"/>
    <w:rsid w:val="003B6512"/>
    <w:rsid w:val="003B6543"/>
    <w:rsid w:val="003B6672"/>
    <w:rsid w:val="003B673B"/>
    <w:rsid w:val="003B67CB"/>
    <w:rsid w:val="003B6B24"/>
    <w:rsid w:val="003B6B96"/>
    <w:rsid w:val="003B6D86"/>
    <w:rsid w:val="003B6E5D"/>
    <w:rsid w:val="003B6FE3"/>
    <w:rsid w:val="003B702F"/>
    <w:rsid w:val="003B72C0"/>
    <w:rsid w:val="003B741E"/>
    <w:rsid w:val="003B75AE"/>
    <w:rsid w:val="003B7710"/>
    <w:rsid w:val="003B7718"/>
    <w:rsid w:val="003B7752"/>
    <w:rsid w:val="003B776F"/>
    <w:rsid w:val="003B7808"/>
    <w:rsid w:val="003B79E0"/>
    <w:rsid w:val="003B7A98"/>
    <w:rsid w:val="003B7C59"/>
    <w:rsid w:val="003B7C5E"/>
    <w:rsid w:val="003B7CE9"/>
    <w:rsid w:val="003B7D46"/>
    <w:rsid w:val="003B7E56"/>
    <w:rsid w:val="003B7EFC"/>
    <w:rsid w:val="003B7F14"/>
    <w:rsid w:val="003B7F18"/>
    <w:rsid w:val="003C0475"/>
    <w:rsid w:val="003C0686"/>
    <w:rsid w:val="003C08F5"/>
    <w:rsid w:val="003C0A6E"/>
    <w:rsid w:val="003C0A7F"/>
    <w:rsid w:val="003C0B8B"/>
    <w:rsid w:val="003C0DA7"/>
    <w:rsid w:val="003C0ECE"/>
    <w:rsid w:val="003C0ED1"/>
    <w:rsid w:val="003C1050"/>
    <w:rsid w:val="003C1140"/>
    <w:rsid w:val="003C156D"/>
    <w:rsid w:val="003C1607"/>
    <w:rsid w:val="003C162A"/>
    <w:rsid w:val="003C170D"/>
    <w:rsid w:val="003C179C"/>
    <w:rsid w:val="003C17F2"/>
    <w:rsid w:val="003C1964"/>
    <w:rsid w:val="003C1C09"/>
    <w:rsid w:val="003C1E79"/>
    <w:rsid w:val="003C1E9A"/>
    <w:rsid w:val="003C1E9B"/>
    <w:rsid w:val="003C1F08"/>
    <w:rsid w:val="003C1FFC"/>
    <w:rsid w:val="003C21D3"/>
    <w:rsid w:val="003C220B"/>
    <w:rsid w:val="003C226D"/>
    <w:rsid w:val="003C237D"/>
    <w:rsid w:val="003C29F5"/>
    <w:rsid w:val="003C2C8F"/>
    <w:rsid w:val="003C2E19"/>
    <w:rsid w:val="003C30C6"/>
    <w:rsid w:val="003C3713"/>
    <w:rsid w:val="003C3834"/>
    <w:rsid w:val="003C3ADC"/>
    <w:rsid w:val="003C3B93"/>
    <w:rsid w:val="003C3C88"/>
    <w:rsid w:val="003C3D5A"/>
    <w:rsid w:val="003C3EEB"/>
    <w:rsid w:val="003C4054"/>
    <w:rsid w:val="003C420E"/>
    <w:rsid w:val="003C462B"/>
    <w:rsid w:val="003C4772"/>
    <w:rsid w:val="003C4953"/>
    <w:rsid w:val="003C49A2"/>
    <w:rsid w:val="003C49AB"/>
    <w:rsid w:val="003C49EA"/>
    <w:rsid w:val="003C4C86"/>
    <w:rsid w:val="003C4C95"/>
    <w:rsid w:val="003C4D0F"/>
    <w:rsid w:val="003C4DBA"/>
    <w:rsid w:val="003C4E1A"/>
    <w:rsid w:val="003C5048"/>
    <w:rsid w:val="003C50CF"/>
    <w:rsid w:val="003C5143"/>
    <w:rsid w:val="003C5174"/>
    <w:rsid w:val="003C5284"/>
    <w:rsid w:val="003C548F"/>
    <w:rsid w:val="003C5567"/>
    <w:rsid w:val="003C55CA"/>
    <w:rsid w:val="003C5D53"/>
    <w:rsid w:val="003C5DC2"/>
    <w:rsid w:val="003C5F54"/>
    <w:rsid w:val="003C5FD2"/>
    <w:rsid w:val="003C6438"/>
    <w:rsid w:val="003C6766"/>
    <w:rsid w:val="003C6A00"/>
    <w:rsid w:val="003C6D6C"/>
    <w:rsid w:val="003C6F6E"/>
    <w:rsid w:val="003C706A"/>
    <w:rsid w:val="003C7393"/>
    <w:rsid w:val="003C7413"/>
    <w:rsid w:val="003C74E7"/>
    <w:rsid w:val="003C74F3"/>
    <w:rsid w:val="003C78FB"/>
    <w:rsid w:val="003C7971"/>
    <w:rsid w:val="003C7B93"/>
    <w:rsid w:val="003C7C40"/>
    <w:rsid w:val="003C7CDF"/>
    <w:rsid w:val="003C7E17"/>
    <w:rsid w:val="003D01D9"/>
    <w:rsid w:val="003D02EC"/>
    <w:rsid w:val="003D03BD"/>
    <w:rsid w:val="003D066D"/>
    <w:rsid w:val="003D0964"/>
    <w:rsid w:val="003D0BA1"/>
    <w:rsid w:val="003D0BAA"/>
    <w:rsid w:val="003D0C59"/>
    <w:rsid w:val="003D0C75"/>
    <w:rsid w:val="003D0CAA"/>
    <w:rsid w:val="003D0CDB"/>
    <w:rsid w:val="003D0CF0"/>
    <w:rsid w:val="003D0D1E"/>
    <w:rsid w:val="003D0D89"/>
    <w:rsid w:val="003D12EA"/>
    <w:rsid w:val="003D163F"/>
    <w:rsid w:val="003D16BB"/>
    <w:rsid w:val="003D1C9E"/>
    <w:rsid w:val="003D1F8E"/>
    <w:rsid w:val="003D1FA0"/>
    <w:rsid w:val="003D1FE4"/>
    <w:rsid w:val="003D2033"/>
    <w:rsid w:val="003D2125"/>
    <w:rsid w:val="003D22F1"/>
    <w:rsid w:val="003D23D0"/>
    <w:rsid w:val="003D248E"/>
    <w:rsid w:val="003D29B7"/>
    <w:rsid w:val="003D2A05"/>
    <w:rsid w:val="003D2CB7"/>
    <w:rsid w:val="003D2E8B"/>
    <w:rsid w:val="003D2EDF"/>
    <w:rsid w:val="003D3057"/>
    <w:rsid w:val="003D3319"/>
    <w:rsid w:val="003D33A2"/>
    <w:rsid w:val="003D35F8"/>
    <w:rsid w:val="003D3691"/>
    <w:rsid w:val="003D371F"/>
    <w:rsid w:val="003D3C02"/>
    <w:rsid w:val="003D3C55"/>
    <w:rsid w:val="003D3DDD"/>
    <w:rsid w:val="003D449E"/>
    <w:rsid w:val="003D44CB"/>
    <w:rsid w:val="003D46D7"/>
    <w:rsid w:val="003D487A"/>
    <w:rsid w:val="003D4A2F"/>
    <w:rsid w:val="003D4A67"/>
    <w:rsid w:val="003D4AF6"/>
    <w:rsid w:val="003D4CEC"/>
    <w:rsid w:val="003D4E60"/>
    <w:rsid w:val="003D4F7F"/>
    <w:rsid w:val="003D50AF"/>
    <w:rsid w:val="003D5459"/>
    <w:rsid w:val="003D554F"/>
    <w:rsid w:val="003D5BC0"/>
    <w:rsid w:val="003D5DCB"/>
    <w:rsid w:val="003D5DF6"/>
    <w:rsid w:val="003D62A8"/>
    <w:rsid w:val="003D63A6"/>
    <w:rsid w:val="003D63DC"/>
    <w:rsid w:val="003D672B"/>
    <w:rsid w:val="003D6766"/>
    <w:rsid w:val="003D67A0"/>
    <w:rsid w:val="003D69DF"/>
    <w:rsid w:val="003D6B4A"/>
    <w:rsid w:val="003D6C0D"/>
    <w:rsid w:val="003D6D42"/>
    <w:rsid w:val="003D7059"/>
    <w:rsid w:val="003D7167"/>
    <w:rsid w:val="003D727A"/>
    <w:rsid w:val="003D727B"/>
    <w:rsid w:val="003D7400"/>
    <w:rsid w:val="003D74CB"/>
    <w:rsid w:val="003D751E"/>
    <w:rsid w:val="003D7580"/>
    <w:rsid w:val="003D75B0"/>
    <w:rsid w:val="003D75C8"/>
    <w:rsid w:val="003D7695"/>
    <w:rsid w:val="003D79C5"/>
    <w:rsid w:val="003D79C7"/>
    <w:rsid w:val="003D79E4"/>
    <w:rsid w:val="003D7CF3"/>
    <w:rsid w:val="003E0159"/>
    <w:rsid w:val="003E0266"/>
    <w:rsid w:val="003E0468"/>
    <w:rsid w:val="003E06BB"/>
    <w:rsid w:val="003E072C"/>
    <w:rsid w:val="003E097D"/>
    <w:rsid w:val="003E09B4"/>
    <w:rsid w:val="003E09D5"/>
    <w:rsid w:val="003E0BB7"/>
    <w:rsid w:val="003E0BC2"/>
    <w:rsid w:val="003E0CD2"/>
    <w:rsid w:val="003E0ECB"/>
    <w:rsid w:val="003E1115"/>
    <w:rsid w:val="003E11FD"/>
    <w:rsid w:val="003E12DF"/>
    <w:rsid w:val="003E13F8"/>
    <w:rsid w:val="003E1463"/>
    <w:rsid w:val="003E18B6"/>
    <w:rsid w:val="003E1A8B"/>
    <w:rsid w:val="003E1ACA"/>
    <w:rsid w:val="003E224C"/>
    <w:rsid w:val="003E260A"/>
    <w:rsid w:val="003E272D"/>
    <w:rsid w:val="003E2861"/>
    <w:rsid w:val="003E28C5"/>
    <w:rsid w:val="003E2B25"/>
    <w:rsid w:val="003E2D43"/>
    <w:rsid w:val="003E2F3C"/>
    <w:rsid w:val="003E2FDB"/>
    <w:rsid w:val="003E3157"/>
    <w:rsid w:val="003E34E4"/>
    <w:rsid w:val="003E37EE"/>
    <w:rsid w:val="003E38F6"/>
    <w:rsid w:val="003E3A13"/>
    <w:rsid w:val="003E3A80"/>
    <w:rsid w:val="003E3EBC"/>
    <w:rsid w:val="003E4031"/>
    <w:rsid w:val="003E42B5"/>
    <w:rsid w:val="003E43BD"/>
    <w:rsid w:val="003E46C5"/>
    <w:rsid w:val="003E4886"/>
    <w:rsid w:val="003E4A02"/>
    <w:rsid w:val="003E4B18"/>
    <w:rsid w:val="003E4D9B"/>
    <w:rsid w:val="003E4DB3"/>
    <w:rsid w:val="003E4E9C"/>
    <w:rsid w:val="003E4E9D"/>
    <w:rsid w:val="003E4ED1"/>
    <w:rsid w:val="003E4F82"/>
    <w:rsid w:val="003E5056"/>
    <w:rsid w:val="003E5144"/>
    <w:rsid w:val="003E5211"/>
    <w:rsid w:val="003E5485"/>
    <w:rsid w:val="003E54D5"/>
    <w:rsid w:val="003E56B7"/>
    <w:rsid w:val="003E5ACA"/>
    <w:rsid w:val="003E5ADA"/>
    <w:rsid w:val="003E5E33"/>
    <w:rsid w:val="003E5FF3"/>
    <w:rsid w:val="003E607D"/>
    <w:rsid w:val="003E609E"/>
    <w:rsid w:val="003E65DC"/>
    <w:rsid w:val="003E65EE"/>
    <w:rsid w:val="003E66E4"/>
    <w:rsid w:val="003E6727"/>
    <w:rsid w:val="003E68A5"/>
    <w:rsid w:val="003E6925"/>
    <w:rsid w:val="003E6993"/>
    <w:rsid w:val="003E69D9"/>
    <w:rsid w:val="003E6B5B"/>
    <w:rsid w:val="003E6B7A"/>
    <w:rsid w:val="003E6C0A"/>
    <w:rsid w:val="003E6CDC"/>
    <w:rsid w:val="003E6E3E"/>
    <w:rsid w:val="003E71FF"/>
    <w:rsid w:val="003E7209"/>
    <w:rsid w:val="003E7400"/>
    <w:rsid w:val="003E774F"/>
    <w:rsid w:val="003E797B"/>
    <w:rsid w:val="003E7A91"/>
    <w:rsid w:val="003E7D59"/>
    <w:rsid w:val="003E7E2D"/>
    <w:rsid w:val="003E7FE6"/>
    <w:rsid w:val="003F006E"/>
    <w:rsid w:val="003F00E2"/>
    <w:rsid w:val="003F06EE"/>
    <w:rsid w:val="003F06FB"/>
    <w:rsid w:val="003F0963"/>
    <w:rsid w:val="003F0B6B"/>
    <w:rsid w:val="003F0BDC"/>
    <w:rsid w:val="003F0C15"/>
    <w:rsid w:val="003F0D09"/>
    <w:rsid w:val="003F0DDD"/>
    <w:rsid w:val="003F0DE7"/>
    <w:rsid w:val="003F0EC5"/>
    <w:rsid w:val="003F1009"/>
    <w:rsid w:val="003F1012"/>
    <w:rsid w:val="003F118B"/>
    <w:rsid w:val="003F127C"/>
    <w:rsid w:val="003F13C0"/>
    <w:rsid w:val="003F1496"/>
    <w:rsid w:val="003F14C3"/>
    <w:rsid w:val="003F1531"/>
    <w:rsid w:val="003F1573"/>
    <w:rsid w:val="003F178F"/>
    <w:rsid w:val="003F179B"/>
    <w:rsid w:val="003F1BF5"/>
    <w:rsid w:val="003F1C3B"/>
    <w:rsid w:val="003F1CA3"/>
    <w:rsid w:val="003F1CC6"/>
    <w:rsid w:val="003F1FAD"/>
    <w:rsid w:val="003F1FCE"/>
    <w:rsid w:val="003F2479"/>
    <w:rsid w:val="003F26CA"/>
    <w:rsid w:val="003F27C5"/>
    <w:rsid w:val="003F2B64"/>
    <w:rsid w:val="003F2BF9"/>
    <w:rsid w:val="003F3114"/>
    <w:rsid w:val="003F317C"/>
    <w:rsid w:val="003F33D3"/>
    <w:rsid w:val="003F354D"/>
    <w:rsid w:val="003F3634"/>
    <w:rsid w:val="003F3889"/>
    <w:rsid w:val="003F3904"/>
    <w:rsid w:val="003F3A8F"/>
    <w:rsid w:val="003F3B7B"/>
    <w:rsid w:val="003F3D89"/>
    <w:rsid w:val="003F3D9C"/>
    <w:rsid w:val="003F40FB"/>
    <w:rsid w:val="003F4286"/>
    <w:rsid w:val="003F4620"/>
    <w:rsid w:val="003F482C"/>
    <w:rsid w:val="003F4862"/>
    <w:rsid w:val="003F488A"/>
    <w:rsid w:val="003F4961"/>
    <w:rsid w:val="003F4B3A"/>
    <w:rsid w:val="003F4C5E"/>
    <w:rsid w:val="003F4D83"/>
    <w:rsid w:val="003F5003"/>
    <w:rsid w:val="003F5176"/>
    <w:rsid w:val="003F5440"/>
    <w:rsid w:val="003F57DE"/>
    <w:rsid w:val="003F59A9"/>
    <w:rsid w:val="003F5AD8"/>
    <w:rsid w:val="003F5BCA"/>
    <w:rsid w:val="003F6069"/>
    <w:rsid w:val="003F65F3"/>
    <w:rsid w:val="003F6AB6"/>
    <w:rsid w:val="003F6ECF"/>
    <w:rsid w:val="003F6EFA"/>
    <w:rsid w:val="003F71DE"/>
    <w:rsid w:val="003F7447"/>
    <w:rsid w:val="003F74B1"/>
    <w:rsid w:val="003F771C"/>
    <w:rsid w:val="003F794E"/>
    <w:rsid w:val="003F79A0"/>
    <w:rsid w:val="003F7ABE"/>
    <w:rsid w:val="003F7C1E"/>
    <w:rsid w:val="00400098"/>
    <w:rsid w:val="004001C1"/>
    <w:rsid w:val="004001C9"/>
    <w:rsid w:val="0040024D"/>
    <w:rsid w:val="00400264"/>
    <w:rsid w:val="00400389"/>
    <w:rsid w:val="004006DE"/>
    <w:rsid w:val="004009FF"/>
    <w:rsid w:val="00400BC3"/>
    <w:rsid w:val="00400CF2"/>
    <w:rsid w:val="004011F4"/>
    <w:rsid w:val="0040139E"/>
    <w:rsid w:val="004015E2"/>
    <w:rsid w:val="00401705"/>
    <w:rsid w:val="00401747"/>
    <w:rsid w:val="0040193F"/>
    <w:rsid w:val="00401A58"/>
    <w:rsid w:val="00401D79"/>
    <w:rsid w:val="00401E48"/>
    <w:rsid w:val="00401EDC"/>
    <w:rsid w:val="00401F97"/>
    <w:rsid w:val="00402034"/>
    <w:rsid w:val="0040254B"/>
    <w:rsid w:val="0040271E"/>
    <w:rsid w:val="004027FA"/>
    <w:rsid w:val="00402864"/>
    <w:rsid w:val="00402945"/>
    <w:rsid w:val="00402B29"/>
    <w:rsid w:val="00402B9A"/>
    <w:rsid w:val="00402C02"/>
    <w:rsid w:val="00402CEB"/>
    <w:rsid w:val="00402CF5"/>
    <w:rsid w:val="00402D9E"/>
    <w:rsid w:val="00402DFE"/>
    <w:rsid w:val="00402E65"/>
    <w:rsid w:val="00403121"/>
    <w:rsid w:val="004036F6"/>
    <w:rsid w:val="0040376C"/>
    <w:rsid w:val="004037E2"/>
    <w:rsid w:val="00403E07"/>
    <w:rsid w:val="00403F7F"/>
    <w:rsid w:val="00404215"/>
    <w:rsid w:val="0040421F"/>
    <w:rsid w:val="00404289"/>
    <w:rsid w:val="0040428C"/>
    <w:rsid w:val="00404382"/>
    <w:rsid w:val="004046E6"/>
    <w:rsid w:val="0040470D"/>
    <w:rsid w:val="00404A28"/>
    <w:rsid w:val="00404C1C"/>
    <w:rsid w:val="00404CB6"/>
    <w:rsid w:val="00404CE0"/>
    <w:rsid w:val="00404DED"/>
    <w:rsid w:val="00404FC3"/>
    <w:rsid w:val="00405302"/>
    <w:rsid w:val="0040532D"/>
    <w:rsid w:val="00405356"/>
    <w:rsid w:val="00405588"/>
    <w:rsid w:val="00405A7A"/>
    <w:rsid w:val="00405BC8"/>
    <w:rsid w:val="00405C1D"/>
    <w:rsid w:val="004063FE"/>
    <w:rsid w:val="0040653A"/>
    <w:rsid w:val="00406900"/>
    <w:rsid w:val="00406C01"/>
    <w:rsid w:val="00406D6D"/>
    <w:rsid w:val="00406DF8"/>
    <w:rsid w:val="00406E52"/>
    <w:rsid w:val="00406EE8"/>
    <w:rsid w:val="00406F97"/>
    <w:rsid w:val="004070BD"/>
    <w:rsid w:val="0040717E"/>
    <w:rsid w:val="00407229"/>
    <w:rsid w:val="0040736A"/>
    <w:rsid w:val="004073FB"/>
    <w:rsid w:val="0040748B"/>
    <w:rsid w:val="00407565"/>
    <w:rsid w:val="004075E5"/>
    <w:rsid w:val="00407800"/>
    <w:rsid w:val="0040786B"/>
    <w:rsid w:val="00407A5B"/>
    <w:rsid w:val="00407E97"/>
    <w:rsid w:val="00407F28"/>
    <w:rsid w:val="00407FD5"/>
    <w:rsid w:val="0041020E"/>
    <w:rsid w:val="004105ED"/>
    <w:rsid w:val="00410914"/>
    <w:rsid w:val="00410A5D"/>
    <w:rsid w:val="00410DBF"/>
    <w:rsid w:val="00410E98"/>
    <w:rsid w:val="00410EB7"/>
    <w:rsid w:val="00410F46"/>
    <w:rsid w:val="00410F50"/>
    <w:rsid w:val="00411296"/>
    <w:rsid w:val="00411428"/>
    <w:rsid w:val="004114E3"/>
    <w:rsid w:val="004116F9"/>
    <w:rsid w:val="00411BBD"/>
    <w:rsid w:val="00411EA7"/>
    <w:rsid w:val="00411F19"/>
    <w:rsid w:val="00411F95"/>
    <w:rsid w:val="00411FEF"/>
    <w:rsid w:val="004122D2"/>
    <w:rsid w:val="0041238D"/>
    <w:rsid w:val="00412620"/>
    <w:rsid w:val="00412658"/>
    <w:rsid w:val="0041295F"/>
    <w:rsid w:val="004129A4"/>
    <w:rsid w:val="00412D06"/>
    <w:rsid w:val="00412D9A"/>
    <w:rsid w:val="00412E33"/>
    <w:rsid w:val="00412E78"/>
    <w:rsid w:val="0041308F"/>
    <w:rsid w:val="004130BE"/>
    <w:rsid w:val="004131B1"/>
    <w:rsid w:val="0041355F"/>
    <w:rsid w:val="00413686"/>
    <w:rsid w:val="00413871"/>
    <w:rsid w:val="00413D01"/>
    <w:rsid w:val="00413DB6"/>
    <w:rsid w:val="00413FBB"/>
    <w:rsid w:val="00414056"/>
    <w:rsid w:val="004140B5"/>
    <w:rsid w:val="00414177"/>
    <w:rsid w:val="00414180"/>
    <w:rsid w:val="00414429"/>
    <w:rsid w:val="004144BF"/>
    <w:rsid w:val="0041476D"/>
    <w:rsid w:val="00414922"/>
    <w:rsid w:val="004149BC"/>
    <w:rsid w:val="00414A45"/>
    <w:rsid w:val="00414D71"/>
    <w:rsid w:val="00414FB6"/>
    <w:rsid w:val="00415018"/>
    <w:rsid w:val="0041501F"/>
    <w:rsid w:val="00415073"/>
    <w:rsid w:val="00415387"/>
    <w:rsid w:val="00415428"/>
    <w:rsid w:val="0041549A"/>
    <w:rsid w:val="004157EA"/>
    <w:rsid w:val="00415B13"/>
    <w:rsid w:val="00415D1E"/>
    <w:rsid w:val="00415D25"/>
    <w:rsid w:val="00415DC3"/>
    <w:rsid w:val="00415E06"/>
    <w:rsid w:val="00415F24"/>
    <w:rsid w:val="00415FE5"/>
    <w:rsid w:val="004160AD"/>
    <w:rsid w:val="0041626A"/>
    <w:rsid w:val="00416486"/>
    <w:rsid w:val="00416496"/>
    <w:rsid w:val="00416557"/>
    <w:rsid w:val="004166B6"/>
    <w:rsid w:val="0041671F"/>
    <w:rsid w:val="00416818"/>
    <w:rsid w:val="00416882"/>
    <w:rsid w:val="00416A1E"/>
    <w:rsid w:val="00416AD3"/>
    <w:rsid w:val="00416CE7"/>
    <w:rsid w:val="00416D42"/>
    <w:rsid w:val="00417074"/>
    <w:rsid w:val="004171B2"/>
    <w:rsid w:val="00417203"/>
    <w:rsid w:val="00417233"/>
    <w:rsid w:val="004172BA"/>
    <w:rsid w:val="00417550"/>
    <w:rsid w:val="00417618"/>
    <w:rsid w:val="0041781F"/>
    <w:rsid w:val="0041791F"/>
    <w:rsid w:val="00417979"/>
    <w:rsid w:val="00417B37"/>
    <w:rsid w:val="00417B46"/>
    <w:rsid w:val="00417D6F"/>
    <w:rsid w:val="00417F56"/>
    <w:rsid w:val="0042001A"/>
    <w:rsid w:val="00420108"/>
    <w:rsid w:val="004202AA"/>
    <w:rsid w:val="00420A8E"/>
    <w:rsid w:val="00420E26"/>
    <w:rsid w:val="00420E65"/>
    <w:rsid w:val="00420F35"/>
    <w:rsid w:val="0042107D"/>
    <w:rsid w:val="004212D9"/>
    <w:rsid w:val="004213F9"/>
    <w:rsid w:val="00421497"/>
    <w:rsid w:val="00421548"/>
    <w:rsid w:val="004216D4"/>
    <w:rsid w:val="0042182F"/>
    <w:rsid w:val="00421924"/>
    <w:rsid w:val="0042192E"/>
    <w:rsid w:val="004219A6"/>
    <w:rsid w:val="00421A35"/>
    <w:rsid w:val="00421BC4"/>
    <w:rsid w:val="00421BE0"/>
    <w:rsid w:val="00421DE4"/>
    <w:rsid w:val="00421E16"/>
    <w:rsid w:val="00421EAC"/>
    <w:rsid w:val="00422007"/>
    <w:rsid w:val="0042223D"/>
    <w:rsid w:val="00422285"/>
    <w:rsid w:val="00422549"/>
    <w:rsid w:val="0042261E"/>
    <w:rsid w:val="004229F1"/>
    <w:rsid w:val="00422A69"/>
    <w:rsid w:val="00422ACA"/>
    <w:rsid w:val="00422D13"/>
    <w:rsid w:val="00423377"/>
    <w:rsid w:val="0042351D"/>
    <w:rsid w:val="0042358E"/>
    <w:rsid w:val="00423881"/>
    <w:rsid w:val="00423AE6"/>
    <w:rsid w:val="00423B48"/>
    <w:rsid w:val="00423B91"/>
    <w:rsid w:val="00423C15"/>
    <w:rsid w:val="00423EF2"/>
    <w:rsid w:val="00423F29"/>
    <w:rsid w:val="00424013"/>
    <w:rsid w:val="00424249"/>
    <w:rsid w:val="0042436B"/>
    <w:rsid w:val="00424400"/>
    <w:rsid w:val="0042443A"/>
    <w:rsid w:val="0042478D"/>
    <w:rsid w:val="0042490F"/>
    <w:rsid w:val="00424915"/>
    <w:rsid w:val="00424FA0"/>
    <w:rsid w:val="00425068"/>
    <w:rsid w:val="0042522B"/>
    <w:rsid w:val="00425299"/>
    <w:rsid w:val="00425322"/>
    <w:rsid w:val="00425334"/>
    <w:rsid w:val="00425411"/>
    <w:rsid w:val="004254F4"/>
    <w:rsid w:val="00425865"/>
    <w:rsid w:val="00425CCC"/>
    <w:rsid w:val="00425CD5"/>
    <w:rsid w:val="00426047"/>
    <w:rsid w:val="004260A3"/>
    <w:rsid w:val="0042634F"/>
    <w:rsid w:val="00426493"/>
    <w:rsid w:val="004265A9"/>
    <w:rsid w:val="004266B2"/>
    <w:rsid w:val="00426BA7"/>
    <w:rsid w:val="00426EBD"/>
    <w:rsid w:val="00427411"/>
    <w:rsid w:val="00427680"/>
    <w:rsid w:val="004277A6"/>
    <w:rsid w:val="00427888"/>
    <w:rsid w:val="004279B8"/>
    <w:rsid w:val="00427B25"/>
    <w:rsid w:val="00427BDE"/>
    <w:rsid w:val="00427CE5"/>
    <w:rsid w:val="00427D4B"/>
    <w:rsid w:val="00427F46"/>
    <w:rsid w:val="0043000A"/>
    <w:rsid w:val="00430212"/>
    <w:rsid w:val="004304DC"/>
    <w:rsid w:val="004307C4"/>
    <w:rsid w:val="004307CE"/>
    <w:rsid w:val="0043098C"/>
    <w:rsid w:val="00430C46"/>
    <w:rsid w:val="00430E1E"/>
    <w:rsid w:val="00430F90"/>
    <w:rsid w:val="00430FDF"/>
    <w:rsid w:val="004311A2"/>
    <w:rsid w:val="004311C2"/>
    <w:rsid w:val="00431485"/>
    <w:rsid w:val="004315C5"/>
    <w:rsid w:val="004316DC"/>
    <w:rsid w:val="00431791"/>
    <w:rsid w:val="004318AF"/>
    <w:rsid w:val="00431906"/>
    <w:rsid w:val="00431F9F"/>
    <w:rsid w:val="004320E2"/>
    <w:rsid w:val="00432317"/>
    <w:rsid w:val="00432415"/>
    <w:rsid w:val="00432620"/>
    <w:rsid w:val="00432666"/>
    <w:rsid w:val="0043272A"/>
    <w:rsid w:val="004327B5"/>
    <w:rsid w:val="00432898"/>
    <w:rsid w:val="00432AC9"/>
    <w:rsid w:val="00432AFF"/>
    <w:rsid w:val="00432D5E"/>
    <w:rsid w:val="00432D97"/>
    <w:rsid w:val="00433071"/>
    <w:rsid w:val="00433670"/>
    <w:rsid w:val="0043373D"/>
    <w:rsid w:val="00433927"/>
    <w:rsid w:val="00433BA9"/>
    <w:rsid w:val="00433F6C"/>
    <w:rsid w:val="00434382"/>
    <w:rsid w:val="004343ED"/>
    <w:rsid w:val="0043467F"/>
    <w:rsid w:val="00434AB8"/>
    <w:rsid w:val="00435012"/>
    <w:rsid w:val="0043501B"/>
    <w:rsid w:val="004350B6"/>
    <w:rsid w:val="00435297"/>
    <w:rsid w:val="004352BD"/>
    <w:rsid w:val="0043531B"/>
    <w:rsid w:val="00435A2A"/>
    <w:rsid w:val="00435D0F"/>
    <w:rsid w:val="00435D48"/>
    <w:rsid w:val="00435F8A"/>
    <w:rsid w:val="004360EE"/>
    <w:rsid w:val="00436143"/>
    <w:rsid w:val="0043617C"/>
    <w:rsid w:val="0043639F"/>
    <w:rsid w:val="004363C9"/>
    <w:rsid w:val="00436427"/>
    <w:rsid w:val="004364FB"/>
    <w:rsid w:val="00436616"/>
    <w:rsid w:val="004368CC"/>
    <w:rsid w:val="004368D3"/>
    <w:rsid w:val="00436912"/>
    <w:rsid w:val="00436F84"/>
    <w:rsid w:val="00436FB0"/>
    <w:rsid w:val="00437393"/>
    <w:rsid w:val="004373EC"/>
    <w:rsid w:val="00437639"/>
    <w:rsid w:val="00437795"/>
    <w:rsid w:val="00437A45"/>
    <w:rsid w:val="00437C2E"/>
    <w:rsid w:val="00437CB0"/>
    <w:rsid w:val="00437CF8"/>
    <w:rsid w:val="00437DF2"/>
    <w:rsid w:val="00437E8D"/>
    <w:rsid w:val="00440015"/>
    <w:rsid w:val="0044025C"/>
    <w:rsid w:val="004403E2"/>
    <w:rsid w:val="00440712"/>
    <w:rsid w:val="004407FE"/>
    <w:rsid w:val="00440B85"/>
    <w:rsid w:val="00440B8B"/>
    <w:rsid w:val="00440C99"/>
    <w:rsid w:val="00440D70"/>
    <w:rsid w:val="00440D7E"/>
    <w:rsid w:val="00440E1B"/>
    <w:rsid w:val="004410A7"/>
    <w:rsid w:val="0044111C"/>
    <w:rsid w:val="004411E8"/>
    <w:rsid w:val="004412D5"/>
    <w:rsid w:val="00441587"/>
    <w:rsid w:val="004419D3"/>
    <w:rsid w:val="00441A02"/>
    <w:rsid w:val="00441A04"/>
    <w:rsid w:val="00441A4F"/>
    <w:rsid w:val="00441C90"/>
    <w:rsid w:val="00441D21"/>
    <w:rsid w:val="00441D51"/>
    <w:rsid w:val="004425EB"/>
    <w:rsid w:val="0044292B"/>
    <w:rsid w:val="00442D6C"/>
    <w:rsid w:val="00442FE6"/>
    <w:rsid w:val="004431E7"/>
    <w:rsid w:val="00443302"/>
    <w:rsid w:val="0044337B"/>
    <w:rsid w:val="004436B1"/>
    <w:rsid w:val="004436C7"/>
    <w:rsid w:val="004436C8"/>
    <w:rsid w:val="004436DE"/>
    <w:rsid w:val="0044396A"/>
    <w:rsid w:val="004439A0"/>
    <w:rsid w:val="00443C82"/>
    <w:rsid w:val="00443D62"/>
    <w:rsid w:val="00443DA1"/>
    <w:rsid w:val="00444227"/>
    <w:rsid w:val="00444440"/>
    <w:rsid w:val="00444493"/>
    <w:rsid w:val="004444E9"/>
    <w:rsid w:val="0044479A"/>
    <w:rsid w:val="00444874"/>
    <w:rsid w:val="00444CFC"/>
    <w:rsid w:val="004450D8"/>
    <w:rsid w:val="004458E4"/>
    <w:rsid w:val="00445BAE"/>
    <w:rsid w:val="00445C1D"/>
    <w:rsid w:val="00445D5D"/>
    <w:rsid w:val="00445DED"/>
    <w:rsid w:val="00445EB0"/>
    <w:rsid w:val="00446247"/>
    <w:rsid w:val="004465CD"/>
    <w:rsid w:val="004465F1"/>
    <w:rsid w:val="00446627"/>
    <w:rsid w:val="00446629"/>
    <w:rsid w:val="00446932"/>
    <w:rsid w:val="00446AF7"/>
    <w:rsid w:val="00446D91"/>
    <w:rsid w:val="00446E0C"/>
    <w:rsid w:val="00447190"/>
    <w:rsid w:val="004473AA"/>
    <w:rsid w:val="004474F9"/>
    <w:rsid w:val="00447765"/>
    <w:rsid w:val="00447AF6"/>
    <w:rsid w:val="00447C75"/>
    <w:rsid w:val="00447D9B"/>
    <w:rsid w:val="004501BD"/>
    <w:rsid w:val="004502FF"/>
    <w:rsid w:val="004504C7"/>
    <w:rsid w:val="00450530"/>
    <w:rsid w:val="004505A1"/>
    <w:rsid w:val="004508C5"/>
    <w:rsid w:val="0045092D"/>
    <w:rsid w:val="00450974"/>
    <w:rsid w:val="00450A8E"/>
    <w:rsid w:val="00450B03"/>
    <w:rsid w:val="0045117E"/>
    <w:rsid w:val="00451598"/>
    <w:rsid w:val="0045181C"/>
    <w:rsid w:val="00451A60"/>
    <w:rsid w:val="00451C3C"/>
    <w:rsid w:val="00451ED8"/>
    <w:rsid w:val="00451F74"/>
    <w:rsid w:val="00451FE6"/>
    <w:rsid w:val="004521E5"/>
    <w:rsid w:val="00452347"/>
    <w:rsid w:val="004523E1"/>
    <w:rsid w:val="0045255E"/>
    <w:rsid w:val="004527E6"/>
    <w:rsid w:val="0045298F"/>
    <w:rsid w:val="00452B7B"/>
    <w:rsid w:val="00452EAF"/>
    <w:rsid w:val="00452F26"/>
    <w:rsid w:val="00452F38"/>
    <w:rsid w:val="00452F67"/>
    <w:rsid w:val="0045313C"/>
    <w:rsid w:val="004532CE"/>
    <w:rsid w:val="0045369E"/>
    <w:rsid w:val="004536D3"/>
    <w:rsid w:val="004538AD"/>
    <w:rsid w:val="004538F3"/>
    <w:rsid w:val="00453CEB"/>
    <w:rsid w:val="00453E1B"/>
    <w:rsid w:val="00453E41"/>
    <w:rsid w:val="00453FCD"/>
    <w:rsid w:val="0045402F"/>
    <w:rsid w:val="00454247"/>
    <w:rsid w:val="004547B5"/>
    <w:rsid w:val="00454842"/>
    <w:rsid w:val="00454893"/>
    <w:rsid w:val="004549F4"/>
    <w:rsid w:val="00454A20"/>
    <w:rsid w:val="00454A34"/>
    <w:rsid w:val="00454B79"/>
    <w:rsid w:val="00454DC4"/>
    <w:rsid w:val="00454E51"/>
    <w:rsid w:val="00454F91"/>
    <w:rsid w:val="0045505C"/>
    <w:rsid w:val="0045527A"/>
    <w:rsid w:val="004552E0"/>
    <w:rsid w:val="004553AD"/>
    <w:rsid w:val="00455793"/>
    <w:rsid w:val="004558C4"/>
    <w:rsid w:val="004559D7"/>
    <w:rsid w:val="00455BB8"/>
    <w:rsid w:val="0045601C"/>
    <w:rsid w:val="0045606C"/>
    <w:rsid w:val="0045608C"/>
    <w:rsid w:val="00456246"/>
    <w:rsid w:val="0045660D"/>
    <w:rsid w:val="004567C6"/>
    <w:rsid w:val="004569CA"/>
    <w:rsid w:val="00456E7D"/>
    <w:rsid w:val="0045748C"/>
    <w:rsid w:val="00457523"/>
    <w:rsid w:val="00457557"/>
    <w:rsid w:val="00457983"/>
    <w:rsid w:val="00457A1F"/>
    <w:rsid w:val="00457B43"/>
    <w:rsid w:val="00457C53"/>
    <w:rsid w:val="00457E18"/>
    <w:rsid w:val="00457F59"/>
    <w:rsid w:val="0046011A"/>
    <w:rsid w:val="004601A2"/>
    <w:rsid w:val="00460420"/>
    <w:rsid w:val="004606E5"/>
    <w:rsid w:val="00460744"/>
    <w:rsid w:val="004607BF"/>
    <w:rsid w:val="00460A81"/>
    <w:rsid w:val="00460B75"/>
    <w:rsid w:val="00460D7D"/>
    <w:rsid w:val="00460F94"/>
    <w:rsid w:val="0046120D"/>
    <w:rsid w:val="004612C2"/>
    <w:rsid w:val="00461529"/>
    <w:rsid w:val="004618B1"/>
    <w:rsid w:val="00461995"/>
    <w:rsid w:val="00461D68"/>
    <w:rsid w:val="00461E11"/>
    <w:rsid w:val="00461E40"/>
    <w:rsid w:val="0046226D"/>
    <w:rsid w:val="004622F7"/>
    <w:rsid w:val="0046230E"/>
    <w:rsid w:val="00462667"/>
    <w:rsid w:val="00462857"/>
    <w:rsid w:val="004628AB"/>
    <w:rsid w:val="004629E1"/>
    <w:rsid w:val="00462B04"/>
    <w:rsid w:val="00462BE6"/>
    <w:rsid w:val="00462D94"/>
    <w:rsid w:val="00462FD9"/>
    <w:rsid w:val="004631BC"/>
    <w:rsid w:val="0046321A"/>
    <w:rsid w:val="00463646"/>
    <w:rsid w:val="00463688"/>
    <w:rsid w:val="004638D7"/>
    <w:rsid w:val="00463BC5"/>
    <w:rsid w:val="00463BCE"/>
    <w:rsid w:val="00463BE7"/>
    <w:rsid w:val="00463C27"/>
    <w:rsid w:val="00463D87"/>
    <w:rsid w:val="00463E94"/>
    <w:rsid w:val="00463E9A"/>
    <w:rsid w:val="00463EBB"/>
    <w:rsid w:val="00463F7B"/>
    <w:rsid w:val="004641B0"/>
    <w:rsid w:val="004644A4"/>
    <w:rsid w:val="004649BF"/>
    <w:rsid w:val="00464A27"/>
    <w:rsid w:val="00464D75"/>
    <w:rsid w:val="00464EFC"/>
    <w:rsid w:val="00464FE8"/>
    <w:rsid w:val="00465028"/>
    <w:rsid w:val="0046502F"/>
    <w:rsid w:val="004651CA"/>
    <w:rsid w:val="00465318"/>
    <w:rsid w:val="0046532B"/>
    <w:rsid w:val="004654C3"/>
    <w:rsid w:val="004654F8"/>
    <w:rsid w:val="00465965"/>
    <w:rsid w:val="004659B5"/>
    <w:rsid w:val="00465A97"/>
    <w:rsid w:val="00465D0A"/>
    <w:rsid w:val="00465E72"/>
    <w:rsid w:val="0046603E"/>
    <w:rsid w:val="0046619E"/>
    <w:rsid w:val="00466209"/>
    <w:rsid w:val="0046626E"/>
    <w:rsid w:val="004663BA"/>
    <w:rsid w:val="004663D5"/>
    <w:rsid w:val="004663F6"/>
    <w:rsid w:val="004665C6"/>
    <w:rsid w:val="00466662"/>
    <w:rsid w:val="004666C4"/>
    <w:rsid w:val="00466787"/>
    <w:rsid w:val="004668FF"/>
    <w:rsid w:val="00466BE4"/>
    <w:rsid w:val="00466C18"/>
    <w:rsid w:val="00466D90"/>
    <w:rsid w:val="00466E50"/>
    <w:rsid w:val="00466E5F"/>
    <w:rsid w:val="00466E6E"/>
    <w:rsid w:val="00467125"/>
    <w:rsid w:val="004673C7"/>
    <w:rsid w:val="00467546"/>
    <w:rsid w:val="00467599"/>
    <w:rsid w:val="004675AC"/>
    <w:rsid w:val="00467658"/>
    <w:rsid w:val="004679D4"/>
    <w:rsid w:val="00467ACF"/>
    <w:rsid w:val="00467EFD"/>
    <w:rsid w:val="00470099"/>
    <w:rsid w:val="00470132"/>
    <w:rsid w:val="004701C0"/>
    <w:rsid w:val="004703F1"/>
    <w:rsid w:val="0047042B"/>
    <w:rsid w:val="00470442"/>
    <w:rsid w:val="00470545"/>
    <w:rsid w:val="0047057C"/>
    <w:rsid w:val="0047067C"/>
    <w:rsid w:val="00470B13"/>
    <w:rsid w:val="00470B90"/>
    <w:rsid w:val="00470C63"/>
    <w:rsid w:val="00470CDE"/>
    <w:rsid w:val="00470DCE"/>
    <w:rsid w:val="00470E07"/>
    <w:rsid w:val="0047109D"/>
    <w:rsid w:val="0047158A"/>
    <w:rsid w:val="004715E5"/>
    <w:rsid w:val="0047181B"/>
    <w:rsid w:val="00471B8B"/>
    <w:rsid w:val="00471BA9"/>
    <w:rsid w:val="00471BB0"/>
    <w:rsid w:val="00471C33"/>
    <w:rsid w:val="00471F8C"/>
    <w:rsid w:val="004720C9"/>
    <w:rsid w:val="004722F9"/>
    <w:rsid w:val="004729C5"/>
    <w:rsid w:val="004729EB"/>
    <w:rsid w:val="00472E25"/>
    <w:rsid w:val="00472EE2"/>
    <w:rsid w:val="004730B0"/>
    <w:rsid w:val="00473149"/>
    <w:rsid w:val="00473401"/>
    <w:rsid w:val="004734EB"/>
    <w:rsid w:val="004738AC"/>
    <w:rsid w:val="004739F7"/>
    <w:rsid w:val="00473A48"/>
    <w:rsid w:val="00473A57"/>
    <w:rsid w:val="00473D3D"/>
    <w:rsid w:val="00473D45"/>
    <w:rsid w:val="00473E76"/>
    <w:rsid w:val="00473FBB"/>
    <w:rsid w:val="004742CB"/>
    <w:rsid w:val="0047431A"/>
    <w:rsid w:val="0047451A"/>
    <w:rsid w:val="00474765"/>
    <w:rsid w:val="004749A4"/>
    <w:rsid w:val="00474BCD"/>
    <w:rsid w:val="00474C07"/>
    <w:rsid w:val="0047501C"/>
    <w:rsid w:val="0047508D"/>
    <w:rsid w:val="004750E0"/>
    <w:rsid w:val="004751E4"/>
    <w:rsid w:val="0047541E"/>
    <w:rsid w:val="0047561D"/>
    <w:rsid w:val="004756C3"/>
    <w:rsid w:val="004756F0"/>
    <w:rsid w:val="0047582F"/>
    <w:rsid w:val="00475B87"/>
    <w:rsid w:val="00475C66"/>
    <w:rsid w:val="00475C9B"/>
    <w:rsid w:val="00475E91"/>
    <w:rsid w:val="00476005"/>
    <w:rsid w:val="0047600E"/>
    <w:rsid w:val="004761FA"/>
    <w:rsid w:val="00476264"/>
    <w:rsid w:val="0047628C"/>
    <w:rsid w:val="00476323"/>
    <w:rsid w:val="004765C7"/>
    <w:rsid w:val="00476615"/>
    <w:rsid w:val="0047666C"/>
    <w:rsid w:val="0047675D"/>
    <w:rsid w:val="004768B1"/>
    <w:rsid w:val="00476DAB"/>
    <w:rsid w:val="00476DB0"/>
    <w:rsid w:val="0047718F"/>
    <w:rsid w:val="00477295"/>
    <w:rsid w:val="004775A5"/>
    <w:rsid w:val="00477AF1"/>
    <w:rsid w:val="00477B2D"/>
    <w:rsid w:val="00477BCA"/>
    <w:rsid w:val="00477BFE"/>
    <w:rsid w:val="00477C8B"/>
    <w:rsid w:val="00477F70"/>
    <w:rsid w:val="004800E2"/>
    <w:rsid w:val="004801F2"/>
    <w:rsid w:val="0048026D"/>
    <w:rsid w:val="00480479"/>
    <w:rsid w:val="004804D4"/>
    <w:rsid w:val="004805FC"/>
    <w:rsid w:val="00480664"/>
    <w:rsid w:val="004807A4"/>
    <w:rsid w:val="00480898"/>
    <w:rsid w:val="00480AD2"/>
    <w:rsid w:val="00480B06"/>
    <w:rsid w:val="00480C6B"/>
    <w:rsid w:val="00480D14"/>
    <w:rsid w:val="00480E73"/>
    <w:rsid w:val="00480FDA"/>
    <w:rsid w:val="0048105A"/>
    <w:rsid w:val="004813BA"/>
    <w:rsid w:val="00481437"/>
    <w:rsid w:val="0048183F"/>
    <w:rsid w:val="0048194D"/>
    <w:rsid w:val="004819E3"/>
    <w:rsid w:val="00481F4A"/>
    <w:rsid w:val="00481F94"/>
    <w:rsid w:val="00482079"/>
    <w:rsid w:val="0048259A"/>
    <w:rsid w:val="00482AAA"/>
    <w:rsid w:val="00482BA6"/>
    <w:rsid w:val="00482CD6"/>
    <w:rsid w:val="00482EED"/>
    <w:rsid w:val="00483620"/>
    <w:rsid w:val="00483B37"/>
    <w:rsid w:val="00483BF2"/>
    <w:rsid w:val="004841F7"/>
    <w:rsid w:val="0048426F"/>
    <w:rsid w:val="0048434E"/>
    <w:rsid w:val="00484386"/>
    <w:rsid w:val="004844B1"/>
    <w:rsid w:val="00484811"/>
    <w:rsid w:val="00484862"/>
    <w:rsid w:val="00484924"/>
    <w:rsid w:val="004849F6"/>
    <w:rsid w:val="00484A45"/>
    <w:rsid w:val="00484DF8"/>
    <w:rsid w:val="00484E21"/>
    <w:rsid w:val="00484E32"/>
    <w:rsid w:val="00484E5E"/>
    <w:rsid w:val="00484F5F"/>
    <w:rsid w:val="00485125"/>
    <w:rsid w:val="00485262"/>
    <w:rsid w:val="0048537C"/>
    <w:rsid w:val="00485A86"/>
    <w:rsid w:val="00485F78"/>
    <w:rsid w:val="00485FC6"/>
    <w:rsid w:val="0048641A"/>
    <w:rsid w:val="00486643"/>
    <w:rsid w:val="0048671E"/>
    <w:rsid w:val="00486862"/>
    <w:rsid w:val="00486B12"/>
    <w:rsid w:val="00486B78"/>
    <w:rsid w:val="00487487"/>
    <w:rsid w:val="00487558"/>
    <w:rsid w:val="004876BD"/>
    <w:rsid w:val="00487A28"/>
    <w:rsid w:val="00487C83"/>
    <w:rsid w:val="004901A4"/>
    <w:rsid w:val="0049043A"/>
    <w:rsid w:val="004904E8"/>
    <w:rsid w:val="00490542"/>
    <w:rsid w:val="004907C5"/>
    <w:rsid w:val="0049084A"/>
    <w:rsid w:val="00490ECA"/>
    <w:rsid w:val="00490F23"/>
    <w:rsid w:val="0049149C"/>
    <w:rsid w:val="00491633"/>
    <w:rsid w:val="0049168C"/>
    <w:rsid w:val="004916E2"/>
    <w:rsid w:val="00491835"/>
    <w:rsid w:val="00491841"/>
    <w:rsid w:val="00491935"/>
    <w:rsid w:val="00491C92"/>
    <w:rsid w:val="00491DA7"/>
    <w:rsid w:val="00491E0C"/>
    <w:rsid w:val="00491F66"/>
    <w:rsid w:val="00492192"/>
    <w:rsid w:val="00492213"/>
    <w:rsid w:val="00492226"/>
    <w:rsid w:val="0049240E"/>
    <w:rsid w:val="00492762"/>
    <w:rsid w:val="0049286B"/>
    <w:rsid w:val="00492C9F"/>
    <w:rsid w:val="00493176"/>
    <w:rsid w:val="004931A6"/>
    <w:rsid w:val="00493267"/>
    <w:rsid w:val="004932CC"/>
    <w:rsid w:val="004932DF"/>
    <w:rsid w:val="004934F5"/>
    <w:rsid w:val="00493561"/>
    <w:rsid w:val="004938CF"/>
    <w:rsid w:val="00493BDC"/>
    <w:rsid w:val="00493BF6"/>
    <w:rsid w:val="00493C22"/>
    <w:rsid w:val="00493E16"/>
    <w:rsid w:val="00493EE5"/>
    <w:rsid w:val="004941DA"/>
    <w:rsid w:val="0049430D"/>
    <w:rsid w:val="0049442A"/>
    <w:rsid w:val="004944CF"/>
    <w:rsid w:val="00494548"/>
    <w:rsid w:val="0049468B"/>
    <w:rsid w:val="00494851"/>
    <w:rsid w:val="00494BB5"/>
    <w:rsid w:val="00494D9B"/>
    <w:rsid w:val="00494F04"/>
    <w:rsid w:val="0049510D"/>
    <w:rsid w:val="004951CE"/>
    <w:rsid w:val="004954DC"/>
    <w:rsid w:val="004955E2"/>
    <w:rsid w:val="00495782"/>
    <w:rsid w:val="004957B2"/>
    <w:rsid w:val="00495A27"/>
    <w:rsid w:val="00495DFE"/>
    <w:rsid w:val="00495E45"/>
    <w:rsid w:val="00495E4A"/>
    <w:rsid w:val="00495F9C"/>
    <w:rsid w:val="00496385"/>
    <w:rsid w:val="004963DF"/>
    <w:rsid w:val="0049646E"/>
    <w:rsid w:val="004964B3"/>
    <w:rsid w:val="0049653F"/>
    <w:rsid w:val="004967B5"/>
    <w:rsid w:val="00496880"/>
    <w:rsid w:val="00496A12"/>
    <w:rsid w:val="00496B4C"/>
    <w:rsid w:val="00496F53"/>
    <w:rsid w:val="004975F7"/>
    <w:rsid w:val="0049796A"/>
    <w:rsid w:val="00497D94"/>
    <w:rsid w:val="004A0154"/>
    <w:rsid w:val="004A0170"/>
    <w:rsid w:val="004A05B0"/>
    <w:rsid w:val="004A088C"/>
    <w:rsid w:val="004A0B67"/>
    <w:rsid w:val="004A0BEA"/>
    <w:rsid w:val="004A1364"/>
    <w:rsid w:val="004A1417"/>
    <w:rsid w:val="004A14A1"/>
    <w:rsid w:val="004A1504"/>
    <w:rsid w:val="004A1852"/>
    <w:rsid w:val="004A190F"/>
    <w:rsid w:val="004A1A1C"/>
    <w:rsid w:val="004A1A3A"/>
    <w:rsid w:val="004A1A3B"/>
    <w:rsid w:val="004A1C4B"/>
    <w:rsid w:val="004A205C"/>
    <w:rsid w:val="004A22FD"/>
    <w:rsid w:val="004A242F"/>
    <w:rsid w:val="004A249A"/>
    <w:rsid w:val="004A2937"/>
    <w:rsid w:val="004A2AB2"/>
    <w:rsid w:val="004A2AC5"/>
    <w:rsid w:val="004A2B68"/>
    <w:rsid w:val="004A2C06"/>
    <w:rsid w:val="004A2C47"/>
    <w:rsid w:val="004A2D2D"/>
    <w:rsid w:val="004A30BF"/>
    <w:rsid w:val="004A319B"/>
    <w:rsid w:val="004A35C4"/>
    <w:rsid w:val="004A372F"/>
    <w:rsid w:val="004A3785"/>
    <w:rsid w:val="004A387B"/>
    <w:rsid w:val="004A3B7A"/>
    <w:rsid w:val="004A3B96"/>
    <w:rsid w:val="004A3BAF"/>
    <w:rsid w:val="004A3BB8"/>
    <w:rsid w:val="004A3BE7"/>
    <w:rsid w:val="004A3CD9"/>
    <w:rsid w:val="004A3E82"/>
    <w:rsid w:val="004A41CC"/>
    <w:rsid w:val="004A42B9"/>
    <w:rsid w:val="004A4430"/>
    <w:rsid w:val="004A4789"/>
    <w:rsid w:val="004A4891"/>
    <w:rsid w:val="004A4893"/>
    <w:rsid w:val="004A48A4"/>
    <w:rsid w:val="004A4F29"/>
    <w:rsid w:val="004A4FFE"/>
    <w:rsid w:val="004A502A"/>
    <w:rsid w:val="004A52B4"/>
    <w:rsid w:val="004A530A"/>
    <w:rsid w:val="004A54CE"/>
    <w:rsid w:val="004A554B"/>
    <w:rsid w:val="004A58B7"/>
    <w:rsid w:val="004A5AE4"/>
    <w:rsid w:val="004A5CFD"/>
    <w:rsid w:val="004A5D79"/>
    <w:rsid w:val="004A5DDD"/>
    <w:rsid w:val="004A5FE2"/>
    <w:rsid w:val="004A601F"/>
    <w:rsid w:val="004A63BE"/>
    <w:rsid w:val="004A652E"/>
    <w:rsid w:val="004A6679"/>
    <w:rsid w:val="004A6694"/>
    <w:rsid w:val="004A682D"/>
    <w:rsid w:val="004A6BB7"/>
    <w:rsid w:val="004A6DFE"/>
    <w:rsid w:val="004A70A7"/>
    <w:rsid w:val="004A70C9"/>
    <w:rsid w:val="004A73BB"/>
    <w:rsid w:val="004A7494"/>
    <w:rsid w:val="004A74FD"/>
    <w:rsid w:val="004A7618"/>
    <w:rsid w:val="004A76FC"/>
    <w:rsid w:val="004A777A"/>
    <w:rsid w:val="004A78D3"/>
    <w:rsid w:val="004A7A4D"/>
    <w:rsid w:val="004A7ACF"/>
    <w:rsid w:val="004A7CAD"/>
    <w:rsid w:val="004A7FFB"/>
    <w:rsid w:val="004B05F1"/>
    <w:rsid w:val="004B07FC"/>
    <w:rsid w:val="004B0875"/>
    <w:rsid w:val="004B09E6"/>
    <w:rsid w:val="004B0A16"/>
    <w:rsid w:val="004B0CFE"/>
    <w:rsid w:val="004B0D18"/>
    <w:rsid w:val="004B0D2F"/>
    <w:rsid w:val="004B134C"/>
    <w:rsid w:val="004B14B8"/>
    <w:rsid w:val="004B16D1"/>
    <w:rsid w:val="004B16FB"/>
    <w:rsid w:val="004B18A9"/>
    <w:rsid w:val="004B18C1"/>
    <w:rsid w:val="004B18C3"/>
    <w:rsid w:val="004B195C"/>
    <w:rsid w:val="004B19A1"/>
    <w:rsid w:val="004B1A57"/>
    <w:rsid w:val="004B1C58"/>
    <w:rsid w:val="004B1C79"/>
    <w:rsid w:val="004B1EE6"/>
    <w:rsid w:val="004B1EFC"/>
    <w:rsid w:val="004B1F5E"/>
    <w:rsid w:val="004B1F75"/>
    <w:rsid w:val="004B1FB2"/>
    <w:rsid w:val="004B1FBD"/>
    <w:rsid w:val="004B2029"/>
    <w:rsid w:val="004B21E0"/>
    <w:rsid w:val="004B2246"/>
    <w:rsid w:val="004B234A"/>
    <w:rsid w:val="004B241C"/>
    <w:rsid w:val="004B2427"/>
    <w:rsid w:val="004B2599"/>
    <w:rsid w:val="004B2775"/>
    <w:rsid w:val="004B289B"/>
    <w:rsid w:val="004B2B1E"/>
    <w:rsid w:val="004B2BBC"/>
    <w:rsid w:val="004B2D20"/>
    <w:rsid w:val="004B2D86"/>
    <w:rsid w:val="004B2E15"/>
    <w:rsid w:val="004B2E5B"/>
    <w:rsid w:val="004B372A"/>
    <w:rsid w:val="004B3897"/>
    <w:rsid w:val="004B3948"/>
    <w:rsid w:val="004B3A29"/>
    <w:rsid w:val="004B3F39"/>
    <w:rsid w:val="004B41DA"/>
    <w:rsid w:val="004B438F"/>
    <w:rsid w:val="004B4487"/>
    <w:rsid w:val="004B44C3"/>
    <w:rsid w:val="004B4607"/>
    <w:rsid w:val="004B470E"/>
    <w:rsid w:val="004B4CED"/>
    <w:rsid w:val="004B4D48"/>
    <w:rsid w:val="004B5203"/>
    <w:rsid w:val="004B52A7"/>
    <w:rsid w:val="004B5427"/>
    <w:rsid w:val="004B5B64"/>
    <w:rsid w:val="004B5DE6"/>
    <w:rsid w:val="004B5E11"/>
    <w:rsid w:val="004B5E5E"/>
    <w:rsid w:val="004B5EF8"/>
    <w:rsid w:val="004B649D"/>
    <w:rsid w:val="004B6905"/>
    <w:rsid w:val="004B6907"/>
    <w:rsid w:val="004B69CF"/>
    <w:rsid w:val="004B6A68"/>
    <w:rsid w:val="004B6B18"/>
    <w:rsid w:val="004B6B22"/>
    <w:rsid w:val="004B6C7F"/>
    <w:rsid w:val="004B6CC4"/>
    <w:rsid w:val="004B6DC4"/>
    <w:rsid w:val="004B6F94"/>
    <w:rsid w:val="004B706B"/>
    <w:rsid w:val="004B71A7"/>
    <w:rsid w:val="004B71F2"/>
    <w:rsid w:val="004B755F"/>
    <w:rsid w:val="004B7835"/>
    <w:rsid w:val="004B7A6B"/>
    <w:rsid w:val="004B7DF8"/>
    <w:rsid w:val="004B7F61"/>
    <w:rsid w:val="004B7F7F"/>
    <w:rsid w:val="004B7FF4"/>
    <w:rsid w:val="004C068D"/>
    <w:rsid w:val="004C08C9"/>
    <w:rsid w:val="004C0A51"/>
    <w:rsid w:val="004C0A6A"/>
    <w:rsid w:val="004C0B74"/>
    <w:rsid w:val="004C0C29"/>
    <w:rsid w:val="004C0DDB"/>
    <w:rsid w:val="004C0DF9"/>
    <w:rsid w:val="004C0EC5"/>
    <w:rsid w:val="004C0F61"/>
    <w:rsid w:val="004C1306"/>
    <w:rsid w:val="004C1736"/>
    <w:rsid w:val="004C181E"/>
    <w:rsid w:val="004C1A0A"/>
    <w:rsid w:val="004C1D46"/>
    <w:rsid w:val="004C1E31"/>
    <w:rsid w:val="004C208F"/>
    <w:rsid w:val="004C2479"/>
    <w:rsid w:val="004C29D9"/>
    <w:rsid w:val="004C2B70"/>
    <w:rsid w:val="004C2E7F"/>
    <w:rsid w:val="004C2EF6"/>
    <w:rsid w:val="004C301A"/>
    <w:rsid w:val="004C344C"/>
    <w:rsid w:val="004C359D"/>
    <w:rsid w:val="004C362B"/>
    <w:rsid w:val="004C3681"/>
    <w:rsid w:val="004C36BE"/>
    <w:rsid w:val="004C3965"/>
    <w:rsid w:val="004C397A"/>
    <w:rsid w:val="004C3BEB"/>
    <w:rsid w:val="004C3CB2"/>
    <w:rsid w:val="004C3D8D"/>
    <w:rsid w:val="004C3E00"/>
    <w:rsid w:val="004C3E20"/>
    <w:rsid w:val="004C415F"/>
    <w:rsid w:val="004C45B6"/>
    <w:rsid w:val="004C4C10"/>
    <w:rsid w:val="004C4D0E"/>
    <w:rsid w:val="004C503A"/>
    <w:rsid w:val="004C50D1"/>
    <w:rsid w:val="004C530D"/>
    <w:rsid w:val="004C54D9"/>
    <w:rsid w:val="004C57F3"/>
    <w:rsid w:val="004C58F5"/>
    <w:rsid w:val="004C5939"/>
    <w:rsid w:val="004C594C"/>
    <w:rsid w:val="004C5A5E"/>
    <w:rsid w:val="004C5DFC"/>
    <w:rsid w:val="004C5E9F"/>
    <w:rsid w:val="004C5EE6"/>
    <w:rsid w:val="004C61AD"/>
    <w:rsid w:val="004C6260"/>
    <w:rsid w:val="004C6261"/>
    <w:rsid w:val="004C627A"/>
    <w:rsid w:val="004C62AD"/>
    <w:rsid w:val="004C649D"/>
    <w:rsid w:val="004C6711"/>
    <w:rsid w:val="004C673D"/>
    <w:rsid w:val="004C695A"/>
    <w:rsid w:val="004C699E"/>
    <w:rsid w:val="004C6BF1"/>
    <w:rsid w:val="004C6D70"/>
    <w:rsid w:val="004C6E23"/>
    <w:rsid w:val="004C6E4E"/>
    <w:rsid w:val="004C6F05"/>
    <w:rsid w:val="004C6FB7"/>
    <w:rsid w:val="004C712C"/>
    <w:rsid w:val="004C71C6"/>
    <w:rsid w:val="004C727B"/>
    <w:rsid w:val="004C72C5"/>
    <w:rsid w:val="004C7366"/>
    <w:rsid w:val="004C7376"/>
    <w:rsid w:val="004C7437"/>
    <w:rsid w:val="004C7694"/>
    <w:rsid w:val="004C7783"/>
    <w:rsid w:val="004C7AF6"/>
    <w:rsid w:val="004C7D00"/>
    <w:rsid w:val="004D023D"/>
    <w:rsid w:val="004D02D7"/>
    <w:rsid w:val="004D033B"/>
    <w:rsid w:val="004D05FA"/>
    <w:rsid w:val="004D0630"/>
    <w:rsid w:val="004D07F7"/>
    <w:rsid w:val="004D0A51"/>
    <w:rsid w:val="004D0A8F"/>
    <w:rsid w:val="004D0C2B"/>
    <w:rsid w:val="004D0F43"/>
    <w:rsid w:val="004D0F46"/>
    <w:rsid w:val="004D1312"/>
    <w:rsid w:val="004D1355"/>
    <w:rsid w:val="004D1451"/>
    <w:rsid w:val="004D1709"/>
    <w:rsid w:val="004D18C2"/>
    <w:rsid w:val="004D1AB6"/>
    <w:rsid w:val="004D1B07"/>
    <w:rsid w:val="004D1DE4"/>
    <w:rsid w:val="004D1E6B"/>
    <w:rsid w:val="004D1E94"/>
    <w:rsid w:val="004D1FB7"/>
    <w:rsid w:val="004D20FE"/>
    <w:rsid w:val="004D2134"/>
    <w:rsid w:val="004D220A"/>
    <w:rsid w:val="004D2999"/>
    <w:rsid w:val="004D2B6F"/>
    <w:rsid w:val="004D2C73"/>
    <w:rsid w:val="004D2F74"/>
    <w:rsid w:val="004D374D"/>
    <w:rsid w:val="004D3828"/>
    <w:rsid w:val="004D38D3"/>
    <w:rsid w:val="004D395E"/>
    <w:rsid w:val="004D3C82"/>
    <w:rsid w:val="004D3E5B"/>
    <w:rsid w:val="004D3F36"/>
    <w:rsid w:val="004D40C3"/>
    <w:rsid w:val="004D40C4"/>
    <w:rsid w:val="004D4157"/>
    <w:rsid w:val="004D4182"/>
    <w:rsid w:val="004D442D"/>
    <w:rsid w:val="004D44CE"/>
    <w:rsid w:val="004D44D2"/>
    <w:rsid w:val="004D451E"/>
    <w:rsid w:val="004D4721"/>
    <w:rsid w:val="004D48C5"/>
    <w:rsid w:val="004D4A30"/>
    <w:rsid w:val="004D4A99"/>
    <w:rsid w:val="004D4C97"/>
    <w:rsid w:val="004D4DD6"/>
    <w:rsid w:val="004D4E85"/>
    <w:rsid w:val="004D4F91"/>
    <w:rsid w:val="004D504A"/>
    <w:rsid w:val="004D504D"/>
    <w:rsid w:val="004D5122"/>
    <w:rsid w:val="004D512F"/>
    <w:rsid w:val="004D5219"/>
    <w:rsid w:val="004D5260"/>
    <w:rsid w:val="004D5280"/>
    <w:rsid w:val="004D52B2"/>
    <w:rsid w:val="004D536F"/>
    <w:rsid w:val="004D5885"/>
    <w:rsid w:val="004D5C2E"/>
    <w:rsid w:val="004D5D50"/>
    <w:rsid w:val="004D5E65"/>
    <w:rsid w:val="004D5F17"/>
    <w:rsid w:val="004D60E2"/>
    <w:rsid w:val="004D618A"/>
    <w:rsid w:val="004D62B9"/>
    <w:rsid w:val="004D64C7"/>
    <w:rsid w:val="004D6569"/>
    <w:rsid w:val="004D6574"/>
    <w:rsid w:val="004D65D8"/>
    <w:rsid w:val="004D6607"/>
    <w:rsid w:val="004D681A"/>
    <w:rsid w:val="004D6D39"/>
    <w:rsid w:val="004D6D3E"/>
    <w:rsid w:val="004D6D9D"/>
    <w:rsid w:val="004D6EA8"/>
    <w:rsid w:val="004D6F33"/>
    <w:rsid w:val="004D6F76"/>
    <w:rsid w:val="004D707E"/>
    <w:rsid w:val="004D7110"/>
    <w:rsid w:val="004D739E"/>
    <w:rsid w:val="004D73EA"/>
    <w:rsid w:val="004D73F0"/>
    <w:rsid w:val="004D7456"/>
    <w:rsid w:val="004D74B3"/>
    <w:rsid w:val="004D75B6"/>
    <w:rsid w:val="004D76A0"/>
    <w:rsid w:val="004D78C8"/>
    <w:rsid w:val="004D7A46"/>
    <w:rsid w:val="004D7BC7"/>
    <w:rsid w:val="004D7C9B"/>
    <w:rsid w:val="004D7CCF"/>
    <w:rsid w:val="004D7D15"/>
    <w:rsid w:val="004D7D3D"/>
    <w:rsid w:val="004D7ECB"/>
    <w:rsid w:val="004D7EF6"/>
    <w:rsid w:val="004E009C"/>
    <w:rsid w:val="004E012F"/>
    <w:rsid w:val="004E0504"/>
    <w:rsid w:val="004E08B3"/>
    <w:rsid w:val="004E092F"/>
    <w:rsid w:val="004E099B"/>
    <w:rsid w:val="004E0AA9"/>
    <w:rsid w:val="004E0D36"/>
    <w:rsid w:val="004E0F24"/>
    <w:rsid w:val="004E0F44"/>
    <w:rsid w:val="004E0FDE"/>
    <w:rsid w:val="004E0FFD"/>
    <w:rsid w:val="004E104B"/>
    <w:rsid w:val="004E1470"/>
    <w:rsid w:val="004E149B"/>
    <w:rsid w:val="004E16A8"/>
    <w:rsid w:val="004E1A67"/>
    <w:rsid w:val="004E1B28"/>
    <w:rsid w:val="004E1D18"/>
    <w:rsid w:val="004E1E70"/>
    <w:rsid w:val="004E2193"/>
    <w:rsid w:val="004E21A9"/>
    <w:rsid w:val="004E21F3"/>
    <w:rsid w:val="004E2317"/>
    <w:rsid w:val="004E23C3"/>
    <w:rsid w:val="004E23EF"/>
    <w:rsid w:val="004E261B"/>
    <w:rsid w:val="004E26CA"/>
    <w:rsid w:val="004E27D6"/>
    <w:rsid w:val="004E2C79"/>
    <w:rsid w:val="004E2CC4"/>
    <w:rsid w:val="004E3039"/>
    <w:rsid w:val="004E309A"/>
    <w:rsid w:val="004E310A"/>
    <w:rsid w:val="004E311D"/>
    <w:rsid w:val="004E32C6"/>
    <w:rsid w:val="004E32E1"/>
    <w:rsid w:val="004E32F5"/>
    <w:rsid w:val="004E349C"/>
    <w:rsid w:val="004E34D3"/>
    <w:rsid w:val="004E34DE"/>
    <w:rsid w:val="004E3645"/>
    <w:rsid w:val="004E3747"/>
    <w:rsid w:val="004E375C"/>
    <w:rsid w:val="004E3AE6"/>
    <w:rsid w:val="004E3CA5"/>
    <w:rsid w:val="004E3EF8"/>
    <w:rsid w:val="004E41B0"/>
    <w:rsid w:val="004E42EB"/>
    <w:rsid w:val="004E43C1"/>
    <w:rsid w:val="004E4585"/>
    <w:rsid w:val="004E460C"/>
    <w:rsid w:val="004E4672"/>
    <w:rsid w:val="004E4C77"/>
    <w:rsid w:val="004E4E8A"/>
    <w:rsid w:val="004E503F"/>
    <w:rsid w:val="004E50CE"/>
    <w:rsid w:val="004E529A"/>
    <w:rsid w:val="004E5825"/>
    <w:rsid w:val="004E583B"/>
    <w:rsid w:val="004E596B"/>
    <w:rsid w:val="004E59C3"/>
    <w:rsid w:val="004E5AFA"/>
    <w:rsid w:val="004E5BDF"/>
    <w:rsid w:val="004E5C0B"/>
    <w:rsid w:val="004E5C68"/>
    <w:rsid w:val="004E5DB5"/>
    <w:rsid w:val="004E5E76"/>
    <w:rsid w:val="004E5F63"/>
    <w:rsid w:val="004E5FF3"/>
    <w:rsid w:val="004E60C7"/>
    <w:rsid w:val="004E6314"/>
    <w:rsid w:val="004E638F"/>
    <w:rsid w:val="004E6482"/>
    <w:rsid w:val="004E64D3"/>
    <w:rsid w:val="004E65D5"/>
    <w:rsid w:val="004E663C"/>
    <w:rsid w:val="004E6775"/>
    <w:rsid w:val="004E68AB"/>
    <w:rsid w:val="004E6FD5"/>
    <w:rsid w:val="004E7553"/>
    <w:rsid w:val="004E7655"/>
    <w:rsid w:val="004E7962"/>
    <w:rsid w:val="004E7AE9"/>
    <w:rsid w:val="004E7B32"/>
    <w:rsid w:val="004F0061"/>
    <w:rsid w:val="004F0069"/>
    <w:rsid w:val="004F0095"/>
    <w:rsid w:val="004F00A5"/>
    <w:rsid w:val="004F00E5"/>
    <w:rsid w:val="004F040A"/>
    <w:rsid w:val="004F04BA"/>
    <w:rsid w:val="004F050A"/>
    <w:rsid w:val="004F0678"/>
    <w:rsid w:val="004F09A6"/>
    <w:rsid w:val="004F0AA1"/>
    <w:rsid w:val="004F0AE0"/>
    <w:rsid w:val="004F0C28"/>
    <w:rsid w:val="004F0F37"/>
    <w:rsid w:val="004F135D"/>
    <w:rsid w:val="004F135E"/>
    <w:rsid w:val="004F146C"/>
    <w:rsid w:val="004F1553"/>
    <w:rsid w:val="004F15E9"/>
    <w:rsid w:val="004F1DB2"/>
    <w:rsid w:val="004F1EEE"/>
    <w:rsid w:val="004F21AF"/>
    <w:rsid w:val="004F2243"/>
    <w:rsid w:val="004F23C3"/>
    <w:rsid w:val="004F2426"/>
    <w:rsid w:val="004F2745"/>
    <w:rsid w:val="004F290A"/>
    <w:rsid w:val="004F2B92"/>
    <w:rsid w:val="004F2DCB"/>
    <w:rsid w:val="004F2E2D"/>
    <w:rsid w:val="004F2F76"/>
    <w:rsid w:val="004F3247"/>
    <w:rsid w:val="004F32D3"/>
    <w:rsid w:val="004F3321"/>
    <w:rsid w:val="004F339B"/>
    <w:rsid w:val="004F33F6"/>
    <w:rsid w:val="004F34B6"/>
    <w:rsid w:val="004F3797"/>
    <w:rsid w:val="004F37F1"/>
    <w:rsid w:val="004F38E2"/>
    <w:rsid w:val="004F3915"/>
    <w:rsid w:val="004F3B1D"/>
    <w:rsid w:val="004F3F01"/>
    <w:rsid w:val="004F3F24"/>
    <w:rsid w:val="004F3F5E"/>
    <w:rsid w:val="004F403C"/>
    <w:rsid w:val="004F409A"/>
    <w:rsid w:val="004F425C"/>
    <w:rsid w:val="004F45B6"/>
    <w:rsid w:val="004F48D0"/>
    <w:rsid w:val="004F4A1F"/>
    <w:rsid w:val="004F4AC5"/>
    <w:rsid w:val="004F4C23"/>
    <w:rsid w:val="004F4D7C"/>
    <w:rsid w:val="004F51AE"/>
    <w:rsid w:val="004F521E"/>
    <w:rsid w:val="004F5230"/>
    <w:rsid w:val="004F528E"/>
    <w:rsid w:val="004F5633"/>
    <w:rsid w:val="004F5759"/>
    <w:rsid w:val="004F5854"/>
    <w:rsid w:val="004F5F9F"/>
    <w:rsid w:val="004F6180"/>
    <w:rsid w:val="004F625D"/>
    <w:rsid w:val="004F6406"/>
    <w:rsid w:val="004F645B"/>
    <w:rsid w:val="004F66C1"/>
    <w:rsid w:val="004F66FD"/>
    <w:rsid w:val="004F698E"/>
    <w:rsid w:val="004F69BA"/>
    <w:rsid w:val="004F6ACA"/>
    <w:rsid w:val="004F6ADE"/>
    <w:rsid w:val="004F6B26"/>
    <w:rsid w:val="004F6C43"/>
    <w:rsid w:val="004F703B"/>
    <w:rsid w:val="004F7122"/>
    <w:rsid w:val="004F74FE"/>
    <w:rsid w:val="004F76EB"/>
    <w:rsid w:val="004F7982"/>
    <w:rsid w:val="004F7A4E"/>
    <w:rsid w:val="004F7A6B"/>
    <w:rsid w:val="004F7D0F"/>
    <w:rsid w:val="004F7DC5"/>
    <w:rsid w:val="004F7E98"/>
    <w:rsid w:val="004F7EB5"/>
    <w:rsid w:val="004F7EC4"/>
    <w:rsid w:val="0050013E"/>
    <w:rsid w:val="005001BF"/>
    <w:rsid w:val="00500264"/>
    <w:rsid w:val="005003D6"/>
    <w:rsid w:val="005004D8"/>
    <w:rsid w:val="00500594"/>
    <w:rsid w:val="0050059A"/>
    <w:rsid w:val="00500638"/>
    <w:rsid w:val="005008BC"/>
    <w:rsid w:val="00500954"/>
    <w:rsid w:val="00500EF5"/>
    <w:rsid w:val="00500F81"/>
    <w:rsid w:val="005010F1"/>
    <w:rsid w:val="0050123E"/>
    <w:rsid w:val="0050129C"/>
    <w:rsid w:val="0050131F"/>
    <w:rsid w:val="005013EE"/>
    <w:rsid w:val="0050142F"/>
    <w:rsid w:val="0050151D"/>
    <w:rsid w:val="00501586"/>
    <w:rsid w:val="005015A2"/>
    <w:rsid w:val="005016C4"/>
    <w:rsid w:val="00501784"/>
    <w:rsid w:val="0050180D"/>
    <w:rsid w:val="005018D4"/>
    <w:rsid w:val="00501967"/>
    <w:rsid w:val="005019B3"/>
    <w:rsid w:val="00501FC1"/>
    <w:rsid w:val="00502048"/>
    <w:rsid w:val="0050249C"/>
    <w:rsid w:val="005025C3"/>
    <w:rsid w:val="0050276E"/>
    <w:rsid w:val="0050278B"/>
    <w:rsid w:val="00502C9A"/>
    <w:rsid w:val="005030FE"/>
    <w:rsid w:val="005032F0"/>
    <w:rsid w:val="0050346D"/>
    <w:rsid w:val="00503496"/>
    <w:rsid w:val="00503828"/>
    <w:rsid w:val="00503931"/>
    <w:rsid w:val="005039C7"/>
    <w:rsid w:val="00503A2D"/>
    <w:rsid w:val="00503A37"/>
    <w:rsid w:val="00503E1A"/>
    <w:rsid w:val="00503F07"/>
    <w:rsid w:val="005040AB"/>
    <w:rsid w:val="00504791"/>
    <w:rsid w:val="0050483D"/>
    <w:rsid w:val="0050497E"/>
    <w:rsid w:val="00504A90"/>
    <w:rsid w:val="00504B3F"/>
    <w:rsid w:val="00504E24"/>
    <w:rsid w:val="00505315"/>
    <w:rsid w:val="00505356"/>
    <w:rsid w:val="00505375"/>
    <w:rsid w:val="0050564D"/>
    <w:rsid w:val="00505764"/>
    <w:rsid w:val="00505A32"/>
    <w:rsid w:val="00505BCD"/>
    <w:rsid w:val="00505D01"/>
    <w:rsid w:val="00505ECB"/>
    <w:rsid w:val="00505F95"/>
    <w:rsid w:val="005062FA"/>
    <w:rsid w:val="0050632C"/>
    <w:rsid w:val="00506400"/>
    <w:rsid w:val="005068A2"/>
    <w:rsid w:val="00506DC4"/>
    <w:rsid w:val="00506DF3"/>
    <w:rsid w:val="00506ED2"/>
    <w:rsid w:val="00507043"/>
    <w:rsid w:val="00507540"/>
    <w:rsid w:val="00507645"/>
    <w:rsid w:val="00507647"/>
    <w:rsid w:val="005078F4"/>
    <w:rsid w:val="005079EA"/>
    <w:rsid w:val="00507C47"/>
    <w:rsid w:val="00507C8C"/>
    <w:rsid w:val="00507DF1"/>
    <w:rsid w:val="0051035C"/>
    <w:rsid w:val="0051070C"/>
    <w:rsid w:val="005107AD"/>
    <w:rsid w:val="00510AAC"/>
    <w:rsid w:val="00510C0E"/>
    <w:rsid w:val="00510E24"/>
    <w:rsid w:val="00510F55"/>
    <w:rsid w:val="00510F7B"/>
    <w:rsid w:val="00510FA1"/>
    <w:rsid w:val="00511105"/>
    <w:rsid w:val="0051121B"/>
    <w:rsid w:val="005114DD"/>
    <w:rsid w:val="005116CF"/>
    <w:rsid w:val="00511705"/>
    <w:rsid w:val="00511D86"/>
    <w:rsid w:val="00511E2B"/>
    <w:rsid w:val="00511E64"/>
    <w:rsid w:val="00511E87"/>
    <w:rsid w:val="0051249B"/>
    <w:rsid w:val="005124CC"/>
    <w:rsid w:val="005125CB"/>
    <w:rsid w:val="005126AC"/>
    <w:rsid w:val="005126D1"/>
    <w:rsid w:val="00512AC6"/>
    <w:rsid w:val="00512C75"/>
    <w:rsid w:val="00512E66"/>
    <w:rsid w:val="00512FEA"/>
    <w:rsid w:val="005131D1"/>
    <w:rsid w:val="005133CC"/>
    <w:rsid w:val="005134C5"/>
    <w:rsid w:val="005138CF"/>
    <w:rsid w:val="00513B6A"/>
    <w:rsid w:val="00513E03"/>
    <w:rsid w:val="005143F9"/>
    <w:rsid w:val="005145DF"/>
    <w:rsid w:val="00514993"/>
    <w:rsid w:val="00514BBB"/>
    <w:rsid w:val="00514DF8"/>
    <w:rsid w:val="00514E3D"/>
    <w:rsid w:val="00514E69"/>
    <w:rsid w:val="005151FD"/>
    <w:rsid w:val="0051523B"/>
    <w:rsid w:val="00515436"/>
    <w:rsid w:val="00515596"/>
    <w:rsid w:val="005161C7"/>
    <w:rsid w:val="005163B2"/>
    <w:rsid w:val="0051659F"/>
    <w:rsid w:val="005166FC"/>
    <w:rsid w:val="005169E0"/>
    <w:rsid w:val="00516C1C"/>
    <w:rsid w:val="00516E63"/>
    <w:rsid w:val="00516F8D"/>
    <w:rsid w:val="00516FA4"/>
    <w:rsid w:val="005170CA"/>
    <w:rsid w:val="005170D9"/>
    <w:rsid w:val="005171C4"/>
    <w:rsid w:val="00517950"/>
    <w:rsid w:val="00517A2D"/>
    <w:rsid w:val="00517A36"/>
    <w:rsid w:val="00517E26"/>
    <w:rsid w:val="00517F8A"/>
    <w:rsid w:val="00520165"/>
    <w:rsid w:val="00520189"/>
    <w:rsid w:val="0052048E"/>
    <w:rsid w:val="00520497"/>
    <w:rsid w:val="00520558"/>
    <w:rsid w:val="00520CE3"/>
    <w:rsid w:val="00521285"/>
    <w:rsid w:val="0052169E"/>
    <w:rsid w:val="005218D3"/>
    <w:rsid w:val="0052194F"/>
    <w:rsid w:val="00521957"/>
    <w:rsid w:val="00521AE4"/>
    <w:rsid w:val="00521BB1"/>
    <w:rsid w:val="00521D2F"/>
    <w:rsid w:val="00521E91"/>
    <w:rsid w:val="00522137"/>
    <w:rsid w:val="00522349"/>
    <w:rsid w:val="00522862"/>
    <w:rsid w:val="00522A2C"/>
    <w:rsid w:val="00522B30"/>
    <w:rsid w:val="0052324A"/>
    <w:rsid w:val="00523573"/>
    <w:rsid w:val="005238DC"/>
    <w:rsid w:val="00523993"/>
    <w:rsid w:val="00523B82"/>
    <w:rsid w:val="00523E4E"/>
    <w:rsid w:val="00524453"/>
    <w:rsid w:val="00524563"/>
    <w:rsid w:val="00524580"/>
    <w:rsid w:val="005245D6"/>
    <w:rsid w:val="005245DA"/>
    <w:rsid w:val="005246C0"/>
    <w:rsid w:val="00524A17"/>
    <w:rsid w:val="00524A65"/>
    <w:rsid w:val="00524B85"/>
    <w:rsid w:val="00524C51"/>
    <w:rsid w:val="00524F5D"/>
    <w:rsid w:val="00524F64"/>
    <w:rsid w:val="00524FB8"/>
    <w:rsid w:val="0052531D"/>
    <w:rsid w:val="00525898"/>
    <w:rsid w:val="00525AC6"/>
    <w:rsid w:val="00525BA2"/>
    <w:rsid w:val="00525BB3"/>
    <w:rsid w:val="00525BCC"/>
    <w:rsid w:val="00525DDF"/>
    <w:rsid w:val="005260E8"/>
    <w:rsid w:val="00526522"/>
    <w:rsid w:val="005265C8"/>
    <w:rsid w:val="00526670"/>
    <w:rsid w:val="00526686"/>
    <w:rsid w:val="00526823"/>
    <w:rsid w:val="00526A20"/>
    <w:rsid w:val="00526BAA"/>
    <w:rsid w:val="00526D35"/>
    <w:rsid w:val="00526E16"/>
    <w:rsid w:val="00526FD4"/>
    <w:rsid w:val="0052710A"/>
    <w:rsid w:val="0052720D"/>
    <w:rsid w:val="00527734"/>
    <w:rsid w:val="0052773A"/>
    <w:rsid w:val="00527900"/>
    <w:rsid w:val="0052796C"/>
    <w:rsid w:val="005279D7"/>
    <w:rsid w:val="00527B56"/>
    <w:rsid w:val="00527B9F"/>
    <w:rsid w:val="00527C15"/>
    <w:rsid w:val="00527E11"/>
    <w:rsid w:val="00527F83"/>
    <w:rsid w:val="005302D7"/>
    <w:rsid w:val="005304B1"/>
    <w:rsid w:val="005309C2"/>
    <w:rsid w:val="00530B68"/>
    <w:rsid w:val="00530E80"/>
    <w:rsid w:val="00530FDD"/>
    <w:rsid w:val="005310A0"/>
    <w:rsid w:val="005311E5"/>
    <w:rsid w:val="0053129A"/>
    <w:rsid w:val="00531386"/>
    <w:rsid w:val="0053138C"/>
    <w:rsid w:val="005315EE"/>
    <w:rsid w:val="005318FF"/>
    <w:rsid w:val="00531963"/>
    <w:rsid w:val="005324C2"/>
    <w:rsid w:val="005324FE"/>
    <w:rsid w:val="0053258D"/>
    <w:rsid w:val="0053266A"/>
    <w:rsid w:val="005326DD"/>
    <w:rsid w:val="00532851"/>
    <w:rsid w:val="00532C3E"/>
    <w:rsid w:val="00532CC1"/>
    <w:rsid w:val="00533073"/>
    <w:rsid w:val="0053368E"/>
    <w:rsid w:val="005336A8"/>
    <w:rsid w:val="00533B8A"/>
    <w:rsid w:val="00533C70"/>
    <w:rsid w:val="00533E67"/>
    <w:rsid w:val="005340D9"/>
    <w:rsid w:val="00534864"/>
    <w:rsid w:val="00534CCC"/>
    <w:rsid w:val="00534D37"/>
    <w:rsid w:val="00534FB2"/>
    <w:rsid w:val="005358A4"/>
    <w:rsid w:val="005358CE"/>
    <w:rsid w:val="00535CA9"/>
    <w:rsid w:val="00535CC8"/>
    <w:rsid w:val="00536029"/>
    <w:rsid w:val="00536183"/>
    <w:rsid w:val="005362AA"/>
    <w:rsid w:val="005363C9"/>
    <w:rsid w:val="00536441"/>
    <w:rsid w:val="00536976"/>
    <w:rsid w:val="00536B0C"/>
    <w:rsid w:val="00536B76"/>
    <w:rsid w:val="00536E00"/>
    <w:rsid w:val="00536E08"/>
    <w:rsid w:val="00536E1D"/>
    <w:rsid w:val="00536EA0"/>
    <w:rsid w:val="00536FB1"/>
    <w:rsid w:val="00537474"/>
    <w:rsid w:val="005374AB"/>
    <w:rsid w:val="00537556"/>
    <w:rsid w:val="0053766B"/>
    <w:rsid w:val="00537AB4"/>
    <w:rsid w:val="0054034E"/>
    <w:rsid w:val="00540372"/>
    <w:rsid w:val="005403D1"/>
    <w:rsid w:val="00540611"/>
    <w:rsid w:val="0054074C"/>
    <w:rsid w:val="00540960"/>
    <w:rsid w:val="005409E0"/>
    <w:rsid w:val="00540B50"/>
    <w:rsid w:val="00540EB6"/>
    <w:rsid w:val="00540F36"/>
    <w:rsid w:val="00540F93"/>
    <w:rsid w:val="0054128C"/>
    <w:rsid w:val="005418CA"/>
    <w:rsid w:val="00541CD1"/>
    <w:rsid w:val="00541D65"/>
    <w:rsid w:val="00541E68"/>
    <w:rsid w:val="00541EC9"/>
    <w:rsid w:val="005421C5"/>
    <w:rsid w:val="00542290"/>
    <w:rsid w:val="005424BC"/>
    <w:rsid w:val="005428D1"/>
    <w:rsid w:val="00542A40"/>
    <w:rsid w:val="00542BF3"/>
    <w:rsid w:val="00543190"/>
    <w:rsid w:val="00543234"/>
    <w:rsid w:val="005440D3"/>
    <w:rsid w:val="0054455C"/>
    <w:rsid w:val="0054459F"/>
    <w:rsid w:val="00544713"/>
    <w:rsid w:val="00544913"/>
    <w:rsid w:val="00544E75"/>
    <w:rsid w:val="00544F3B"/>
    <w:rsid w:val="00544F45"/>
    <w:rsid w:val="00544F8E"/>
    <w:rsid w:val="0054506E"/>
    <w:rsid w:val="00545217"/>
    <w:rsid w:val="00545285"/>
    <w:rsid w:val="00545542"/>
    <w:rsid w:val="00545551"/>
    <w:rsid w:val="005455C4"/>
    <w:rsid w:val="0054588F"/>
    <w:rsid w:val="00545B9F"/>
    <w:rsid w:val="00545C03"/>
    <w:rsid w:val="00545CBB"/>
    <w:rsid w:val="00545DEA"/>
    <w:rsid w:val="00545E42"/>
    <w:rsid w:val="00545E7A"/>
    <w:rsid w:val="00545FBC"/>
    <w:rsid w:val="005462A3"/>
    <w:rsid w:val="0054631B"/>
    <w:rsid w:val="0054636D"/>
    <w:rsid w:val="0054666B"/>
    <w:rsid w:val="005466F1"/>
    <w:rsid w:val="00546994"/>
    <w:rsid w:val="00546AFA"/>
    <w:rsid w:val="00546B8E"/>
    <w:rsid w:val="00546CEB"/>
    <w:rsid w:val="00546D5B"/>
    <w:rsid w:val="0054746D"/>
    <w:rsid w:val="00547622"/>
    <w:rsid w:val="00547722"/>
    <w:rsid w:val="0054781D"/>
    <w:rsid w:val="005478C5"/>
    <w:rsid w:val="005478D2"/>
    <w:rsid w:val="00547913"/>
    <w:rsid w:val="00547A86"/>
    <w:rsid w:val="00547AD5"/>
    <w:rsid w:val="00547B1C"/>
    <w:rsid w:val="00547B8C"/>
    <w:rsid w:val="00547B91"/>
    <w:rsid w:val="00547C8A"/>
    <w:rsid w:val="00547F52"/>
    <w:rsid w:val="0055002F"/>
    <w:rsid w:val="00550056"/>
    <w:rsid w:val="00550063"/>
    <w:rsid w:val="0055015A"/>
    <w:rsid w:val="00550271"/>
    <w:rsid w:val="0055052E"/>
    <w:rsid w:val="0055066F"/>
    <w:rsid w:val="005508B6"/>
    <w:rsid w:val="005508D4"/>
    <w:rsid w:val="00550C96"/>
    <w:rsid w:val="00550D65"/>
    <w:rsid w:val="00550DFC"/>
    <w:rsid w:val="00550FEE"/>
    <w:rsid w:val="0055100C"/>
    <w:rsid w:val="00551021"/>
    <w:rsid w:val="00551068"/>
    <w:rsid w:val="0055156F"/>
    <w:rsid w:val="0055185F"/>
    <w:rsid w:val="00551A24"/>
    <w:rsid w:val="00551AB7"/>
    <w:rsid w:val="00551CD6"/>
    <w:rsid w:val="005521E6"/>
    <w:rsid w:val="005522A5"/>
    <w:rsid w:val="005522D9"/>
    <w:rsid w:val="00552310"/>
    <w:rsid w:val="0055272E"/>
    <w:rsid w:val="00553337"/>
    <w:rsid w:val="00553636"/>
    <w:rsid w:val="005536F8"/>
    <w:rsid w:val="00553786"/>
    <w:rsid w:val="005538E3"/>
    <w:rsid w:val="00553A50"/>
    <w:rsid w:val="00553BD8"/>
    <w:rsid w:val="00553C2A"/>
    <w:rsid w:val="00553F31"/>
    <w:rsid w:val="00553F4D"/>
    <w:rsid w:val="00554005"/>
    <w:rsid w:val="00554162"/>
    <w:rsid w:val="005542E5"/>
    <w:rsid w:val="00554327"/>
    <w:rsid w:val="00554383"/>
    <w:rsid w:val="005543F7"/>
    <w:rsid w:val="005544E1"/>
    <w:rsid w:val="00554517"/>
    <w:rsid w:val="005546C2"/>
    <w:rsid w:val="005548CB"/>
    <w:rsid w:val="00554981"/>
    <w:rsid w:val="00554A9E"/>
    <w:rsid w:val="00554C62"/>
    <w:rsid w:val="00554D0F"/>
    <w:rsid w:val="00554D92"/>
    <w:rsid w:val="0055534F"/>
    <w:rsid w:val="0055541F"/>
    <w:rsid w:val="00555527"/>
    <w:rsid w:val="0055580A"/>
    <w:rsid w:val="00555C28"/>
    <w:rsid w:val="0055658C"/>
    <w:rsid w:val="00556718"/>
    <w:rsid w:val="00556757"/>
    <w:rsid w:val="00556ACF"/>
    <w:rsid w:val="00556F13"/>
    <w:rsid w:val="00556F24"/>
    <w:rsid w:val="0055732C"/>
    <w:rsid w:val="005573C0"/>
    <w:rsid w:val="00557411"/>
    <w:rsid w:val="00557A1B"/>
    <w:rsid w:val="00557A74"/>
    <w:rsid w:val="00557C2B"/>
    <w:rsid w:val="00557C2E"/>
    <w:rsid w:val="00557D3C"/>
    <w:rsid w:val="0056019C"/>
    <w:rsid w:val="00560269"/>
    <w:rsid w:val="00560301"/>
    <w:rsid w:val="0056052C"/>
    <w:rsid w:val="005609EE"/>
    <w:rsid w:val="00560A23"/>
    <w:rsid w:val="00560AE9"/>
    <w:rsid w:val="0056104A"/>
    <w:rsid w:val="005613D9"/>
    <w:rsid w:val="00561548"/>
    <w:rsid w:val="00561587"/>
    <w:rsid w:val="00561823"/>
    <w:rsid w:val="005618C5"/>
    <w:rsid w:val="00561ABB"/>
    <w:rsid w:val="00561D26"/>
    <w:rsid w:val="00561E58"/>
    <w:rsid w:val="005620F4"/>
    <w:rsid w:val="00562151"/>
    <w:rsid w:val="00562292"/>
    <w:rsid w:val="005625B0"/>
    <w:rsid w:val="00562753"/>
    <w:rsid w:val="0056291C"/>
    <w:rsid w:val="0056327C"/>
    <w:rsid w:val="00563316"/>
    <w:rsid w:val="00563343"/>
    <w:rsid w:val="00563865"/>
    <w:rsid w:val="005639D3"/>
    <w:rsid w:val="00563BC5"/>
    <w:rsid w:val="00563E45"/>
    <w:rsid w:val="00564134"/>
    <w:rsid w:val="00564298"/>
    <w:rsid w:val="0056475F"/>
    <w:rsid w:val="00564810"/>
    <w:rsid w:val="005648EA"/>
    <w:rsid w:val="00564972"/>
    <w:rsid w:val="005649DB"/>
    <w:rsid w:val="00564B15"/>
    <w:rsid w:val="00564BF7"/>
    <w:rsid w:val="00564E80"/>
    <w:rsid w:val="00564EFE"/>
    <w:rsid w:val="00565244"/>
    <w:rsid w:val="00565251"/>
    <w:rsid w:val="005652DC"/>
    <w:rsid w:val="00565936"/>
    <w:rsid w:val="00565951"/>
    <w:rsid w:val="0056601A"/>
    <w:rsid w:val="005660A5"/>
    <w:rsid w:val="0056655F"/>
    <w:rsid w:val="0056667D"/>
    <w:rsid w:val="00566686"/>
    <w:rsid w:val="00566806"/>
    <w:rsid w:val="00566865"/>
    <w:rsid w:val="0056697C"/>
    <w:rsid w:val="00566B07"/>
    <w:rsid w:val="00566C01"/>
    <w:rsid w:val="00566D02"/>
    <w:rsid w:val="00566FC2"/>
    <w:rsid w:val="00567237"/>
    <w:rsid w:val="005673B6"/>
    <w:rsid w:val="005673F6"/>
    <w:rsid w:val="00567556"/>
    <w:rsid w:val="00567571"/>
    <w:rsid w:val="0056764E"/>
    <w:rsid w:val="00567957"/>
    <w:rsid w:val="00567B3A"/>
    <w:rsid w:val="00567C9E"/>
    <w:rsid w:val="00567D67"/>
    <w:rsid w:val="00567F75"/>
    <w:rsid w:val="00567F8E"/>
    <w:rsid w:val="005700ED"/>
    <w:rsid w:val="0057020D"/>
    <w:rsid w:val="00570387"/>
    <w:rsid w:val="005704AB"/>
    <w:rsid w:val="0057057E"/>
    <w:rsid w:val="005705B0"/>
    <w:rsid w:val="005705C1"/>
    <w:rsid w:val="00570692"/>
    <w:rsid w:val="005707F4"/>
    <w:rsid w:val="0057088D"/>
    <w:rsid w:val="00571032"/>
    <w:rsid w:val="0057110E"/>
    <w:rsid w:val="005716BF"/>
    <w:rsid w:val="005716E1"/>
    <w:rsid w:val="0057191B"/>
    <w:rsid w:val="00571994"/>
    <w:rsid w:val="005719A8"/>
    <w:rsid w:val="00571D12"/>
    <w:rsid w:val="00571DF6"/>
    <w:rsid w:val="00572053"/>
    <w:rsid w:val="005720E4"/>
    <w:rsid w:val="00572192"/>
    <w:rsid w:val="00572803"/>
    <w:rsid w:val="005728C4"/>
    <w:rsid w:val="005728C9"/>
    <w:rsid w:val="00572947"/>
    <w:rsid w:val="00572D26"/>
    <w:rsid w:val="0057341B"/>
    <w:rsid w:val="0057358A"/>
    <w:rsid w:val="00573655"/>
    <w:rsid w:val="0057373E"/>
    <w:rsid w:val="00573819"/>
    <w:rsid w:val="00573B76"/>
    <w:rsid w:val="00573DEF"/>
    <w:rsid w:val="00573E36"/>
    <w:rsid w:val="00574167"/>
    <w:rsid w:val="0057464C"/>
    <w:rsid w:val="0057483A"/>
    <w:rsid w:val="00574852"/>
    <w:rsid w:val="005748F3"/>
    <w:rsid w:val="00574B31"/>
    <w:rsid w:val="00574E4F"/>
    <w:rsid w:val="0057507A"/>
    <w:rsid w:val="005750AF"/>
    <w:rsid w:val="005750D3"/>
    <w:rsid w:val="00575105"/>
    <w:rsid w:val="00575299"/>
    <w:rsid w:val="005752A1"/>
    <w:rsid w:val="005756FD"/>
    <w:rsid w:val="00575719"/>
    <w:rsid w:val="005757FE"/>
    <w:rsid w:val="00575873"/>
    <w:rsid w:val="005759FA"/>
    <w:rsid w:val="00575BB2"/>
    <w:rsid w:val="00575E15"/>
    <w:rsid w:val="00575EDF"/>
    <w:rsid w:val="00576213"/>
    <w:rsid w:val="0057626E"/>
    <w:rsid w:val="005762C3"/>
    <w:rsid w:val="005764A0"/>
    <w:rsid w:val="0057678E"/>
    <w:rsid w:val="0057692C"/>
    <w:rsid w:val="00576970"/>
    <w:rsid w:val="00576B7F"/>
    <w:rsid w:val="00576E46"/>
    <w:rsid w:val="0057710B"/>
    <w:rsid w:val="00577119"/>
    <w:rsid w:val="0057729F"/>
    <w:rsid w:val="00577653"/>
    <w:rsid w:val="0057787F"/>
    <w:rsid w:val="005778D4"/>
    <w:rsid w:val="0057793E"/>
    <w:rsid w:val="00577AA8"/>
    <w:rsid w:val="00577C48"/>
    <w:rsid w:val="005801A0"/>
    <w:rsid w:val="0058045A"/>
    <w:rsid w:val="005804B6"/>
    <w:rsid w:val="0058075D"/>
    <w:rsid w:val="0058087D"/>
    <w:rsid w:val="005808BD"/>
    <w:rsid w:val="00580CE3"/>
    <w:rsid w:val="00580D0F"/>
    <w:rsid w:val="00580D6A"/>
    <w:rsid w:val="00581274"/>
    <w:rsid w:val="00581284"/>
    <w:rsid w:val="00581342"/>
    <w:rsid w:val="00581571"/>
    <w:rsid w:val="0058157C"/>
    <w:rsid w:val="005815BE"/>
    <w:rsid w:val="00581958"/>
    <w:rsid w:val="00581C22"/>
    <w:rsid w:val="00581DB1"/>
    <w:rsid w:val="00582091"/>
    <w:rsid w:val="005820AF"/>
    <w:rsid w:val="005821BD"/>
    <w:rsid w:val="00582507"/>
    <w:rsid w:val="005825DA"/>
    <w:rsid w:val="0058267B"/>
    <w:rsid w:val="0058279B"/>
    <w:rsid w:val="00582AA9"/>
    <w:rsid w:val="00582C41"/>
    <w:rsid w:val="0058326A"/>
    <w:rsid w:val="0058349B"/>
    <w:rsid w:val="00583557"/>
    <w:rsid w:val="00583621"/>
    <w:rsid w:val="005838F3"/>
    <w:rsid w:val="005839C2"/>
    <w:rsid w:val="00583A11"/>
    <w:rsid w:val="00583D08"/>
    <w:rsid w:val="00583D25"/>
    <w:rsid w:val="005840D3"/>
    <w:rsid w:val="0058435D"/>
    <w:rsid w:val="0058444A"/>
    <w:rsid w:val="00584748"/>
    <w:rsid w:val="0058495A"/>
    <w:rsid w:val="00584979"/>
    <w:rsid w:val="00584C45"/>
    <w:rsid w:val="00584C86"/>
    <w:rsid w:val="00584EA6"/>
    <w:rsid w:val="00584F36"/>
    <w:rsid w:val="005852EB"/>
    <w:rsid w:val="00585317"/>
    <w:rsid w:val="005853DA"/>
    <w:rsid w:val="005858E6"/>
    <w:rsid w:val="005859CA"/>
    <w:rsid w:val="00585B77"/>
    <w:rsid w:val="00585C6A"/>
    <w:rsid w:val="00585CA9"/>
    <w:rsid w:val="00585EEB"/>
    <w:rsid w:val="005860BC"/>
    <w:rsid w:val="00586190"/>
    <w:rsid w:val="00586272"/>
    <w:rsid w:val="0058628F"/>
    <w:rsid w:val="00586598"/>
    <w:rsid w:val="005867F0"/>
    <w:rsid w:val="005868FE"/>
    <w:rsid w:val="00586D1C"/>
    <w:rsid w:val="00586E49"/>
    <w:rsid w:val="00586F79"/>
    <w:rsid w:val="005874FF"/>
    <w:rsid w:val="00587544"/>
    <w:rsid w:val="00587661"/>
    <w:rsid w:val="005876CB"/>
    <w:rsid w:val="00587819"/>
    <w:rsid w:val="00587B00"/>
    <w:rsid w:val="00587B7E"/>
    <w:rsid w:val="00587E00"/>
    <w:rsid w:val="005900CF"/>
    <w:rsid w:val="0059093C"/>
    <w:rsid w:val="00590A5B"/>
    <w:rsid w:val="00590B3F"/>
    <w:rsid w:val="00590D24"/>
    <w:rsid w:val="00590DA2"/>
    <w:rsid w:val="00590E93"/>
    <w:rsid w:val="005913A2"/>
    <w:rsid w:val="00591453"/>
    <w:rsid w:val="0059146A"/>
    <w:rsid w:val="005915E2"/>
    <w:rsid w:val="005919B5"/>
    <w:rsid w:val="00592044"/>
    <w:rsid w:val="00592179"/>
    <w:rsid w:val="0059230A"/>
    <w:rsid w:val="005923A2"/>
    <w:rsid w:val="005924DE"/>
    <w:rsid w:val="005924F9"/>
    <w:rsid w:val="00592608"/>
    <w:rsid w:val="0059288D"/>
    <w:rsid w:val="005929B1"/>
    <w:rsid w:val="00592B10"/>
    <w:rsid w:val="00592B99"/>
    <w:rsid w:val="00592BB2"/>
    <w:rsid w:val="00592C2F"/>
    <w:rsid w:val="00592C84"/>
    <w:rsid w:val="00592DC1"/>
    <w:rsid w:val="00592EA1"/>
    <w:rsid w:val="005931BA"/>
    <w:rsid w:val="0059339A"/>
    <w:rsid w:val="00593521"/>
    <w:rsid w:val="005935C9"/>
    <w:rsid w:val="00593671"/>
    <w:rsid w:val="0059393B"/>
    <w:rsid w:val="00593B43"/>
    <w:rsid w:val="00593DEC"/>
    <w:rsid w:val="00594039"/>
    <w:rsid w:val="00594206"/>
    <w:rsid w:val="00594398"/>
    <w:rsid w:val="00594535"/>
    <w:rsid w:val="00594549"/>
    <w:rsid w:val="0059466B"/>
    <w:rsid w:val="0059477E"/>
    <w:rsid w:val="005947DF"/>
    <w:rsid w:val="005947E7"/>
    <w:rsid w:val="00594A4C"/>
    <w:rsid w:val="00594C9E"/>
    <w:rsid w:val="00594F53"/>
    <w:rsid w:val="0059506E"/>
    <w:rsid w:val="0059521E"/>
    <w:rsid w:val="00595259"/>
    <w:rsid w:val="005954FA"/>
    <w:rsid w:val="005956EC"/>
    <w:rsid w:val="005959AA"/>
    <w:rsid w:val="00595A1E"/>
    <w:rsid w:val="00595E6F"/>
    <w:rsid w:val="005961B6"/>
    <w:rsid w:val="0059673D"/>
    <w:rsid w:val="005968AA"/>
    <w:rsid w:val="00596965"/>
    <w:rsid w:val="00596BF5"/>
    <w:rsid w:val="00596CBB"/>
    <w:rsid w:val="0059704C"/>
    <w:rsid w:val="00597505"/>
    <w:rsid w:val="005977C7"/>
    <w:rsid w:val="00597A46"/>
    <w:rsid w:val="00597B1E"/>
    <w:rsid w:val="00597B81"/>
    <w:rsid w:val="00597BED"/>
    <w:rsid w:val="00597E7D"/>
    <w:rsid w:val="005A0000"/>
    <w:rsid w:val="005A005A"/>
    <w:rsid w:val="005A061A"/>
    <w:rsid w:val="005A06CD"/>
    <w:rsid w:val="005A0711"/>
    <w:rsid w:val="005A07B2"/>
    <w:rsid w:val="005A0838"/>
    <w:rsid w:val="005A09BA"/>
    <w:rsid w:val="005A09C2"/>
    <w:rsid w:val="005A09CC"/>
    <w:rsid w:val="005A0C0B"/>
    <w:rsid w:val="005A0DE1"/>
    <w:rsid w:val="005A0FB8"/>
    <w:rsid w:val="005A121B"/>
    <w:rsid w:val="005A12BD"/>
    <w:rsid w:val="005A135D"/>
    <w:rsid w:val="005A14DE"/>
    <w:rsid w:val="005A172B"/>
    <w:rsid w:val="005A1A4B"/>
    <w:rsid w:val="005A1C64"/>
    <w:rsid w:val="005A1CEB"/>
    <w:rsid w:val="005A1E56"/>
    <w:rsid w:val="005A2289"/>
    <w:rsid w:val="005A25D8"/>
    <w:rsid w:val="005A27D3"/>
    <w:rsid w:val="005A2862"/>
    <w:rsid w:val="005A2A69"/>
    <w:rsid w:val="005A2B5B"/>
    <w:rsid w:val="005A2C85"/>
    <w:rsid w:val="005A2C96"/>
    <w:rsid w:val="005A2F7B"/>
    <w:rsid w:val="005A301F"/>
    <w:rsid w:val="005A35D8"/>
    <w:rsid w:val="005A38DB"/>
    <w:rsid w:val="005A3A11"/>
    <w:rsid w:val="005A3B2B"/>
    <w:rsid w:val="005A3C29"/>
    <w:rsid w:val="005A40C4"/>
    <w:rsid w:val="005A416F"/>
    <w:rsid w:val="005A44B2"/>
    <w:rsid w:val="005A4818"/>
    <w:rsid w:val="005A48BB"/>
    <w:rsid w:val="005A4D28"/>
    <w:rsid w:val="005A4E73"/>
    <w:rsid w:val="005A4FC4"/>
    <w:rsid w:val="005A5096"/>
    <w:rsid w:val="005A51CD"/>
    <w:rsid w:val="005A538C"/>
    <w:rsid w:val="005A5586"/>
    <w:rsid w:val="005A5638"/>
    <w:rsid w:val="005A5654"/>
    <w:rsid w:val="005A5B0F"/>
    <w:rsid w:val="005A5CFF"/>
    <w:rsid w:val="005A5FDD"/>
    <w:rsid w:val="005A6128"/>
    <w:rsid w:val="005A623D"/>
    <w:rsid w:val="005A6352"/>
    <w:rsid w:val="005A638E"/>
    <w:rsid w:val="005A6549"/>
    <w:rsid w:val="005A66BA"/>
    <w:rsid w:val="005A685B"/>
    <w:rsid w:val="005A6C42"/>
    <w:rsid w:val="005A6EEB"/>
    <w:rsid w:val="005A70BA"/>
    <w:rsid w:val="005A7187"/>
    <w:rsid w:val="005A75EC"/>
    <w:rsid w:val="005A7642"/>
    <w:rsid w:val="005A7706"/>
    <w:rsid w:val="005A7822"/>
    <w:rsid w:val="005A7858"/>
    <w:rsid w:val="005A788F"/>
    <w:rsid w:val="005A7C06"/>
    <w:rsid w:val="005A7CF1"/>
    <w:rsid w:val="005A7D58"/>
    <w:rsid w:val="005B01B9"/>
    <w:rsid w:val="005B01EB"/>
    <w:rsid w:val="005B02A4"/>
    <w:rsid w:val="005B02D1"/>
    <w:rsid w:val="005B02F6"/>
    <w:rsid w:val="005B043C"/>
    <w:rsid w:val="005B0448"/>
    <w:rsid w:val="005B04A6"/>
    <w:rsid w:val="005B0C9A"/>
    <w:rsid w:val="005B0D8B"/>
    <w:rsid w:val="005B11A1"/>
    <w:rsid w:val="005B11BA"/>
    <w:rsid w:val="005B139A"/>
    <w:rsid w:val="005B140B"/>
    <w:rsid w:val="005B1449"/>
    <w:rsid w:val="005B194A"/>
    <w:rsid w:val="005B1C88"/>
    <w:rsid w:val="005B1CEE"/>
    <w:rsid w:val="005B1D1D"/>
    <w:rsid w:val="005B1D70"/>
    <w:rsid w:val="005B1E42"/>
    <w:rsid w:val="005B2080"/>
    <w:rsid w:val="005B2164"/>
    <w:rsid w:val="005B2460"/>
    <w:rsid w:val="005B2513"/>
    <w:rsid w:val="005B2594"/>
    <w:rsid w:val="005B25EB"/>
    <w:rsid w:val="005B261F"/>
    <w:rsid w:val="005B2778"/>
    <w:rsid w:val="005B29DE"/>
    <w:rsid w:val="005B2BC4"/>
    <w:rsid w:val="005B2BF0"/>
    <w:rsid w:val="005B30DA"/>
    <w:rsid w:val="005B3184"/>
    <w:rsid w:val="005B3227"/>
    <w:rsid w:val="005B35B3"/>
    <w:rsid w:val="005B365F"/>
    <w:rsid w:val="005B36BB"/>
    <w:rsid w:val="005B37D9"/>
    <w:rsid w:val="005B3BD4"/>
    <w:rsid w:val="005B3C04"/>
    <w:rsid w:val="005B3F0F"/>
    <w:rsid w:val="005B4126"/>
    <w:rsid w:val="005B4408"/>
    <w:rsid w:val="005B4622"/>
    <w:rsid w:val="005B4689"/>
    <w:rsid w:val="005B4A03"/>
    <w:rsid w:val="005B4A67"/>
    <w:rsid w:val="005B4A93"/>
    <w:rsid w:val="005B4ACD"/>
    <w:rsid w:val="005B4B0B"/>
    <w:rsid w:val="005B4DD3"/>
    <w:rsid w:val="005B4E39"/>
    <w:rsid w:val="005B4FB6"/>
    <w:rsid w:val="005B4FF3"/>
    <w:rsid w:val="005B51C5"/>
    <w:rsid w:val="005B52A6"/>
    <w:rsid w:val="005B539A"/>
    <w:rsid w:val="005B548D"/>
    <w:rsid w:val="005B58C9"/>
    <w:rsid w:val="005B5B9B"/>
    <w:rsid w:val="005B5DA3"/>
    <w:rsid w:val="005B5DA7"/>
    <w:rsid w:val="005B5E3D"/>
    <w:rsid w:val="005B5EB1"/>
    <w:rsid w:val="005B64E7"/>
    <w:rsid w:val="005B669E"/>
    <w:rsid w:val="005B687B"/>
    <w:rsid w:val="005B691F"/>
    <w:rsid w:val="005B6A2C"/>
    <w:rsid w:val="005B6B67"/>
    <w:rsid w:val="005B6D5B"/>
    <w:rsid w:val="005B7079"/>
    <w:rsid w:val="005B7324"/>
    <w:rsid w:val="005B73FE"/>
    <w:rsid w:val="005B746E"/>
    <w:rsid w:val="005B7770"/>
    <w:rsid w:val="005B779D"/>
    <w:rsid w:val="005B77E2"/>
    <w:rsid w:val="005B7846"/>
    <w:rsid w:val="005B7848"/>
    <w:rsid w:val="005B7986"/>
    <w:rsid w:val="005B7C8B"/>
    <w:rsid w:val="005B7E9D"/>
    <w:rsid w:val="005C030F"/>
    <w:rsid w:val="005C03BA"/>
    <w:rsid w:val="005C0602"/>
    <w:rsid w:val="005C0689"/>
    <w:rsid w:val="005C097D"/>
    <w:rsid w:val="005C0A39"/>
    <w:rsid w:val="005C0C19"/>
    <w:rsid w:val="005C0C62"/>
    <w:rsid w:val="005C0CDD"/>
    <w:rsid w:val="005C0F01"/>
    <w:rsid w:val="005C1435"/>
    <w:rsid w:val="005C14B4"/>
    <w:rsid w:val="005C150F"/>
    <w:rsid w:val="005C15A7"/>
    <w:rsid w:val="005C163C"/>
    <w:rsid w:val="005C16E7"/>
    <w:rsid w:val="005C1749"/>
    <w:rsid w:val="005C1AC8"/>
    <w:rsid w:val="005C1CA7"/>
    <w:rsid w:val="005C1E31"/>
    <w:rsid w:val="005C2157"/>
    <w:rsid w:val="005C2446"/>
    <w:rsid w:val="005C27A4"/>
    <w:rsid w:val="005C294A"/>
    <w:rsid w:val="005C29FA"/>
    <w:rsid w:val="005C2AF0"/>
    <w:rsid w:val="005C2B98"/>
    <w:rsid w:val="005C2C61"/>
    <w:rsid w:val="005C2CAA"/>
    <w:rsid w:val="005C2DA5"/>
    <w:rsid w:val="005C2DAF"/>
    <w:rsid w:val="005C2E22"/>
    <w:rsid w:val="005C2E77"/>
    <w:rsid w:val="005C2FE1"/>
    <w:rsid w:val="005C31DD"/>
    <w:rsid w:val="005C360F"/>
    <w:rsid w:val="005C3A61"/>
    <w:rsid w:val="005C3DEB"/>
    <w:rsid w:val="005C4213"/>
    <w:rsid w:val="005C4441"/>
    <w:rsid w:val="005C4478"/>
    <w:rsid w:val="005C4837"/>
    <w:rsid w:val="005C4995"/>
    <w:rsid w:val="005C49F7"/>
    <w:rsid w:val="005C4DB6"/>
    <w:rsid w:val="005C4E5A"/>
    <w:rsid w:val="005C4EE9"/>
    <w:rsid w:val="005C5192"/>
    <w:rsid w:val="005C5356"/>
    <w:rsid w:val="005C564C"/>
    <w:rsid w:val="005C58E8"/>
    <w:rsid w:val="005C5AF1"/>
    <w:rsid w:val="005C5CB9"/>
    <w:rsid w:val="005C5F3B"/>
    <w:rsid w:val="005C617B"/>
    <w:rsid w:val="005C64D1"/>
    <w:rsid w:val="005C6509"/>
    <w:rsid w:val="005C659A"/>
    <w:rsid w:val="005C6664"/>
    <w:rsid w:val="005C6816"/>
    <w:rsid w:val="005C68D6"/>
    <w:rsid w:val="005C6AED"/>
    <w:rsid w:val="005C6EF4"/>
    <w:rsid w:val="005C706F"/>
    <w:rsid w:val="005C71CC"/>
    <w:rsid w:val="005C77A8"/>
    <w:rsid w:val="005C77F3"/>
    <w:rsid w:val="005C7852"/>
    <w:rsid w:val="005C79E5"/>
    <w:rsid w:val="005C7A44"/>
    <w:rsid w:val="005C7A98"/>
    <w:rsid w:val="005C7DB8"/>
    <w:rsid w:val="005C7ECD"/>
    <w:rsid w:val="005C7F4A"/>
    <w:rsid w:val="005D00B0"/>
    <w:rsid w:val="005D0632"/>
    <w:rsid w:val="005D063A"/>
    <w:rsid w:val="005D0653"/>
    <w:rsid w:val="005D06E1"/>
    <w:rsid w:val="005D083A"/>
    <w:rsid w:val="005D0D91"/>
    <w:rsid w:val="005D0E4B"/>
    <w:rsid w:val="005D0E6F"/>
    <w:rsid w:val="005D0E91"/>
    <w:rsid w:val="005D0EF0"/>
    <w:rsid w:val="005D0F86"/>
    <w:rsid w:val="005D0F92"/>
    <w:rsid w:val="005D1005"/>
    <w:rsid w:val="005D1192"/>
    <w:rsid w:val="005D12AF"/>
    <w:rsid w:val="005D1314"/>
    <w:rsid w:val="005D141C"/>
    <w:rsid w:val="005D148E"/>
    <w:rsid w:val="005D1684"/>
    <w:rsid w:val="005D177B"/>
    <w:rsid w:val="005D1810"/>
    <w:rsid w:val="005D1C27"/>
    <w:rsid w:val="005D1E5F"/>
    <w:rsid w:val="005D212D"/>
    <w:rsid w:val="005D2193"/>
    <w:rsid w:val="005D2423"/>
    <w:rsid w:val="005D244B"/>
    <w:rsid w:val="005D24E5"/>
    <w:rsid w:val="005D25F4"/>
    <w:rsid w:val="005D29D4"/>
    <w:rsid w:val="005D2A9D"/>
    <w:rsid w:val="005D3016"/>
    <w:rsid w:val="005D3024"/>
    <w:rsid w:val="005D30A3"/>
    <w:rsid w:val="005D3158"/>
    <w:rsid w:val="005D31C0"/>
    <w:rsid w:val="005D33DD"/>
    <w:rsid w:val="005D35DC"/>
    <w:rsid w:val="005D362A"/>
    <w:rsid w:val="005D36EB"/>
    <w:rsid w:val="005D372C"/>
    <w:rsid w:val="005D3858"/>
    <w:rsid w:val="005D3B54"/>
    <w:rsid w:val="005D3C44"/>
    <w:rsid w:val="005D3C49"/>
    <w:rsid w:val="005D3E58"/>
    <w:rsid w:val="005D3E9C"/>
    <w:rsid w:val="005D4077"/>
    <w:rsid w:val="005D40CB"/>
    <w:rsid w:val="005D40FB"/>
    <w:rsid w:val="005D442B"/>
    <w:rsid w:val="005D4642"/>
    <w:rsid w:val="005D4892"/>
    <w:rsid w:val="005D4942"/>
    <w:rsid w:val="005D4ACA"/>
    <w:rsid w:val="005D4F1C"/>
    <w:rsid w:val="005D507A"/>
    <w:rsid w:val="005D51D3"/>
    <w:rsid w:val="005D51DE"/>
    <w:rsid w:val="005D566D"/>
    <w:rsid w:val="005D58B3"/>
    <w:rsid w:val="005D596E"/>
    <w:rsid w:val="005D5CC8"/>
    <w:rsid w:val="005D5DE0"/>
    <w:rsid w:val="005D5EA0"/>
    <w:rsid w:val="005D5EF7"/>
    <w:rsid w:val="005D609A"/>
    <w:rsid w:val="005D60A1"/>
    <w:rsid w:val="005D629F"/>
    <w:rsid w:val="005D6588"/>
    <w:rsid w:val="005D6B60"/>
    <w:rsid w:val="005D6BF4"/>
    <w:rsid w:val="005D6BFD"/>
    <w:rsid w:val="005D6F2A"/>
    <w:rsid w:val="005D7029"/>
    <w:rsid w:val="005D70EC"/>
    <w:rsid w:val="005D726E"/>
    <w:rsid w:val="005D786D"/>
    <w:rsid w:val="005D7941"/>
    <w:rsid w:val="005D7A7E"/>
    <w:rsid w:val="005D7B7A"/>
    <w:rsid w:val="005D7E02"/>
    <w:rsid w:val="005E038B"/>
    <w:rsid w:val="005E0400"/>
    <w:rsid w:val="005E046A"/>
    <w:rsid w:val="005E0475"/>
    <w:rsid w:val="005E10BC"/>
    <w:rsid w:val="005E1267"/>
    <w:rsid w:val="005E13BF"/>
    <w:rsid w:val="005E16E2"/>
    <w:rsid w:val="005E175E"/>
    <w:rsid w:val="005E195E"/>
    <w:rsid w:val="005E20D2"/>
    <w:rsid w:val="005E22EC"/>
    <w:rsid w:val="005E23E4"/>
    <w:rsid w:val="005E2454"/>
    <w:rsid w:val="005E24D3"/>
    <w:rsid w:val="005E2FA9"/>
    <w:rsid w:val="005E2FD2"/>
    <w:rsid w:val="005E3063"/>
    <w:rsid w:val="005E3112"/>
    <w:rsid w:val="005E3152"/>
    <w:rsid w:val="005E31A4"/>
    <w:rsid w:val="005E32DA"/>
    <w:rsid w:val="005E32DF"/>
    <w:rsid w:val="005E32FB"/>
    <w:rsid w:val="005E36E9"/>
    <w:rsid w:val="005E37C3"/>
    <w:rsid w:val="005E3A5F"/>
    <w:rsid w:val="005E3C2F"/>
    <w:rsid w:val="005E3DD1"/>
    <w:rsid w:val="005E3FC3"/>
    <w:rsid w:val="005E40D7"/>
    <w:rsid w:val="005E4373"/>
    <w:rsid w:val="005E43A5"/>
    <w:rsid w:val="005E44DF"/>
    <w:rsid w:val="005E44EC"/>
    <w:rsid w:val="005E4742"/>
    <w:rsid w:val="005E4773"/>
    <w:rsid w:val="005E483B"/>
    <w:rsid w:val="005E4BF8"/>
    <w:rsid w:val="005E4D7D"/>
    <w:rsid w:val="005E4F08"/>
    <w:rsid w:val="005E4F7A"/>
    <w:rsid w:val="005E4FA4"/>
    <w:rsid w:val="005E5665"/>
    <w:rsid w:val="005E5764"/>
    <w:rsid w:val="005E582E"/>
    <w:rsid w:val="005E5A85"/>
    <w:rsid w:val="005E5AE2"/>
    <w:rsid w:val="005E5C9B"/>
    <w:rsid w:val="005E5D74"/>
    <w:rsid w:val="005E5E23"/>
    <w:rsid w:val="005E5F3A"/>
    <w:rsid w:val="005E5F5D"/>
    <w:rsid w:val="005E62CB"/>
    <w:rsid w:val="005E644D"/>
    <w:rsid w:val="005E6725"/>
    <w:rsid w:val="005E6976"/>
    <w:rsid w:val="005E6BA2"/>
    <w:rsid w:val="005E6C9D"/>
    <w:rsid w:val="005E6DC2"/>
    <w:rsid w:val="005E6F9F"/>
    <w:rsid w:val="005E7448"/>
    <w:rsid w:val="005E770C"/>
    <w:rsid w:val="005E78D3"/>
    <w:rsid w:val="005E7998"/>
    <w:rsid w:val="005E7B13"/>
    <w:rsid w:val="005E7BA6"/>
    <w:rsid w:val="005E7D33"/>
    <w:rsid w:val="005E7E71"/>
    <w:rsid w:val="005E7EFC"/>
    <w:rsid w:val="005F0002"/>
    <w:rsid w:val="005F00E8"/>
    <w:rsid w:val="005F0138"/>
    <w:rsid w:val="005F0141"/>
    <w:rsid w:val="005F06DC"/>
    <w:rsid w:val="005F074A"/>
    <w:rsid w:val="005F0D90"/>
    <w:rsid w:val="005F0F37"/>
    <w:rsid w:val="005F0F5C"/>
    <w:rsid w:val="005F0FCC"/>
    <w:rsid w:val="005F103D"/>
    <w:rsid w:val="005F14AA"/>
    <w:rsid w:val="005F1578"/>
    <w:rsid w:val="005F1851"/>
    <w:rsid w:val="005F1CC6"/>
    <w:rsid w:val="005F1D00"/>
    <w:rsid w:val="005F1E12"/>
    <w:rsid w:val="005F241B"/>
    <w:rsid w:val="005F24D4"/>
    <w:rsid w:val="005F2793"/>
    <w:rsid w:val="005F29AF"/>
    <w:rsid w:val="005F2A06"/>
    <w:rsid w:val="005F2E06"/>
    <w:rsid w:val="005F2F00"/>
    <w:rsid w:val="005F31B6"/>
    <w:rsid w:val="005F3416"/>
    <w:rsid w:val="005F3607"/>
    <w:rsid w:val="005F36BB"/>
    <w:rsid w:val="005F377E"/>
    <w:rsid w:val="005F3909"/>
    <w:rsid w:val="005F3ADC"/>
    <w:rsid w:val="005F3C16"/>
    <w:rsid w:val="005F3C2A"/>
    <w:rsid w:val="005F4596"/>
    <w:rsid w:val="005F46A4"/>
    <w:rsid w:val="005F46F1"/>
    <w:rsid w:val="005F47F2"/>
    <w:rsid w:val="005F4881"/>
    <w:rsid w:val="005F4A27"/>
    <w:rsid w:val="005F4CE9"/>
    <w:rsid w:val="005F4F15"/>
    <w:rsid w:val="005F5282"/>
    <w:rsid w:val="005F53D5"/>
    <w:rsid w:val="005F55CF"/>
    <w:rsid w:val="005F5B4E"/>
    <w:rsid w:val="005F5D77"/>
    <w:rsid w:val="005F5E17"/>
    <w:rsid w:val="005F6060"/>
    <w:rsid w:val="005F616B"/>
    <w:rsid w:val="005F623C"/>
    <w:rsid w:val="005F669C"/>
    <w:rsid w:val="005F674D"/>
    <w:rsid w:val="005F6763"/>
    <w:rsid w:val="005F6924"/>
    <w:rsid w:val="005F6B19"/>
    <w:rsid w:val="005F6DA0"/>
    <w:rsid w:val="005F75DD"/>
    <w:rsid w:val="005F77A3"/>
    <w:rsid w:val="005F77F8"/>
    <w:rsid w:val="005F791F"/>
    <w:rsid w:val="005F7A61"/>
    <w:rsid w:val="005F7AB5"/>
    <w:rsid w:val="005F7DB8"/>
    <w:rsid w:val="00600236"/>
    <w:rsid w:val="006002B6"/>
    <w:rsid w:val="006002E6"/>
    <w:rsid w:val="0060048A"/>
    <w:rsid w:val="006005B4"/>
    <w:rsid w:val="0060065A"/>
    <w:rsid w:val="006008CC"/>
    <w:rsid w:val="00600A60"/>
    <w:rsid w:val="00600C2F"/>
    <w:rsid w:val="00600CAE"/>
    <w:rsid w:val="00600E63"/>
    <w:rsid w:val="006010EF"/>
    <w:rsid w:val="00601178"/>
    <w:rsid w:val="006015B8"/>
    <w:rsid w:val="00601D20"/>
    <w:rsid w:val="00601DB0"/>
    <w:rsid w:val="00601EC6"/>
    <w:rsid w:val="00602093"/>
    <w:rsid w:val="0060219F"/>
    <w:rsid w:val="006022C0"/>
    <w:rsid w:val="0060236F"/>
    <w:rsid w:val="00602500"/>
    <w:rsid w:val="00602671"/>
    <w:rsid w:val="0060288E"/>
    <w:rsid w:val="006029F2"/>
    <w:rsid w:val="00602A0D"/>
    <w:rsid w:val="0060308D"/>
    <w:rsid w:val="00603193"/>
    <w:rsid w:val="00603267"/>
    <w:rsid w:val="006032D7"/>
    <w:rsid w:val="00603356"/>
    <w:rsid w:val="006033A3"/>
    <w:rsid w:val="00603A07"/>
    <w:rsid w:val="00603CDC"/>
    <w:rsid w:val="00603E25"/>
    <w:rsid w:val="00603F44"/>
    <w:rsid w:val="00604091"/>
    <w:rsid w:val="006045E0"/>
    <w:rsid w:val="00604946"/>
    <w:rsid w:val="00604B7C"/>
    <w:rsid w:val="00604BA2"/>
    <w:rsid w:val="00604C14"/>
    <w:rsid w:val="00604C7B"/>
    <w:rsid w:val="00604F22"/>
    <w:rsid w:val="00604FE3"/>
    <w:rsid w:val="00605128"/>
    <w:rsid w:val="006051D9"/>
    <w:rsid w:val="006053B4"/>
    <w:rsid w:val="00605564"/>
    <w:rsid w:val="0060567F"/>
    <w:rsid w:val="00605965"/>
    <w:rsid w:val="0060598C"/>
    <w:rsid w:val="006059C4"/>
    <w:rsid w:val="00605BEB"/>
    <w:rsid w:val="00605D64"/>
    <w:rsid w:val="006069F4"/>
    <w:rsid w:val="00606DC0"/>
    <w:rsid w:val="00606DE1"/>
    <w:rsid w:val="00606E96"/>
    <w:rsid w:val="00607025"/>
    <w:rsid w:val="00607040"/>
    <w:rsid w:val="00607057"/>
    <w:rsid w:val="006072BB"/>
    <w:rsid w:val="00607342"/>
    <w:rsid w:val="0060749C"/>
    <w:rsid w:val="0060764E"/>
    <w:rsid w:val="00607869"/>
    <w:rsid w:val="00607D53"/>
    <w:rsid w:val="00607ED7"/>
    <w:rsid w:val="00610055"/>
    <w:rsid w:val="006101D1"/>
    <w:rsid w:val="00610309"/>
    <w:rsid w:val="00610390"/>
    <w:rsid w:val="0061048D"/>
    <w:rsid w:val="0061063C"/>
    <w:rsid w:val="006109B9"/>
    <w:rsid w:val="006109BB"/>
    <w:rsid w:val="00610F90"/>
    <w:rsid w:val="0061102F"/>
    <w:rsid w:val="00611325"/>
    <w:rsid w:val="0061132C"/>
    <w:rsid w:val="006113CB"/>
    <w:rsid w:val="006113FC"/>
    <w:rsid w:val="006115C6"/>
    <w:rsid w:val="00611A01"/>
    <w:rsid w:val="00611B1A"/>
    <w:rsid w:val="00611F45"/>
    <w:rsid w:val="00611FB4"/>
    <w:rsid w:val="006120B1"/>
    <w:rsid w:val="006120E5"/>
    <w:rsid w:val="00612206"/>
    <w:rsid w:val="006122ED"/>
    <w:rsid w:val="006125C9"/>
    <w:rsid w:val="00612817"/>
    <w:rsid w:val="006128DD"/>
    <w:rsid w:val="00612A2B"/>
    <w:rsid w:val="00612A4C"/>
    <w:rsid w:val="00612BBF"/>
    <w:rsid w:val="00612DC9"/>
    <w:rsid w:val="00612F30"/>
    <w:rsid w:val="00613557"/>
    <w:rsid w:val="00613677"/>
    <w:rsid w:val="006136D3"/>
    <w:rsid w:val="0061399B"/>
    <w:rsid w:val="00613B96"/>
    <w:rsid w:val="00613CB5"/>
    <w:rsid w:val="00613E4A"/>
    <w:rsid w:val="00613FB2"/>
    <w:rsid w:val="00613FE6"/>
    <w:rsid w:val="006142C8"/>
    <w:rsid w:val="006145CA"/>
    <w:rsid w:val="0061478A"/>
    <w:rsid w:val="00614923"/>
    <w:rsid w:val="00614960"/>
    <w:rsid w:val="006149AA"/>
    <w:rsid w:val="00614E3E"/>
    <w:rsid w:val="00615202"/>
    <w:rsid w:val="006152B8"/>
    <w:rsid w:val="00615552"/>
    <w:rsid w:val="006155AE"/>
    <w:rsid w:val="0061564B"/>
    <w:rsid w:val="006158ED"/>
    <w:rsid w:val="00615D5C"/>
    <w:rsid w:val="00615FC2"/>
    <w:rsid w:val="0061604F"/>
    <w:rsid w:val="00616487"/>
    <w:rsid w:val="006166A3"/>
    <w:rsid w:val="006167B3"/>
    <w:rsid w:val="006167CA"/>
    <w:rsid w:val="00616D51"/>
    <w:rsid w:val="00616FDB"/>
    <w:rsid w:val="00616FFA"/>
    <w:rsid w:val="00617146"/>
    <w:rsid w:val="006171E6"/>
    <w:rsid w:val="00617758"/>
    <w:rsid w:val="006177BD"/>
    <w:rsid w:val="00617810"/>
    <w:rsid w:val="006178F0"/>
    <w:rsid w:val="00617A04"/>
    <w:rsid w:val="00617CE3"/>
    <w:rsid w:val="00620319"/>
    <w:rsid w:val="0062057D"/>
    <w:rsid w:val="0062069B"/>
    <w:rsid w:val="00620860"/>
    <w:rsid w:val="006208A9"/>
    <w:rsid w:val="0062094D"/>
    <w:rsid w:val="00620FC6"/>
    <w:rsid w:val="00621264"/>
    <w:rsid w:val="00621276"/>
    <w:rsid w:val="00621408"/>
    <w:rsid w:val="0062160F"/>
    <w:rsid w:val="00621694"/>
    <w:rsid w:val="00621822"/>
    <w:rsid w:val="006219CC"/>
    <w:rsid w:val="00621B28"/>
    <w:rsid w:val="00621B65"/>
    <w:rsid w:val="00621D94"/>
    <w:rsid w:val="00621DA1"/>
    <w:rsid w:val="00621E1C"/>
    <w:rsid w:val="00621E9E"/>
    <w:rsid w:val="00621EBA"/>
    <w:rsid w:val="00621F58"/>
    <w:rsid w:val="006220A7"/>
    <w:rsid w:val="00622415"/>
    <w:rsid w:val="006225F2"/>
    <w:rsid w:val="00622616"/>
    <w:rsid w:val="00622CB1"/>
    <w:rsid w:val="00622D99"/>
    <w:rsid w:val="00623319"/>
    <w:rsid w:val="006235AA"/>
    <w:rsid w:val="0062379D"/>
    <w:rsid w:val="006239B9"/>
    <w:rsid w:val="00623CAA"/>
    <w:rsid w:val="00623D5D"/>
    <w:rsid w:val="00623EA7"/>
    <w:rsid w:val="006241FF"/>
    <w:rsid w:val="006242D5"/>
    <w:rsid w:val="006243F0"/>
    <w:rsid w:val="006243FE"/>
    <w:rsid w:val="00624996"/>
    <w:rsid w:val="00624AE8"/>
    <w:rsid w:val="00624B5E"/>
    <w:rsid w:val="00624FD0"/>
    <w:rsid w:val="00625347"/>
    <w:rsid w:val="00625361"/>
    <w:rsid w:val="0062552B"/>
    <w:rsid w:val="0062554F"/>
    <w:rsid w:val="00625554"/>
    <w:rsid w:val="006258CA"/>
    <w:rsid w:val="006258E9"/>
    <w:rsid w:val="00625A76"/>
    <w:rsid w:val="00625B57"/>
    <w:rsid w:val="00625B71"/>
    <w:rsid w:val="00625C34"/>
    <w:rsid w:val="00625C92"/>
    <w:rsid w:val="00625CC5"/>
    <w:rsid w:val="00625DA5"/>
    <w:rsid w:val="006260FD"/>
    <w:rsid w:val="006262E1"/>
    <w:rsid w:val="00626313"/>
    <w:rsid w:val="00626544"/>
    <w:rsid w:val="00626554"/>
    <w:rsid w:val="00626B41"/>
    <w:rsid w:val="0062706B"/>
    <w:rsid w:val="00627104"/>
    <w:rsid w:val="0062727A"/>
    <w:rsid w:val="00627423"/>
    <w:rsid w:val="0062746F"/>
    <w:rsid w:val="006278C2"/>
    <w:rsid w:val="0062792F"/>
    <w:rsid w:val="0063015A"/>
    <w:rsid w:val="006302C8"/>
    <w:rsid w:val="00630383"/>
    <w:rsid w:val="006303D7"/>
    <w:rsid w:val="00630642"/>
    <w:rsid w:val="00630883"/>
    <w:rsid w:val="00630A07"/>
    <w:rsid w:val="00630AB2"/>
    <w:rsid w:val="00630CF0"/>
    <w:rsid w:val="00630E92"/>
    <w:rsid w:val="006310AE"/>
    <w:rsid w:val="006312F6"/>
    <w:rsid w:val="00631633"/>
    <w:rsid w:val="00631924"/>
    <w:rsid w:val="00631B0B"/>
    <w:rsid w:val="00631C85"/>
    <w:rsid w:val="00631D90"/>
    <w:rsid w:val="00631FC7"/>
    <w:rsid w:val="006320BB"/>
    <w:rsid w:val="00632158"/>
    <w:rsid w:val="0063215E"/>
    <w:rsid w:val="006324A3"/>
    <w:rsid w:val="00632777"/>
    <w:rsid w:val="0063287B"/>
    <w:rsid w:val="006328B4"/>
    <w:rsid w:val="00632954"/>
    <w:rsid w:val="00632996"/>
    <w:rsid w:val="00632C79"/>
    <w:rsid w:val="00632C88"/>
    <w:rsid w:val="00632E4F"/>
    <w:rsid w:val="00633028"/>
    <w:rsid w:val="006330A8"/>
    <w:rsid w:val="00633186"/>
    <w:rsid w:val="0063319B"/>
    <w:rsid w:val="006332F4"/>
    <w:rsid w:val="0063337E"/>
    <w:rsid w:val="006334D3"/>
    <w:rsid w:val="00633568"/>
    <w:rsid w:val="00633819"/>
    <w:rsid w:val="00633963"/>
    <w:rsid w:val="00633B95"/>
    <w:rsid w:val="00633F7A"/>
    <w:rsid w:val="0063413D"/>
    <w:rsid w:val="006341DE"/>
    <w:rsid w:val="006342DF"/>
    <w:rsid w:val="00634387"/>
    <w:rsid w:val="00634991"/>
    <w:rsid w:val="00634B03"/>
    <w:rsid w:val="00634CD5"/>
    <w:rsid w:val="00634CEE"/>
    <w:rsid w:val="00634D62"/>
    <w:rsid w:val="00634F2F"/>
    <w:rsid w:val="00634F89"/>
    <w:rsid w:val="00634FB5"/>
    <w:rsid w:val="00635047"/>
    <w:rsid w:val="006350E8"/>
    <w:rsid w:val="00635286"/>
    <w:rsid w:val="00635392"/>
    <w:rsid w:val="00635402"/>
    <w:rsid w:val="006354E8"/>
    <w:rsid w:val="006357D7"/>
    <w:rsid w:val="00635A1B"/>
    <w:rsid w:val="00635A59"/>
    <w:rsid w:val="00635B72"/>
    <w:rsid w:val="00635F21"/>
    <w:rsid w:val="00636724"/>
    <w:rsid w:val="00636763"/>
    <w:rsid w:val="00636827"/>
    <w:rsid w:val="006368C2"/>
    <w:rsid w:val="00636997"/>
    <w:rsid w:val="00636C87"/>
    <w:rsid w:val="00636CB5"/>
    <w:rsid w:val="00636D76"/>
    <w:rsid w:val="00637072"/>
    <w:rsid w:val="0063708B"/>
    <w:rsid w:val="006370A7"/>
    <w:rsid w:val="006372A9"/>
    <w:rsid w:val="006373D6"/>
    <w:rsid w:val="0063748B"/>
    <w:rsid w:val="00637495"/>
    <w:rsid w:val="00637702"/>
    <w:rsid w:val="00637714"/>
    <w:rsid w:val="00637AAD"/>
    <w:rsid w:val="00637AE4"/>
    <w:rsid w:val="00637C05"/>
    <w:rsid w:val="00637C45"/>
    <w:rsid w:val="0064002B"/>
    <w:rsid w:val="006402D2"/>
    <w:rsid w:val="00640340"/>
    <w:rsid w:val="00640437"/>
    <w:rsid w:val="00640453"/>
    <w:rsid w:val="00640792"/>
    <w:rsid w:val="0064099A"/>
    <w:rsid w:val="00640B79"/>
    <w:rsid w:val="00641970"/>
    <w:rsid w:val="00641A68"/>
    <w:rsid w:val="00641B2F"/>
    <w:rsid w:val="00641C85"/>
    <w:rsid w:val="0064201C"/>
    <w:rsid w:val="00642034"/>
    <w:rsid w:val="0064236C"/>
    <w:rsid w:val="00642621"/>
    <w:rsid w:val="00642BC7"/>
    <w:rsid w:val="00642DC9"/>
    <w:rsid w:val="00642DCF"/>
    <w:rsid w:val="00643402"/>
    <w:rsid w:val="00643481"/>
    <w:rsid w:val="00643495"/>
    <w:rsid w:val="0064359F"/>
    <w:rsid w:val="00643821"/>
    <w:rsid w:val="00643874"/>
    <w:rsid w:val="00643B19"/>
    <w:rsid w:val="00643C6D"/>
    <w:rsid w:val="00643D48"/>
    <w:rsid w:val="00643EA9"/>
    <w:rsid w:val="00643F55"/>
    <w:rsid w:val="00644317"/>
    <w:rsid w:val="00644538"/>
    <w:rsid w:val="0064455B"/>
    <w:rsid w:val="00644707"/>
    <w:rsid w:val="00644709"/>
    <w:rsid w:val="006447B4"/>
    <w:rsid w:val="00644A32"/>
    <w:rsid w:val="00644CC8"/>
    <w:rsid w:val="00644CFD"/>
    <w:rsid w:val="00644D09"/>
    <w:rsid w:val="0064517A"/>
    <w:rsid w:val="00645262"/>
    <w:rsid w:val="006453E0"/>
    <w:rsid w:val="00645440"/>
    <w:rsid w:val="0064556D"/>
    <w:rsid w:val="006456C6"/>
    <w:rsid w:val="0064587B"/>
    <w:rsid w:val="00645A07"/>
    <w:rsid w:val="00645A09"/>
    <w:rsid w:val="00645A95"/>
    <w:rsid w:val="00645DE2"/>
    <w:rsid w:val="00645F44"/>
    <w:rsid w:val="00645FDD"/>
    <w:rsid w:val="0064603F"/>
    <w:rsid w:val="0064607A"/>
    <w:rsid w:val="006460B2"/>
    <w:rsid w:val="006464DA"/>
    <w:rsid w:val="006465E0"/>
    <w:rsid w:val="006467A1"/>
    <w:rsid w:val="00646935"/>
    <w:rsid w:val="00646A2A"/>
    <w:rsid w:val="00646E22"/>
    <w:rsid w:val="00647031"/>
    <w:rsid w:val="00647062"/>
    <w:rsid w:val="0064708B"/>
    <w:rsid w:val="0064710B"/>
    <w:rsid w:val="0064775E"/>
    <w:rsid w:val="0064785A"/>
    <w:rsid w:val="00647A91"/>
    <w:rsid w:val="00647ACF"/>
    <w:rsid w:val="00647B4A"/>
    <w:rsid w:val="00647B87"/>
    <w:rsid w:val="00647CA2"/>
    <w:rsid w:val="00647EFB"/>
    <w:rsid w:val="006501B5"/>
    <w:rsid w:val="006501EA"/>
    <w:rsid w:val="00650315"/>
    <w:rsid w:val="006506FA"/>
    <w:rsid w:val="0065099F"/>
    <w:rsid w:val="00650B78"/>
    <w:rsid w:val="00650B92"/>
    <w:rsid w:val="00650BB2"/>
    <w:rsid w:val="00650CC2"/>
    <w:rsid w:val="00650D91"/>
    <w:rsid w:val="00650E12"/>
    <w:rsid w:val="00650E16"/>
    <w:rsid w:val="00650F5C"/>
    <w:rsid w:val="00650FA0"/>
    <w:rsid w:val="00650FF4"/>
    <w:rsid w:val="00651117"/>
    <w:rsid w:val="006511B9"/>
    <w:rsid w:val="006511D3"/>
    <w:rsid w:val="006512B4"/>
    <w:rsid w:val="006512BB"/>
    <w:rsid w:val="00651920"/>
    <w:rsid w:val="00651B34"/>
    <w:rsid w:val="00652603"/>
    <w:rsid w:val="00652722"/>
    <w:rsid w:val="00652864"/>
    <w:rsid w:val="00652A61"/>
    <w:rsid w:val="00652A7C"/>
    <w:rsid w:val="00652BB4"/>
    <w:rsid w:val="00652CE5"/>
    <w:rsid w:val="00652D34"/>
    <w:rsid w:val="00652DED"/>
    <w:rsid w:val="00652DFC"/>
    <w:rsid w:val="00652FB5"/>
    <w:rsid w:val="0065311F"/>
    <w:rsid w:val="00653437"/>
    <w:rsid w:val="0065348F"/>
    <w:rsid w:val="006535DB"/>
    <w:rsid w:val="006538AB"/>
    <w:rsid w:val="006541D0"/>
    <w:rsid w:val="006541ED"/>
    <w:rsid w:val="006543E5"/>
    <w:rsid w:val="00654425"/>
    <w:rsid w:val="00654A73"/>
    <w:rsid w:val="00654D0D"/>
    <w:rsid w:val="00654DD3"/>
    <w:rsid w:val="00654E7A"/>
    <w:rsid w:val="00654ED8"/>
    <w:rsid w:val="006551C6"/>
    <w:rsid w:val="00655217"/>
    <w:rsid w:val="0065524C"/>
    <w:rsid w:val="0065547F"/>
    <w:rsid w:val="0065563D"/>
    <w:rsid w:val="0065564A"/>
    <w:rsid w:val="00655853"/>
    <w:rsid w:val="00655A9E"/>
    <w:rsid w:val="00655BCF"/>
    <w:rsid w:val="00655C29"/>
    <w:rsid w:val="00655CF3"/>
    <w:rsid w:val="00655E85"/>
    <w:rsid w:val="006560C6"/>
    <w:rsid w:val="0065626C"/>
    <w:rsid w:val="0065661D"/>
    <w:rsid w:val="00656864"/>
    <w:rsid w:val="006568C4"/>
    <w:rsid w:val="00656990"/>
    <w:rsid w:val="00656E9B"/>
    <w:rsid w:val="00656EAD"/>
    <w:rsid w:val="00656F24"/>
    <w:rsid w:val="00656F54"/>
    <w:rsid w:val="00656FCC"/>
    <w:rsid w:val="006571EF"/>
    <w:rsid w:val="006573CE"/>
    <w:rsid w:val="006573FA"/>
    <w:rsid w:val="00657449"/>
    <w:rsid w:val="0065745C"/>
    <w:rsid w:val="006575FD"/>
    <w:rsid w:val="00657613"/>
    <w:rsid w:val="00657A93"/>
    <w:rsid w:val="00657B6D"/>
    <w:rsid w:val="006601A9"/>
    <w:rsid w:val="00660251"/>
    <w:rsid w:val="0066027A"/>
    <w:rsid w:val="00660624"/>
    <w:rsid w:val="006607E1"/>
    <w:rsid w:val="00660A21"/>
    <w:rsid w:val="00660AC2"/>
    <w:rsid w:val="00660B3F"/>
    <w:rsid w:val="00660C95"/>
    <w:rsid w:val="0066119E"/>
    <w:rsid w:val="00661202"/>
    <w:rsid w:val="00661504"/>
    <w:rsid w:val="00661505"/>
    <w:rsid w:val="006617F3"/>
    <w:rsid w:val="00661910"/>
    <w:rsid w:val="0066199E"/>
    <w:rsid w:val="00661A76"/>
    <w:rsid w:val="00661E8F"/>
    <w:rsid w:val="0066225D"/>
    <w:rsid w:val="00662472"/>
    <w:rsid w:val="00662515"/>
    <w:rsid w:val="00662E4C"/>
    <w:rsid w:val="00662E6B"/>
    <w:rsid w:val="006631F3"/>
    <w:rsid w:val="00663576"/>
    <w:rsid w:val="00663729"/>
    <w:rsid w:val="0066392A"/>
    <w:rsid w:val="006639DB"/>
    <w:rsid w:val="00663A35"/>
    <w:rsid w:val="00663A8E"/>
    <w:rsid w:val="00663B99"/>
    <w:rsid w:val="00663C7C"/>
    <w:rsid w:val="00663ED8"/>
    <w:rsid w:val="00664077"/>
    <w:rsid w:val="006644DC"/>
    <w:rsid w:val="0066465D"/>
    <w:rsid w:val="006648F0"/>
    <w:rsid w:val="00664B76"/>
    <w:rsid w:val="00664C72"/>
    <w:rsid w:val="00664CC7"/>
    <w:rsid w:val="00664F13"/>
    <w:rsid w:val="00665358"/>
    <w:rsid w:val="00665419"/>
    <w:rsid w:val="006654A5"/>
    <w:rsid w:val="006655ED"/>
    <w:rsid w:val="00665726"/>
    <w:rsid w:val="006658D9"/>
    <w:rsid w:val="00665A10"/>
    <w:rsid w:val="00665A23"/>
    <w:rsid w:val="00665A38"/>
    <w:rsid w:val="00665A5F"/>
    <w:rsid w:val="00665B40"/>
    <w:rsid w:val="00665B57"/>
    <w:rsid w:val="00665D52"/>
    <w:rsid w:val="00665DE0"/>
    <w:rsid w:val="00665E5F"/>
    <w:rsid w:val="0066601F"/>
    <w:rsid w:val="00666109"/>
    <w:rsid w:val="00666533"/>
    <w:rsid w:val="006666E0"/>
    <w:rsid w:val="006666F0"/>
    <w:rsid w:val="00666849"/>
    <w:rsid w:val="0066684E"/>
    <w:rsid w:val="006668D4"/>
    <w:rsid w:val="0066691F"/>
    <w:rsid w:val="00666C95"/>
    <w:rsid w:val="00666E3A"/>
    <w:rsid w:val="00666F28"/>
    <w:rsid w:val="00666FBB"/>
    <w:rsid w:val="0066705C"/>
    <w:rsid w:val="00667183"/>
    <w:rsid w:val="006672C3"/>
    <w:rsid w:val="00667631"/>
    <w:rsid w:val="0066774C"/>
    <w:rsid w:val="006677FC"/>
    <w:rsid w:val="00667923"/>
    <w:rsid w:val="006679C7"/>
    <w:rsid w:val="00667B4B"/>
    <w:rsid w:val="00667BA3"/>
    <w:rsid w:val="00667D19"/>
    <w:rsid w:val="006700DB"/>
    <w:rsid w:val="006703AE"/>
    <w:rsid w:val="00670880"/>
    <w:rsid w:val="0067088D"/>
    <w:rsid w:val="00670931"/>
    <w:rsid w:val="00670B95"/>
    <w:rsid w:val="00670F0E"/>
    <w:rsid w:val="00671034"/>
    <w:rsid w:val="006710AE"/>
    <w:rsid w:val="006713E6"/>
    <w:rsid w:val="006716A8"/>
    <w:rsid w:val="006716C8"/>
    <w:rsid w:val="006717FD"/>
    <w:rsid w:val="00671826"/>
    <w:rsid w:val="00671997"/>
    <w:rsid w:val="00671BF5"/>
    <w:rsid w:val="00671EFF"/>
    <w:rsid w:val="006720D6"/>
    <w:rsid w:val="00672480"/>
    <w:rsid w:val="0067254B"/>
    <w:rsid w:val="00672627"/>
    <w:rsid w:val="00672714"/>
    <w:rsid w:val="00672939"/>
    <w:rsid w:val="00672C70"/>
    <w:rsid w:val="00673139"/>
    <w:rsid w:val="006732D6"/>
    <w:rsid w:val="006736C7"/>
    <w:rsid w:val="006738A6"/>
    <w:rsid w:val="00673AA4"/>
    <w:rsid w:val="00673B62"/>
    <w:rsid w:val="00673E15"/>
    <w:rsid w:val="00673EFA"/>
    <w:rsid w:val="00673F97"/>
    <w:rsid w:val="00674165"/>
    <w:rsid w:val="00674218"/>
    <w:rsid w:val="006742C4"/>
    <w:rsid w:val="00674375"/>
    <w:rsid w:val="00674435"/>
    <w:rsid w:val="0067444C"/>
    <w:rsid w:val="0067460D"/>
    <w:rsid w:val="006747A2"/>
    <w:rsid w:val="006748ED"/>
    <w:rsid w:val="0067492A"/>
    <w:rsid w:val="0067495A"/>
    <w:rsid w:val="00674A53"/>
    <w:rsid w:val="00674A6C"/>
    <w:rsid w:val="00674CA0"/>
    <w:rsid w:val="00674E17"/>
    <w:rsid w:val="00675068"/>
    <w:rsid w:val="0067513B"/>
    <w:rsid w:val="006753BE"/>
    <w:rsid w:val="0067580B"/>
    <w:rsid w:val="00675A4F"/>
    <w:rsid w:val="00675DD3"/>
    <w:rsid w:val="0067601C"/>
    <w:rsid w:val="00676580"/>
    <w:rsid w:val="006766D9"/>
    <w:rsid w:val="006766E4"/>
    <w:rsid w:val="00676785"/>
    <w:rsid w:val="006768C1"/>
    <w:rsid w:val="00676A34"/>
    <w:rsid w:val="00676CE6"/>
    <w:rsid w:val="00676D28"/>
    <w:rsid w:val="00676DFA"/>
    <w:rsid w:val="006772AE"/>
    <w:rsid w:val="00677371"/>
    <w:rsid w:val="006773A1"/>
    <w:rsid w:val="00677525"/>
    <w:rsid w:val="00677832"/>
    <w:rsid w:val="006779AE"/>
    <w:rsid w:val="00677A62"/>
    <w:rsid w:val="00677ED7"/>
    <w:rsid w:val="00677F3D"/>
    <w:rsid w:val="00677F47"/>
    <w:rsid w:val="00677F5A"/>
    <w:rsid w:val="00680136"/>
    <w:rsid w:val="00680191"/>
    <w:rsid w:val="00680196"/>
    <w:rsid w:val="0068030C"/>
    <w:rsid w:val="0068032C"/>
    <w:rsid w:val="006803DC"/>
    <w:rsid w:val="0068042E"/>
    <w:rsid w:val="00680877"/>
    <w:rsid w:val="00680952"/>
    <w:rsid w:val="006809C7"/>
    <w:rsid w:val="00680B79"/>
    <w:rsid w:val="00680BED"/>
    <w:rsid w:val="00680D46"/>
    <w:rsid w:val="00680EC4"/>
    <w:rsid w:val="00680F32"/>
    <w:rsid w:val="00680FD6"/>
    <w:rsid w:val="00680FE7"/>
    <w:rsid w:val="00681000"/>
    <w:rsid w:val="00681058"/>
    <w:rsid w:val="00681087"/>
    <w:rsid w:val="00681398"/>
    <w:rsid w:val="00681482"/>
    <w:rsid w:val="0068164E"/>
    <w:rsid w:val="0068184D"/>
    <w:rsid w:val="006818A8"/>
    <w:rsid w:val="00681ADE"/>
    <w:rsid w:val="00681B2D"/>
    <w:rsid w:val="00681B38"/>
    <w:rsid w:val="00681EA4"/>
    <w:rsid w:val="00681F19"/>
    <w:rsid w:val="00682094"/>
    <w:rsid w:val="0068227B"/>
    <w:rsid w:val="00682453"/>
    <w:rsid w:val="006824A7"/>
    <w:rsid w:val="006829FD"/>
    <w:rsid w:val="00682A25"/>
    <w:rsid w:val="00682CBF"/>
    <w:rsid w:val="00682D61"/>
    <w:rsid w:val="00682DD8"/>
    <w:rsid w:val="00682F46"/>
    <w:rsid w:val="00682FCD"/>
    <w:rsid w:val="00683220"/>
    <w:rsid w:val="00683341"/>
    <w:rsid w:val="0068343A"/>
    <w:rsid w:val="00683B50"/>
    <w:rsid w:val="00683EB5"/>
    <w:rsid w:val="00683FAC"/>
    <w:rsid w:val="00684267"/>
    <w:rsid w:val="006842E8"/>
    <w:rsid w:val="0068495B"/>
    <w:rsid w:val="006849A7"/>
    <w:rsid w:val="00684AAD"/>
    <w:rsid w:val="00684B41"/>
    <w:rsid w:val="00684DA6"/>
    <w:rsid w:val="00684E74"/>
    <w:rsid w:val="00684EF6"/>
    <w:rsid w:val="00684FC9"/>
    <w:rsid w:val="00685143"/>
    <w:rsid w:val="006853D9"/>
    <w:rsid w:val="00685426"/>
    <w:rsid w:val="00685BAD"/>
    <w:rsid w:val="00685D2A"/>
    <w:rsid w:val="00685D76"/>
    <w:rsid w:val="00685DA6"/>
    <w:rsid w:val="00685EDA"/>
    <w:rsid w:val="00685F9B"/>
    <w:rsid w:val="00686298"/>
    <w:rsid w:val="006863AC"/>
    <w:rsid w:val="00686454"/>
    <w:rsid w:val="00686A3D"/>
    <w:rsid w:val="00686DC5"/>
    <w:rsid w:val="00686E7F"/>
    <w:rsid w:val="00686EB9"/>
    <w:rsid w:val="00687223"/>
    <w:rsid w:val="0068724A"/>
    <w:rsid w:val="006874EE"/>
    <w:rsid w:val="0068753D"/>
    <w:rsid w:val="0068763D"/>
    <w:rsid w:val="0068766F"/>
    <w:rsid w:val="00687A09"/>
    <w:rsid w:val="00687DEC"/>
    <w:rsid w:val="00687F09"/>
    <w:rsid w:val="00687F36"/>
    <w:rsid w:val="006900A1"/>
    <w:rsid w:val="006901F6"/>
    <w:rsid w:val="006905E9"/>
    <w:rsid w:val="006906EC"/>
    <w:rsid w:val="0069070C"/>
    <w:rsid w:val="006907A6"/>
    <w:rsid w:val="0069081D"/>
    <w:rsid w:val="00690939"/>
    <w:rsid w:val="00690A82"/>
    <w:rsid w:val="00690B00"/>
    <w:rsid w:val="00690BEF"/>
    <w:rsid w:val="00690DB9"/>
    <w:rsid w:val="00690FF1"/>
    <w:rsid w:val="00691056"/>
    <w:rsid w:val="0069115F"/>
    <w:rsid w:val="006911AF"/>
    <w:rsid w:val="00691692"/>
    <w:rsid w:val="0069169B"/>
    <w:rsid w:val="0069183C"/>
    <w:rsid w:val="006918A4"/>
    <w:rsid w:val="00691910"/>
    <w:rsid w:val="006919E6"/>
    <w:rsid w:val="00691EBB"/>
    <w:rsid w:val="00692411"/>
    <w:rsid w:val="0069242A"/>
    <w:rsid w:val="00692597"/>
    <w:rsid w:val="0069262E"/>
    <w:rsid w:val="00692634"/>
    <w:rsid w:val="006926C0"/>
    <w:rsid w:val="00692BE3"/>
    <w:rsid w:val="00692C63"/>
    <w:rsid w:val="00692C8B"/>
    <w:rsid w:val="00692D07"/>
    <w:rsid w:val="00692DBF"/>
    <w:rsid w:val="00692E21"/>
    <w:rsid w:val="0069303D"/>
    <w:rsid w:val="00693218"/>
    <w:rsid w:val="0069339F"/>
    <w:rsid w:val="006933D7"/>
    <w:rsid w:val="006935CC"/>
    <w:rsid w:val="00693646"/>
    <w:rsid w:val="00693679"/>
    <w:rsid w:val="006936C0"/>
    <w:rsid w:val="00693748"/>
    <w:rsid w:val="00693907"/>
    <w:rsid w:val="006939CD"/>
    <w:rsid w:val="00693C7E"/>
    <w:rsid w:val="00693CFA"/>
    <w:rsid w:val="00693D3D"/>
    <w:rsid w:val="00693F13"/>
    <w:rsid w:val="00694071"/>
    <w:rsid w:val="0069445B"/>
    <w:rsid w:val="00694686"/>
    <w:rsid w:val="006948BC"/>
    <w:rsid w:val="006948F1"/>
    <w:rsid w:val="00694A1B"/>
    <w:rsid w:val="00694AE2"/>
    <w:rsid w:val="006950F0"/>
    <w:rsid w:val="0069514E"/>
    <w:rsid w:val="00695627"/>
    <w:rsid w:val="0069595D"/>
    <w:rsid w:val="006959B1"/>
    <w:rsid w:val="006959E1"/>
    <w:rsid w:val="00695B02"/>
    <w:rsid w:val="00695C94"/>
    <w:rsid w:val="00695D6B"/>
    <w:rsid w:val="00695F1D"/>
    <w:rsid w:val="0069617F"/>
    <w:rsid w:val="00696A44"/>
    <w:rsid w:val="00696BD0"/>
    <w:rsid w:val="00696C7E"/>
    <w:rsid w:val="00696D80"/>
    <w:rsid w:val="0069700A"/>
    <w:rsid w:val="006970E2"/>
    <w:rsid w:val="0069711B"/>
    <w:rsid w:val="006971C8"/>
    <w:rsid w:val="006971FA"/>
    <w:rsid w:val="00697381"/>
    <w:rsid w:val="00697518"/>
    <w:rsid w:val="006976F1"/>
    <w:rsid w:val="00697906"/>
    <w:rsid w:val="00697A85"/>
    <w:rsid w:val="00697A92"/>
    <w:rsid w:val="00697CEF"/>
    <w:rsid w:val="00697D10"/>
    <w:rsid w:val="00697F25"/>
    <w:rsid w:val="006A0697"/>
    <w:rsid w:val="006A0D09"/>
    <w:rsid w:val="006A0D58"/>
    <w:rsid w:val="006A0D67"/>
    <w:rsid w:val="006A1357"/>
    <w:rsid w:val="006A1495"/>
    <w:rsid w:val="006A15D4"/>
    <w:rsid w:val="006A1668"/>
    <w:rsid w:val="006A1A7C"/>
    <w:rsid w:val="006A1C7B"/>
    <w:rsid w:val="006A1DD3"/>
    <w:rsid w:val="006A1DE3"/>
    <w:rsid w:val="006A1EE4"/>
    <w:rsid w:val="006A280D"/>
    <w:rsid w:val="006A2AF3"/>
    <w:rsid w:val="006A2C66"/>
    <w:rsid w:val="006A2FB5"/>
    <w:rsid w:val="006A3451"/>
    <w:rsid w:val="006A3A36"/>
    <w:rsid w:val="006A3A67"/>
    <w:rsid w:val="006A3B63"/>
    <w:rsid w:val="006A3BC4"/>
    <w:rsid w:val="006A3C7B"/>
    <w:rsid w:val="006A3DCC"/>
    <w:rsid w:val="006A40EE"/>
    <w:rsid w:val="006A4268"/>
    <w:rsid w:val="006A42B7"/>
    <w:rsid w:val="006A477B"/>
    <w:rsid w:val="006A4A09"/>
    <w:rsid w:val="006A4ABF"/>
    <w:rsid w:val="006A4B4A"/>
    <w:rsid w:val="006A4D52"/>
    <w:rsid w:val="006A4EF4"/>
    <w:rsid w:val="006A50FC"/>
    <w:rsid w:val="006A52BA"/>
    <w:rsid w:val="006A5349"/>
    <w:rsid w:val="006A5516"/>
    <w:rsid w:val="006A55AA"/>
    <w:rsid w:val="006A56E9"/>
    <w:rsid w:val="006A574D"/>
    <w:rsid w:val="006A57BC"/>
    <w:rsid w:val="006A5B75"/>
    <w:rsid w:val="006A5B8E"/>
    <w:rsid w:val="006A5BF0"/>
    <w:rsid w:val="006A5C65"/>
    <w:rsid w:val="006A5CAD"/>
    <w:rsid w:val="006A5E07"/>
    <w:rsid w:val="006A5E12"/>
    <w:rsid w:val="006A5E92"/>
    <w:rsid w:val="006A5FB5"/>
    <w:rsid w:val="006A5FC9"/>
    <w:rsid w:val="006A62F6"/>
    <w:rsid w:val="006A652B"/>
    <w:rsid w:val="006A65DE"/>
    <w:rsid w:val="006A6717"/>
    <w:rsid w:val="006A676B"/>
    <w:rsid w:val="006A67D8"/>
    <w:rsid w:val="006A6956"/>
    <w:rsid w:val="006A69B5"/>
    <w:rsid w:val="006A6ABC"/>
    <w:rsid w:val="006A6EAC"/>
    <w:rsid w:val="006A7120"/>
    <w:rsid w:val="006A74A3"/>
    <w:rsid w:val="006A74FD"/>
    <w:rsid w:val="006A76AD"/>
    <w:rsid w:val="006A7744"/>
    <w:rsid w:val="006A7812"/>
    <w:rsid w:val="006A7B36"/>
    <w:rsid w:val="006A7D0B"/>
    <w:rsid w:val="006A7D56"/>
    <w:rsid w:val="006B001E"/>
    <w:rsid w:val="006B0124"/>
    <w:rsid w:val="006B026B"/>
    <w:rsid w:val="006B06C3"/>
    <w:rsid w:val="006B07B0"/>
    <w:rsid w:val="006B0A56"/>
    <w:rsid w:val="006B0B3A"/>
    <w:rsid w:val="006B0D9B"/>
    <w:rsid w:val="006B0FAF"/>
    <w:rsid w:val="006B102C"/>
    <w:rsid w:val="006B105C"/>
    <w:rsid w:val="006B1253"/>
    <w:rsid w:val="006B153D"/>
    <w:rsid w:val="006B1800"/>
    <w:rsid w:val="006B1B38"/>
    <w:rsid w:val="006B1CA4"/>
    <w:rsid w:val="006B1CDD"/>
    <w:rsid w:val="006B1D7B"/>
    <w:rsid w:val="006B1EAD"/>
    <w:rsid w:val="006B1EE0"/>
    <w:rsid w:val="006B21AC"/>
    <w:rsid w:val="006B2325"/>
    <w:rsid w:val="006B243B"/>
    <w:rsid w:val="006B24BC"/>
    <w:rsid w:val="006B26C9"/>
    <w:rsid w:val="006B28B8"/>
    <w:rsid w:val="006B2AA1"/>
    <w:rsid w:val="006B2C34"/>
    <w:rsid w:val="006B2DBC"/>
    <w:rsid w:val="006B2EA4"/>
    <w:rsid w:val="006B30C3"/>
    <w:rsid w:val="006B30C5"/>
    <w:rsid w:val="006B319E"/>
    <w:rsid w:val="006B3249"/>
    <w:rsid w:val="006B33A7"/>
    <w:rsid w:val="006B3A3A"/>
    <w:rsid w:val="006B3F06"/>
    <w:rsid w:val="006B40E1"/>
    <w:rsid w:val="006B4143"/>
    <w:rsid w:val="006B46FE"/>
    <w:rsid w:val="006B4779"/>
    <w:rsid w:val="006B48BA"/>
    <w:rsid w:val="006B48D4"/>
    <w:rsid w:val="006B4A9F"/>
    <w:rsid w:val="006B4C47"/>
    <w:rsid w:val="006B4C89"/>
    <w:rsid w:val="006B4E34"/>
    <w:rsid w:val="006B5065"/>
    <w:rsid w:val="006B5523"/>
    <w:rsid w:val="006B5838"/>
    <w:rsid w:val="006B5A0D"/>
    <w:rsid w:val="006B5C8A"/>
    <w:rsid w:val="006B5FA6"/>
    <w:rsid w:val="006B63FB"/>
    <w:rsid w:val="006B6407"/>
    <w:rsid w:val="006B640C"/>
    <w:rsid w:val="006B6451"/>
    <w:rsid w:val="006B6483"/>
    <w:rsid w:val="006B67D2"/>
    <w:rsid w:val="006B6AB6"/>
    <w:rsid w:val="006B7011"/>
    <w:rsid w:val="006B71A2"/>
    <w:rsid w:val="006B723F"/>
    <w:rsid w:val="006B7530"/>
    <w:rsid w:val="006B7570"/>
    <w:rsid w:val="006C0836"/>
    <w:rsid w:val="006C0AC1"/>
    <w:rsid w:val="006C0AD7"/>
    <w:rsid w:val="006C0DD5"/>
    <w:rsid w:val="006C0F19"/>
    <w:rsid w:val="006C1583"/>
    <w:rsid w:val="006C1810"/>
    <w:rsid w:val="006C19AC"/>
    <w:rsid w:val="006C1A7D"/>
    <w:rsid w:val="006C1DA2"/>
    <w:rsid w:val="006C1E95"/>
    <w:rsid w:val="006C1EA9"/>
    <w:rsid w:val="006C1F38"/>
    <w:rsid w:val="006C1F4F"/>
    <w:rsid w:val="006C2125"/>
    <w:rsid w:val="006C223C"/>
    <w:rsid w:val="006C223D"/>
    <w:rsid w:val="006C2275"/>
    <w:rsid w:val="006C22E9"/>
    <w:rsid w:val="006C23ED"/>
    <w:rsid w:val="006C270B"/>
    <w:rsid w:val="006C29C1"/>
    <w:rsid w:val="006C2A72"/>
    <w:rsid w:val="006C2AE2"/>
    <w:rsid w:val="006C2B81"/>
    <w:rsid w:val="006C2C60"/>
    <w:rsid w:val="006C2C95"/>
    <w:rsid w:val="006C2CB1"/>
    <w:rsid w:val="006C2CB4"/>
    <w:rsid w:val="006C2E07"/>
    <w:rsid w:val="006C2EA2"/>
    <w:rsid w:val="006C310D"/>
    <w:rsid w:val="006C3148"/>
    <w:rsid w:val="006C31ED"/>
    <w:rsid w:val="006C31FE"/>
    <w:rsid w:val="006C3382"/>
    <w:rsid w:val="006C3642"/>
    <w:rsid w:val="006C36B2"/>
    <w:rsid w:val="006C3714"/>
    <w:rsid w:val="006C387B"/>
    <w:rsid w:val="006C39B6"/>
    <w:rsid w:val="006C39FE"/>
    <w:rsid w:val="006C3D6B"/>
    <w:rsid w:val="006C3DE7"/>
    <w:rsid w:val="006C4179"/>
    <w:rsid w:val="006C42F4"/>
    <w:rsid w:val="006C4553"/>
    <w:rsid w:val="006C4651"/>
    <w:rsid w:val="006C4717"/>
    <w:rsid w:val="006C484E"/>
    <w:rsid w:val="006C4A74"/>
    <w:rsid w:val="006C4B10"/>
    <w:rsid w:val="006C4E51"/>
    <w:rsid w:val="006C4E56"/>
    <w:rsid w:val="006C5118"/>
    <w:rsid w:val="006C5299"/>
    <w:rsid w:val="006C5314"/>
    <w:rsid w:val="006C5474"/>
    <w:rsid w:val="006C581E"/>
    <w:rsid w:val="006C5D14"/>
    <w:rsid w:val="006C6342"/>
    <w:rsid w:val="006C637E"/>
    <w:rsid w:val="006C640C"/>
    <w:rsid w:val="006C64CC"/>
    <w:rsid w:val="006C6578"/>
    <w:rsid w:val="006C65B0"/>
    <w:rsid w:val="006C66EA"/>
    <w:rsid w:val="006C69B0"/>
    <w:rsid w:val="006C6A46"/>
    <w:rsid w:val="006C6AC0"/>
    <w:rsid w:val="006C6C5A"/>
    <w:rsid w:val="006C6C8A"/>
    <w:rsid w:val="006C6CA8"/>
    <w:rsid w:val="006C6DB5"/>
    <w:rsid w:val="006C6F4E"/>
    <w:rsid w:val="006C713C"/>
    <w:rsid w:val="006C7140"/>
    <w:rsid w:val="006C7180"/>
    <w:rsid w:val="006C71B7"/>
    <w:rsid w:val="006C7365"/>
    <w:rsid w:val="006C7624"/>
    <w:rsid w:val="006C76E8"/>
    <w:rsid w:val="006C7714"/>
    <w:rsid w:val="006C792D"/>
    <w:rsid w:val="006C7B19"/>
    <w:rsid w:val="006C7B48"/>
    <w:rsid w:val="006C7B6B"/>
    <w:rsid w:val="006C7E76"/>
    <w:rsid w:val="006D009C"/>
    <w:rsid w:val="006D014F"/>
    <w:rsid w:val="006D0286"/>
    <w:rsid w:val="006D0510"/>
    <w:rsid w:val="006D0543"/>
    <w:rsid w:val="006D070E"/>
    <w:rsid w:val="006D070F"/>
    <w:rsid w:val="006D08D8"/>
    <w:rsid w:val="006D0A06"/>
    <w:rsid w:val="006D0E3E"/>
    <w:rsid w:val="006D129D"/>
    <w:rsid w:val="006D129E"/>
    <w:rsid w:val="006D1314"/>
    <w:rsid w:val="006D13B0"/>
    <w:rsid w:val="006D16BC"/>
    <w:rsid w:val="006D17A6"/>
    <w:rsid w:val="006D1B26"/>
    <w:rsid w:val="006D1B91"/>
    <w:rsid w:val="006D1F88"/>
    <w:rsid w:val="006D1FE6"/>
    <w:rsid w:val="006D2140"/>
    <w:rsid w:val="006D21FB"/>
    <w:rsid w:val="006D2451"/>
    <w:rsid w:val="006D2834"/>
    <w:rsid w:val="006D2DF8"/>
    <w:rsid w:val="006D2EFC"/>
    <w:rsid w:val="006D2F9D"/>
    <w:rsid w:val="006D368F"/>
    <w:rsid w:val="006D3B89"/>
    <w:rsid w:val="006D428F"/>
    <w:rsid w:val="006D445C"/>
    <w:rsid w:val="006D448D"/>
    <w:rsid w:val="006D4520"/>
    <w:rsid w:val="006D4636"/>
    <w:rsid w:val="006D472E"/>
    <w:rsid w:val="006D4D08"/>
    <w:rsid w:val="006D4D8B"/>
    <w:rsid w:val="006D4EFE"/>
    <w:rsid w:val="006D50AD"/>
    <w:rsid w:val="006D53C0"/>
    <w:rsid w:val="006D5673"/>
    <w:rsid w:val="006D5828"/>
    <w:rsid w:val="006D5B92"/>
    <w:rsid w:val="006D5C18"/>
    <w:rsid w:val="006D5D95"/>
    <w:rsid w:val="006D5E17"/>
    <w:rsid w:val="006D5F46"/>
    <w:rsid w:val="006D602A"/>
    <w:rsid w:val="006D610D"/>
    <w:rsid w:val="006D6266"/>
    <w:rsid w:val="006D63A7"/>
    <w:rsid w:val="006D648E"/>
    <w:rsid w:val="006D6602"/>
    <w:rsid w:val="006D67AD"/>
    <w:rsid w:val="006D69A0"/>
    <w:rsid w:val="006D6C17"/>
    <w:rsid w:val="006D6E8E"/>
    <w:rsid w:val="006D6F15"/>
    <w:rsid w:val="006D70F2"/>
    <w:rsid w:val="006D7219"/>
    <w:rsid w:val="006D72A0"/>
    <w:rsid w:val="006D73A9"/>
    <w:rsid w:val="006D74C9"/>
    <w:rsid w:val="006D74FA"/>
    <w:rsid w:val="006D7572"/>
    <w:rsid w:val="006D75BB"/>
    <w:rsid w:val="006D7A95"/>
    <w:rsid w:val="006D7AD2"/>
    <w:rsid w:val="006D7B90"/>
    <w:rsid w:val="006D7CB1"/>
    <w:rsid w:val="006D7DA5"/>
    <w:rsid w:val="006D7DAE"/>
    <w:rsid w:val="006D7E3F"/>
    <w:rsid w:val="006D7E99"/>
    <w:rsid w:val="006E0059"/>
    <w:rsid w:val="006E0268"/>
    <w:rsid w:val="006E0366"/>
    <w:rsid w:val="006E0580"/>
    <w:rsid w:val="006E059D"/>
    <w:rsid w:val="006E05C0"/>
    <w:rsid w:val="006E05CE"/>
    <w:rsid w:val="006E07AE"/>
    <w:rsid w:val="006E07C4"/>
    <w:rsid w:val="006E08C7"/>
    <w:rsid w:val="006E0BDA"/>
    <w:rsid w:val="006E0CA5"/>
    <w:rsid w:val="006E0D4A"/>
    <w:rsid w:val="006E0E82"/>
    <w:rsid w:val="006E0EA7"/>
    <w:rsid w:val="006E0ED8"/>
    <w:rsid w:val="006E0FA9"/>
    <w:rsid w:val="006E108F"/>
    <w:rsid w:val="006E1407"/>
    <w:rsid w:val="006E1644"/>
    <w:rsid w:val="006E18EF"/>
    <w:rsid w:val="006E18F2"/>
    <w:rsid w:val="006E192F"/>
    <w:rsid w:val="006E1B8B"/>
    <w:rsid w:val="006E1F1E"/>
    <w:rsid w:val="006E208D"/>
    <w:rsid w:val="006E20BF"/>
    <w:rsid w:val="006E235C"/>
    <w:rsid w:val="006E2369"/>
    <w:rsid w:val="006E2674"/>
    <w:rsid w:val="006E2767"/>
    <w:rsid w:val="006E2B23"/>
    <w:rsid w:val="006E2CA8"/>
    <w:rsid w:val="006E2CAC"/>
    <w:rsid w:val="006E2E45"/>
    <w:rsid w:val="006E2F61"/>
    <w:rsid w:val="006E308A"/>
    <w:rsid w:val="006E30A0"/>
    <w:rsid w:val="006E3294"/>
    <w:rsid w:val="006E33E4"/>
    <w:rsid w:val="006E3778"/>
    <w:rsid w:val="006E37A9"/>
    <w:rsid w:val="006E384C"/>
    <w:rsid w:val="006E3A47"/>
    <w:rsid w:val="006E3A7B"/>
    <w:rsid w:val="006E3BF2"/>
    <w:rsid w:val="006E3C3B"/>
    <w:rsid w:val="006E3CAD"/>
    <w:rsid w:val="006E3DB9"/>
    <w:rsid w:val="006E3EC9"/>
    <w:rsid w:val="006E4317"/>
    <w:rsid w:val="006E4376"/>
    <w:rsid w:val="006E438F"/>
    <w:rsid w:val="006E4533"/>
    <w:rsid w:val="006E4A15"/>
    <w:rsid w:val="006E4DC6"/>
    <w:rsid w:val="006E5008"/>
    <w:rsid w:val="006E51BF"/>
    <w:rsid w:val="006E520E"/>
    <w:rsid w:val="006E529B"/>
    <w:rsid w:val="006E5744"/>
    <w:rsid w:val="006E57D9"/>
    <w:rsid w:val="006E58B5"/>
    <w:rsid w:val="006E5926"/>
    <w:rsid w:val="006E5944"/>
    <w:rsid w:val="006E5A0E"/>
    <w:rsid w:val="006E5B35"/>
    <w:rsid w:val="006E5C99"/>
    <w:rsid w:val="006E5CB8"/>
    <w:rsid w:val="006E5DD6"/>
    <w:rsid w:val="006E5E9B"/>
    <w:rsid w:val="006E5FD2"/>
    <w:rsid w:val="006E61EA"/>
    <w:rsid w:val="006E62E9"/>
    <w:rsid w:val="006E632D"/>
    <w:rsid w:val="006E640F"/>
    <w:rsid w:val="006E6601"/>
    <w:rsid w:val="006E6604"/>
    <w:rsid w:val="006E6671"/>
    <w:rsid w:val="006E6745"/>
    <w:rsid w:val="006E68F9"/>
    <w:rsid w:val="006E69FB"/>
    <w:rsid w:val="006E6AD5"/>
    <w:rsid w:val="006E6BC0"/>
    <w:rsid w:val="006E6C0E"/>
    <w:rsid w:val="006E6F05"/>
    <w:rsid w:val="006E6FDF"/>
    <w:rsid w:val="006E7090"/>
    <w:rsid w:val="006E7166"/>
    <w:rsid w:val="006E728D"/>
    <w:rsid w:val="006E72B0"/>
    <w:rsid w:val="006E72E9"/>
    <w:rsid w:val="006E731C"/>
    <w:rsid w:val="006E7492"/>
    <w:rsid w:val="006E74A9"/>
    <w:rsid w:val="006E7739"/>
    <w:rsid w:val="006E7990"/>
    <w:rsid w:val="006E7C8D"/>
    <w:rsid w:val="006E7F48"/>
    <w:rsid w:val="006E7FFB"/>
    <w:rsid w:val="006F0182"/>
    <w:rsid w:val="006F01D8"/>
    <w:rsid w:val="006F02A1"/>
    <w:rsid w:val="006F04D8"/>
    <w:rsid w:val="006F05AA"/>
    <w:rsid w:val="006F0634"/>
    <w:rsid w:val="006F0874"/>
    <w:rsid w:val="006F09AC"/>
    <w:rsid w:val="006F0AE4"/>
    <w:rsid w:val="006F0AF2"/>
    <w:rsid w:val="006F0C47"/>
    <w:rsid w:val="006F0C7A"/>
    <w:rsid w:val="006F0F77"/>
    <w:rsid w:val="006F0F9A"/>
    <w:rsid w:val="006F1053"/>
    <w:rsid w:val="006F1091"/>
    <w:rsid w:val="006F1129"/>
    <w:rsid w:val="006F116C"/>
    <w:rsid w:val="006F12A4"/>
    <w:rsid w:val="006F1320"/>
    <w:rsid w:val="006F1393"/>
    <w:rsid w:val="006F1422"/>
    <w:rsid w:val="006F1525"/>
    <w:rsid w:val="006F1A5D"/>
    <w:rsid w:val="006F1AFE"/>
    <w:rsid w:val="006F1B49"/>
    <w:rsid w:val="006F1B51"/>
    <w:rsid w:val="006F1F4F"/>
    <w:rsid w:val="006F2136"/>
    <w:rsid w:val="006F2219"/>
    <w:rsid w:val="006F254E"/>
    <w:rsid w:val="006F2611"/>
    <w:rsid w:val="006F270E"/>
    <w:rsid w:val="006F27A5"/>
    <w:rsid w:val="006F27B6"/>
    <w:rsid w:val="006F28AD"/>
    <w:rsid w:val="006F28D3"/>
    <w:rsid w:val="006F29E0"/>
    <w:rsid w:val="006F2AE5"/>
    <w:rsid w:val="006F2E37"/>
    <w:rsid w:val="006F2F34"/>
    <w:rsid w:val="006F2FF2"/>
    <w:rsid w:val="006F3066"/>
    <w:rsid w:val="006F30BF"/>
    <w:rsid w:val="006F310B"/>
    <w:rsid w:val="006F3135"/>
    <w:rsid w:val="006F3732"/>
    <w:rsid w:val="006F3DF2"/>
    <w:rsid w:val="006F3F12"/>
    <w:rsid w:val="006F3FFD"/>
    <w:rsid w:val="006F4190"/>
    <w:rsid w:val="006F45E7"/>
    <w:rsid w:val="006F4826"/>
    <w:rsid w:val="006F4961"/>
    <w:rsid w:val="006F4B32"/>
    <w:rsid w:val="006F4B96"/>
    <w:rsid w:val="006F4BB9"/>
    <w:rsid w:val="006F4C05"/>
    <w:rsid w:val="006F4CC2"/>
    <w:rsid w:val="006F4E1C"/>
    <w:rsid w:val="006F4F18"/>
    <w:rsid w:val="006F5386"/>
    <w:rsid w:val="006F5690"/>
    <w:rsid w:val="006F56D3"/>
    <w:rsid w:val="006F5B77"/>
    <w:rsid w:val="006F5EA2"/>
    <w:rsid w:val="006F6054"/>
    <w:rsid w:val="006F6077"/>
    <w:rsid w:val="006F615B"/>
    <w:rsid w:val="006F6215"/>
    <w:rsid w:val="006F629D"/>
    <w:rsid w:val="006F6404"/>
    <w:rsid w:val="006F6456"/>
    <w:rsid w:val="006F64C2"/>
    <w:rsid w:val="006F64E2"/>
    <w:rsid w:val="006F68CE"/>
    <w:rsid w:val="006F6C55"/>
    <w:rsid w:val="006F6CD4"/>
    <w:rsid w:val="006F7138"/>
    <w:rsid w:val="006F72F8"/>
    <w:rsid w:val="006F72F9"/>
    <w:rsid w:val="006F73E1"/>
    <w:rsid w:val="006F7598"/>
    <w:rsid w:val="006F7BC7"/>
    <w:rsid w:val="006F7D23"/>
    <w:rsid w:val="006F7E05"/>
    <w:rsid w:val="006F7E62"/>
    <w:rsid w:val="006F7F19"/>
    <w:rsid w:val="006F7F32"/>
    <w:rsid w:val="00700160"/>
    <w:rsid w:val="0070057D"/>
    <w:rsid w:val="00700651"/>
    <w:rsid w:val="00700682"/>
    <w:rsid w:val="00700A0C"/>
    <w:rsid w:val="00700A54"/>
    <w:rsid w:val="00700B43"/>
    <w:rsid w:val="00700FCD"/>
    <w:rsid w:val="007014B1"/>
    <w:rsid w:val="007014C9"/>
    <w:rsid w:val="007019C7"/>
    <w:rsid w:val="00701C13"/>
    <w:rsid w:val="00701DB2"/>
    <w:rsid w:val="00701E4C"/>
    <w:rsid w:val="00701F19"/>
    <w:rsid w:val="00702065"/>
    <w:rsid w:val="00702081"/>
    <w:rsid w:val="007021BC"/>
    <w:rsid w:val="0070224F"/>
    <w:rsid w:val="00702253"/>
    <w:rsid w:val="007023CD"/>
    <w:rsid w:val="00702445"/>
    <w:rsid w:val="0070248A"/>
    <w:rsid w:val="0070253E"/>
    <w:rsid w:val="00702687"/>
    <w:rsid w:val="007026C2"/>
    <w:rsid w:val="007026D5"/>
    <w:rsid w:val="00702C65"/>
    <w:rsid w:val="00702E5F"/>
    <w:rsid w:val="00702FD1"/>
    <w:rsid w:val="007030B1"/>
    <w:rsid w:val="007035FA"/>
    <w:rsid w:val="00703AE7"/>
    <w:rsid w:val="00703F13"/>
    <w:rsid w:val="00703FEA"/>
    <w:rsid w:val="0070410F"/>
    <w:rsid w:val="00704227"/>
    <w:rsid w:val="007042DA"/>
    <w:rsid w:val="00704386"/>
    <w:rsid w:val="007044C3"/>
    <w:rsid w:val="00704639"/>
    <w:rsid w:val="00704BF9"/>
    <w:rsid w:val="00704F36"/>
    <w:rsid w:val="00704F68"/>
    <w:rsid w:val="007050D5"/>
    <w:rsid w:val="0070520F"/>
    <w:rsid w:val="007053DC"/>
    <w:rsid w:val="007054E2"/>
    <w:rsid w:val="00705638"/>
    <w:rsid w:val="00705CEE"/>
    <w:rsid w:val="007062AA"/>
    <w:rsid w:val="0070636B"/>
    <w:rsid w:val="00706522"/>
    <w:rsid w:val="0070676D"/>
    <w:rsid w:val="007067CA"/>
    <w:rsid w:val="00706904"/>
    <w:rsid w:val="00706961"/>
    <w:rsid w:val="00706A09"/>
    <w:rsid w:val="00706F7D"/>
    <w:rsid w:val="00707177"/>
    <w:rsid w:val="00707708"/>
    <w:rsid w:val="00707A09"/>
    <w:rsid w:val="00707A7E"/>
    <w:rsid w:val="00707A94"/>
    <w:rsid w:val="00707BDB"/>
    <w:rsid w:val="00707C62"/>
    <w:rsid w:val="00707C66"/>
    <w:rsid w:val="00707CE9"/>
    <w:rsid w:val="00707D54"/>
    <w:rsid w:val="007106B2"/>
    <w:rsid w:val="00710736"/>
    <w:rsid w:val="00710D6A"/>
    <w:rsid w:val="00710DA6"/>
    <w:rsid w:val="00710E8A"/>
    <w:rsid w:val="00710EB5"/>
    <w:rsid w:val="00710F50"/>
    <w:rsid w:val="00711488"/>
    <w:rsid w:val="0071157E"/>
    <w:rsid w:val="007115DD"/>
    <w:rsid w:val="0071168F"/>
    <w:rsid w:val="007117D5"/>
    <w:rsid w:val="00711932"/>
    <w:rsid w:val="00711BAE"/>
    <w:rsid w:val="00711BD2"/>
    <w:rsid w:val="00711DFA"/>
    <w:rsid w:val="00711FCE"/>
    <w:rsid w:val="00712036"/>
    <w:rsid w:val="00712044"/>
    <w:rsid w:val="007121AE"/>
    <w:rsid w:val="00712414"/>
    <w:rsid w:val="00712678"/>
    <w:rsid w:val="00712758"/>
    <w:rsid w:val="007128DC"/>
    <w:rsid w:val="00712BC1"/>
    <w:rsid w:val="00712D90"/>
    <w:rsid w:val="00712DB3"/>
    <w:rsid w:val="00713077"/>
    <w:rsid w:val="0071311C"/>
    <w:rsid w:val="00713559"/>
    <w:rsid w:val="007137F4"/>
    <w:rsid w:val="0071391D"/>
    <w:rsid w:val="00713A31"/>
    <w:rsid w:val="00713B85"/>
    <w:rsid w:val="00713C21"/>
    <w:rsid w:val="00713DF7"/>
    <w:rsid w:val="00713DF8"/>
    <w:rsid w:val="00713F36"/>
    <w:rsid w:val="00714126"/>
    <w:rsid w:val="0071422B"/>
    <w:rsid w:val="0071428B"/>
    <w:rsid w:val="00714666"/>
    <w:rsid w:val="00714923"/>
    <w:rsid w:val="00714D8B"/>
    <w:rsid w:val="00714E6A"/>
    <w:rsid w:val="00715101"/>
    <w:rsid w:val="00715108"/>
    <w:rsid w:val="00715675"/>
    <w:rsid w:val="00715B50"/>
    <w:rsid w:val="00715B7F"/>
    <w:rsid w:val="00715C47"/>
    <w:rsid w:val="00715E94"/>
    <w:rsid w:val="00716463"/>
    <w:rsid w:val="0071653D"/>
    <w:rsid w:val="00716596"/>
    <w:rsid w:val="00716B25"/>
    <w:rsid w:val="00716B38"/>
    <w:rsid w:val="00716C1E"/>
    <w:rsid w:val="00716CC7"/>
    <w:rsid w:val="0071705E"/>
    <w:rsid w:val="007173C8"/>
    <w:rsid w:val="007173D9"/>
    <w:rsid w:val="00717412"/>
    <w:rsid w:val="00717541"/>
    <w:rsid w:val="007177B9"/>
    <w:rsid w:val="0071788C"/>
    <w:rsid w:val="00717B64"/>
    <w:rsid w:val="00717BE7"/>
    <w:rsid w:val="007201C9"/>
    <w:rsid w:val="007201FF"/>
    <w:rsid w:val="00720202"/>
    <w:rsid w:val="0072026A"/>
    <w:rsid w:val="0072066F"/>
    <w:rsid w:val="00720C7C"/>
    <w:rsid w:val="00720CA2"/>
    <w:rsid w:val="00720F9C"/>
    <w:rsid w:val="007211A7"/>
    <w:rsid w:val="0072167A"/>
    <w:rsid w:val="007216F9"/>
    <w:rsid w:val="007217FA"/>
    <w:rsid w:val="00721878"/>
    <w:rsid w:val="00721BFD"/>
    <w:rsid w:val="00721C5B"/>
    <w:rsid w:val="00721D72"/>
    <w:rsid w:val="00722062"/>
    <w:rsid w:val="0072234F"/>
    <w:rsid w:val="00722C05"/>
    <w:rsid w:val="00722E2E"/>
    <w:rsid w:val="00722E62"/>
    <w:rsid w:val="00723309"/>
    <w:rsid w:val="00723525"/>
    <w:rsid w:val="007237DB"/>
    <w:rsid w:val="007237E0"/>
    <w:rsid w:val="007239A0"/>
    <w:rsid w:val="00724196"/>
    <w:rsid w:val="00724661"/>
    <w:rsid w:val="0072482F"/>
    <w:rsid w:val="00724870"/>
    <w:rsid w:val="007248B8"/>
    <w:rsid w:val="00724A3B"/>
    <w:rsid w:val="00724B0B"/>
    <w:rsid w:val="00724B4A"/>
    <w:rsid w:val="00724B5C"/>
    <w:rsid w:val="00724DA2"/>
    <w:rsid w:val="00724F6D"/>
    <w:rsid w:val="00725108"/>
    <w:rsid w:val="0072510B"/>
    <w:rsid w:val="007254AC"/>
    <w:rsid w:val="007254C7"/>
    <w:rsid w:val="00725AE8"/>
    <w:rsid w:val="00725BA2"/>
    <w:rsid w:val="00725C3D"/>
    <w:rsid w:val="00725E36"/>
    <w:rsid w:val="00725F9F"/>
    <w:rsid w:val="00725FDD"/>
    <w:rsid w:val="007262DC"/>
    <w:rsid w:val="0072632D"/>
    <w:rsid w:val="00726398"/>
    <w:rsid w:val="0072655E"/>
    <w:rsid w:val="00726852"/>
    <w:rsid w:val="00726A8B"/>
    <w:rsid w:val="00726CCD"/>
    <w:rsid w:val="00726DA8"/>
    <w:rsid w:val="00726FF7"/>
    <w:rsid w:val="007270A9"/>
    <w:rsid w:val="0072710B"/>
    <w:rsid w:val="00727215"/>
    <w:rsid w:val="0072723E"/>
    <w:rsid w:val="00727279"/>
    <w:rsid w:val="0072736A"/>
    <w:rsid w:val="00727370"/>
    <w:rsid w:val="007273D4"/>
    <w:rsid w:val="007273D9"/>
    <w:rsid w:val="00727C32"/>
    <w:rsid w:val="00727DCA"/>
    <w:rsid w:val="00730017"/>
    <w:rsid w:val="0073028B"/>
    <w:rsid w:val="00730A02"/>
    <w:rsid w:val="00730B12"/>
    <w:rsid w:val="00730D23"/>
    <w:rsid w:val="00730D46"/>
    <w:rsid w:val="00730DA4"/>
    <w:rsid w:val="007310DF"/>
    <w:rsid w:val="00731246"/>
    <w:rsid w:val="007313C1"/>
    <w:rsid w:val="00731412"/>
    <w:rsid w:val="00731484"/>
    <w:rsid w:val="007315B0"/>
    <w:rsid w:val="0073164F"/>
    <w:rsid w:val="00731674"/>
    <w:rsid w:val="00731845"/>
    <w:rsid w:val="007318D6"/>
    <w:rsid w:val="00731DDB"/>
    <w:rsid w:val="00732046"/>
    <w:rsid w:val="0073207E"/>
    <w:rsid w:val="0073222D"/>
    <w:rsid w:val="00732297"/>
    <w:rsid w:val="00732342"/>
    <w:rsid w:val="00732376"/>
    <w:rsid w:val="0073261E"/>
    <w:rsid w:val="0073296E"/>
    <w:rsid w:val="0073296F"/>
    <w:rsid w:val="00732A70"/>
    <w:rsid w:val="00732CCF"/>
    <w:rsid w:val="007330C2"/>
    <w:rsid w:val="00733114"/>
    <w:rsid w:val="00733940"/>
    <w:rsid w:val="00733B87"/>
    <w:rsid w:val="00733C3F"/>
    <w:rsid w:val="007341A0"/>
    <w:rsid w:val="007343CC"/>
    <w:rsid w:val="00734574"/>
    <w:rsid w:val="0073464E"/>
    <w:rsid w:val="007346CD"/>
    <w:rsid w:val="0073484C"/>
    <w:rsid w:val="00734A71"/>
    <w:rsid w:val="00734E4B"/>
    <w:rsid w:val="00734F02"/>
    <w:rsid w:val="00734F96"/>
    <w:rsid w:val="0073504B"/>
    <w:rsid w:val="007351CE"/>
    <w:rsid w:val="0073524A"/>
    <w:rsid w:val="007352FB"/>
    <w:rsid w:val="007354FD"/>
    <w:rsid w:val="007355AD"/>
    <w:rsid w:val="0073561C"/>
    <w:rsid w:val="00735655"/>
    <w:rsid w:val="007356C4"/>
    <w:rsid w:val="00735A11"/>
    <w:rsid w:val="00735C90"/>
    <w:rsid w:val="00735DD5"/>
    <w:rsid w:val="00735EF2"/>
    <w:rsid w:val="00736884"/>
    <w:rsid w:val="00736A3E"/>
    <w:rsid w:val="00736D1D"/>
    <w:rsid w:val="00736E4E"/>
    <w:rsid w:val="007378E1"/>
    <w:rsid w:val="00737A8A"/>
    <w:rsid w:val="00737BFC"/>
    <w:rsid w:val="00737C15"/>
    <w:rsid w:val="00737D92"/>
    <w:rsid w:val="00737F0B"/>
    <w:rsid w:val="00737F85"/>
    <w:rsid w:val="00740181"/>
    <w:rsid w:val="00740307"/>
    <w:rsid w:val="0074056D"/>
    <w:rsid w:val="007406CB"/>
    <w:rsid w:val="007408A4"/>
    <w:rsid w:val="00740978"/>
    <w:rsid w:val="007409EB"/>
    <w:rsid w:val="00740B68"/>
    <w:rsid w:val="00740C4A"/>
    <w:rsid w:val="00740D58"/>
    <w:rsid w:val="00740F8F"/>
    <w:rsid w:val="00741551"/>
    <w:rsid w:val="00741720"/>
    <w:rsid w:val="00741AD1"/>
    <w:rsid w:val="00741BB9"/>
    <w:rsid w:val="00742096"/>
    <w:rsid w:val="007420A8"/>
    <w:rsid w:val="007422B9"/>
    <w:rsid w:val="00742532"/>
    <w:rsid w:val="00742569"/>
    <w:rsid w:val="007427E6"/>
    <w:rsid w:val="00742858"/>
    <w:rsid w:val="0074285E"/>
    <w:rsid w:val="00742B29"/>
    <w:rsid w:val="00742E9B"/>
    <w:rsid w:val="0074303F"/>
    <w:rsid w:val="0074316A"/>
    <w:rsid w:val="00743192"/>
    <w:rsid w:val="007432AE"/>
    <w:rsid w:val="007432D5"/>
    <w:rsid w:val="00743306"/>
    <w:rsid w:val="0074352D"/>
    <w:rsid w:val="007437AB"/>
    <w:rsid w:val="00743A37"/>
    <w:rsid w:val="00743EC4"/>
    <w:rsid w:val="0074405B"/>
    <w:rsid w:val="00744135"/>
    <w:rsid w:val="0074443D"/>
    <w:rsid w:val="0074447E"/>
    <w:rsid w:val="0074449D"/>
    <w:rsid w:val="0074469B"/>
    <w:rsid w:val="00744A84"/>
    <w:rsid w:val="00744AED"/>
    <w:rsid w:val="00744B00"/>
    <w:rsid w:val="00745009"/>
    <w:rsid w:val="00745191"/>
    <w:rsid w:val="0074535F"/>
    <w:rsid w:val="00745588"/>
    <w:rsid w:val="00745590"/>
    <w:rsid w:val="00745647"/>
    <w:rsid w:val="0074590C"/>
    <w:rsid w:val="007459DC"/>
    <w:rsid w:val="00745C67"/>
    <w:rsid w:val="00745E1A"/>
    <w:rsid w:val="00745E38"/>
    <w:rsid w:val="00745EF2"/>
    <w:rsid w:val="0074623E"/>
    <w:rsid w:val="007462BB"/>
    <w:rsid w:val="007462D2"/>
    <w:rsid w:val="00746510"/>
    <w:rsid w:val="007465AF"/>
    <w:rsid w:val="00746655"/>
    <w:rsid w:val="007466B9"/>
    <w:rsid w:val="00746744"/>
    <w:rsid w:val="00746A1F"/>
    <w:rsid w:val="00746AD1"/>
    <w:rsid w:val="00746B5D"/>
    <w:rsid w:val="00746CB9"/>
    <w:rsid w:val="00746CBC"/>
    <w:rsid w:val="00746CE9"/>
    <w:rsid w:val="0074704B"/>
    <w:rsid w:val="0074714C"/>
    <w:rsid w:val="007471C6"/>
    <w:rsid w:val="0074729A"/>
    <w:rsid w:val="0074775C"/>
    <w:rsid w:val="007479D2"/>
    <w:rsid w:val="00747AFA"/>
    <w:rsid w:val="00747B91"/>
    <w:rsid w:val="00750172"/>
    <w:rsid w:val="007504A3"/>
    <w:rsid w:val="00750509"/>
    <w:rsid w:val="00750815"/>
    <w:rsid w:val="00750AF8"/>
    <w:rsid w:val="00750B3A"/>
    <w:rsid w:val="00750CA4"/>
    <w:rsid w:val="00750FD1"/>
    <w:rsid w:val="00751032"/>
    <w:rsid w:val="007511E2"/>
    <w:rsid w:val="00751233"/>
    <w:rsid w:val="00751422"/>
    <w:rsid w:val="00751778"/>
    <w:rsid w:val="00751862"/>
    <w:rsid w:val="0075187A"/>
    <w:rsid w:val="00751AEE"/>
    <w:rsid w:val="00751BBF"/>
    <w:rsid w:val="00751EC5"/>
    <w:rsid w:val="00752619"/>
    <w:rsid w:val="007527B9"/>
    <w:rsid w:val="007527D4"/>
    <w:rsid w:val="00752917"/>
    <w:rsid w:val="00752B9C"/>
    <w:rsid w:val="00752BB9"/>
    <w:rsid w:val="00752C2B"/>
    <w:rsid w:val="00752C2E"/>
    <w:rsid w:val="00752DC8"/>
    <w:rsid w:val="00753088"/>
    <w:rsid w:val="00753205"/>
    <w:rsid w:val="0075336E"/>
    <w:rsid w:val="00753446"/>
    <w:rsid w:val="00753461"/>
    <w:rsid w:val="007534C1"/>
    <w:rsid w:val="00753734"/>
    <w:rsid w:val="00753844"/>
    <w:rsid w:val="00753AD6"/>
    <w:rsid w:val="00753E20"/>
    <w:rsid w:val="00754020"/>
    <w:rsid w:val="007541D5"/>
    <w:rsid w:val="00754298"/>
    <w:rsid w:val="0075443E"/>
    <w:rsid w:val="00754578"/>
    <w:rsid w:val="007547CA"/>
    <w:rsid w:val="00754865"/>
    <w:rsid w:val="0075492A"/>
    <w:rsid w:val="00754A53"/>
    <w:rsid w:val="00754CE7"/>
    <w:rsid w:val="00754FA8"/>
    <w:rsid w:val="00755027"/>
    <w:rsid w:val="00755525"/>
    <w:rsid w:val="007556FD"/>
    <w:rsid w:val="00755720"/>
    <w:rsid w:val="007557D7"/>
    <w:rsid w:val="00755A20"/>
    <w:rsid w:val="00755BCE"/>
    <w:rsid w:val="00755C2C"/>
    <w:rsid w:val="00755D75"/>
    <w:rsid w:val="00755DB1"/>
    <w:rsid w:val="00755FCA"/>
    <w:rsid w:val="0075612F"/>
    <w:rsid w:val="007568D5"/>
    <w:rsid w:val="00756A83"/>
    <w:rsid w:val="00756D2A"/>
    <w:rsid w:val="00756D6B"/>
    <w:rsid w:val="0075711F"/>
    <w:rsid w:val="0075726D"/>
    <w:rsid w:val="007572AA"/>
    <w:rsid w:val="007572BE"/>
    <w:rsid w:val="00757834"/>
    <w:rsid w:val="0075788C"/>
    <w:rsid w:val="0075792C"/>
    <w:rsid w:val="007579BE"/>
    <w:rsid w:val="007579F9"/>
    <w:rsid w:val="00757AAD"/>
    <w:rsid w:val="00757CCF"/>
    <w:rsid w:val="00757F28"/>
    <w:rsid w:val="00757F88"/>
    <w:rsid w:val="00757FF9"/>
    <w:rsid w:val="00760016"/>
    <w:rsid w:val="0076013F"/>
    <w:rsid w:val="00760167"/>
    <w:rsid w:val="007604E6"/>
    <w:rsid w:val="007605D1"/>
    <w:rsid w:val="00760637"/>
    <w:rsid w:val="007608A8"/>
    <w:rsid w:val="007609C1"/>
    <w:rsid w:val="00760B18"/>
    <w:rsid w:val="00760C5D"/>
    <w:rsid w:val="00761244"/>
    <w:rsid w:val="0076126A"/>
    <w:rsid w:val="0076171B"/>
    <w:rsid w:val="00761805"/>
    <w:rsid w:val="00761843"/>
    <w:rsid w:val="0076188B"/>
    <w:rsid w:val="007618FF"/>
    <w:rsid w:val="00761A1C"/>
    <w:rsid w:val="00761B9A"/>
    <w:rsid w:val="00761CD0"/>
    <w:rsid w:val="00761D0F"/>
    <w:rsid w:val="00762418"/>
    <w:rsid w:val="00762496"/>
    <w:rsid w:val="0076273C"/>
    <w:rsid w:val="007627FC"/>
    <w:rsid w:val="00762999"/>
    <w:rsid w:val="007629B2"/>
    <w:rsid w:val="00762A48"/>
    <w:rsid w:val="00762D41"/>
    <w:rsid w:val="00762F7E"/>
    <w:rsid w:val="0076325E"/>
    <w:rsid w:val="00763327"/>
    <w:rsid w:val="00763470"/>
    <w:rsid w:val="0076357F"/>
    <w:rsid w:val="0076374D"/>
    <w:rsid w:val="00763937"/>
    <w:rsid w:val="0076394D"/>
    <w:rsid w:val="00763E09"/>
    <w:rsid w:val="00763E56"/>
    <w:rsid w:val="00763E69"/>
    <w:rsid w:val="0076401C"/>
    <w:rsid w:val="0076406D"/>
    <w:rsid w:val="0076423F"/>
    <w:rsid w:val="007644EF"/>
    <w:rsid w:val="00764537"/>
    <w:rsid w:val="00764560"/>
    <w:rsid w:val="007647C4"/>
    <w:rsid w:val="007648E3"/>
    <w:rsid w:val="00764933"/>
    <w:rsid w:val="007649B5"/>
    <w:rsid w:val="007649B7"/>
    <w:rsid w:val="00764A67"/>
    <w:rsid w:val="00764A82"/>
    <w:rsid w:val="00764AED"/>
    <w:rsid w:val="00764CC1"/>
    <w:rsid w:val="00764E4E"/>
    <w:rsid w:val="00764EA1"/>
    <w:rsid w:val="00764FFF"/>
    <w:rsid w:val="007650DE"/>
    <w:rsid w:val="0076519C"/>
    <w:rsid w:val="007653F8"/>
    <w:rsid w:val="00765623"/>
    <w:rsid w:val="00765A84"/>
    <w:rsid w:val="00765D5A"/>
    <w:rsid w:val="007660F3"/>
    <w:rsid w:val="00766298"/>
    <w:rsid w:val="0076640C"/>
    <w:rsid w:val="007664F9"/>
    <w:rsid w:val="00766659"/>
    <w:rsid w:val="007667EE"/>
    <w:rsid w:val="00766805"/>
    <w:rsid w:val="00766871"/>
    <w:rsid w:val="00766A53"/>
    <w:rsid w:val="00766B3E"/>
    <w:rsid w:val="00766C61"/>
    <w:rsid w:val="00766C84"/>
    <w:rsid w:val="00766F2B"/>
    <w:rsid w:val="00766F7E"/>
    <w:rsid w:val="007670E2"/>
    <w:rsid w:val="007671F9"/>
    <w:rsid w:val="007672A7"/>
    <w:rsid w:val="0076745C"/>
    <w:rsid w:val="00767509"/>
    <w:rsid w:val="0076754C"/>
    <w:rsid w:val="0076755D"/>
    <w:rsid w:val="00767710"/>
    <w:rsid w:val="0076782F"/>
    <w:rsid w:val="00767851"/>
    <w:rsid w:val="0076786B"/>
    <w:rsid w:val="00767940"/>
    <w:rsid w:val="00767944"/>
    <w:rsid w:val="00767D74"/>
    <w:rsid w:val="00770161"/>
    <w:rsid w:val="007703CE"/>
    <w:rsid w:val="007703F8"/>
    <w:rsid w:val="00770509"/>
    <w:rsid w:val="0077053E"/>
    <w:rsid w:val="00770886"/>
    <w:rsid w:val="00770A2F"/>
    <w:rsid w:val="00770B48"/>
    <w:rsid w:val="00771152"/>
    <w:rsid w:val="007711FC"/>
    <w:rsid w:val="0077122D"/>
    <w:rsid w:val="007717E7"/>
    <w:rsid w:val="0077188C"/>
    <w:rsid w:val="00771BFC"/>
    <w:rsid w:val="00771D89"/>
    <w:rsid w:val="007720DC"/>
    <w:rsid w:val="00772154"/>
    <w:rsid w:val="0077249D"/>
    <w:rsid w:val="0077256F"/>
    <w:rsid w:val="007725A0"/>
    <w:rsid w:val="007726C6"/>
    <w:rsid w:val="0077284B"/>
    <w:rsid w:val="00772BA8"/>
    <w:rsid w:val="00773097"/>
    <w:rsid w:val="0077309D"/>
    <w:rsid w:val="00773284"/>
    <w:rsid w:val="00773CD7"/>
    <w:rsid w:val="00773ECF"/>
    <w:rsid w:val="007741C5"/>
    <w:rsid w:val="00774361"/>
    <w:rsid w:val="007743F2"/>
    <w:rsid w:val="0077490D"/>
    <w:rsid w:val="00774A87"/>
    <w:rsid w:val="00774AF3"/>
    <w:rsid w:val="00774B1D"/>
    <w:rsid w:val="00774E32"/>
    <w:rsid w:val="00775034"/>
    <w:rsid w:val="00775352"/>
    <w:rsid w:val="007757C3"/>
    <w:rsid w:val="0077585E"/>
    <w:rsid w:val="00775C20"/>
    <w:rsid w:val="00775C79"/>
    <w:rsid w:val="00775E01"/>
    <w:rsid w:val="00775E2E"/>
    <w:rsid w:val="00775F6B"/>
    <w:rsid w:val="00776066"/>
    <w:rsid w:val="00776237"/>
    <w:rsid w:val="00776277"/>
    <w:rsid w:val="00776311"/>
    <w:rsid w:val="00776944"/>
    <w:rsid w:val="00776B89"/>
    <w:rsid w:val="00776E97"/>
    <w:rsid w:val="00776FD1"/>
    <w:rsid w:val="00777057"/>
    <w:rsid w:val="00777088"/>
    <w:rsid w:val="0077708F"/>
    <w:rsid w:val="007770AC"/>
    <w:rsid w:val="007770CD"/>
    <w:rsid w:val="00777201"/>
    <w:rsid w:val="00777267"/>
    <w:rsid w:val="007773F7"/>
    <w:rsid w:val="00777613"/>
    <w:rsid w:val="00777740"/>
    <w:rsid w:val="00777758"/>
    <w:rsid w:val="007778E5"/>
    <w:rsid w:val="00777B4F"/>
    <w:rsid w:val="00777CD6"/>
    <w:rsid w:val="00777EAD"/>
    <w:rsid w:val="00777F82"/>
    <w:rsid w:val="00777F87"/>
    <w:rsid w:val="00780072"/>
    <w:rsid w:val="007809E9"/>
    <w:rsid w:val="00780A5B"/>
    <w:rsid w:val="00780CC5"/>
    <w:rsid w:val="00780E50"/>
    <w:rsid w:val="00780F5D"/>
    <w:rsid w:val="00780FC0"/>
    <w:rsid w:val="007812EF"/>
    <w:rsid w:val="0078155E"/>
    <w:rsid w:val="0078168E"/>
    <w:rsid w:val="007817F8"/>
    <w:rsid w:val="00781A06"/>
    <w:rsid w:val="00781B92"/>
    <w:rsid w:val="00781C98"/>
    <w:rsid w:val="00781CB0"/>
    <w:rsid w:val="00781F65"/>
    <w:rsid w:val="007821CB"/>
    <w:rsid w:val="007821E0"/>
    <w:rsid w:val="0078232E"/>
    <w:rsid w:val="007823A5"/>
    <w:rsid w:val="007825E7"/>
    <w:rsid w:val="007828A3"/>
    <w:rsid w:val="007828AE"/>
    <w:rsid w:val="00782AA8"/>
    <w:rsid w:val="00782ADC"/>
    <w:rsid w:val="00782C9F"/>
    <w:rsid w:val="00783027"/>
    <w:rsid w:val="00783506"/>
    <w:rsid w:val="007836A7"/>
    <w:rsid w:val="00783706"/>
    <w:rsid w:val="007837DD"/>
    <w:rsid w:val="00783855"/>
    <w:rsid w:val="0078393C"/>
    <w:rsid w:val="007839B3"/>
    <w:rsid w:val="00783A56"/>
    <w:rsid w:val="00783B13"/>
    <w:rsid w:val="00783C0A"/>
    <w:rsid w:val="00783E77"/>
    <w:rsid w:val="0078423E"/>
    <w:rsid w:val="007843B3"/>
    <w:rsid w:val="0078443A"/>
    <w:rsid w:val="00784479"/>
    <w:rsid w:val="00784488"/>
    <w:rsid w:val="00784496"/>
    <w:rsid w:val="007844BF"/>
    <w:rsid w:val="007845FB"/>
    <w:rsid w:val="00784626"/>
    <w:rsid w:val="007847D8"/>
    <w:rsid w:val="00784952"/>
    <w:rsid w:val="00784A99"/>
    <w:rsid w:val="00784C6B"/>
    <w:rsid w:val="00784FF0"/>
    <w:rsid w:val="007850CE"/>
    <w:rsid w:val="007851D6"/>
    <w:rsid w:val="00785314"/>
    <w:rsid w:val="00785495"/>
    <w:rsid w:val="00785694"/>
    <w:rsid w:val="00785AD4"/>
    <w:rsid w:val="00785D1D"/>
    <w:rsid w:val="00785E8B"/>
    <w:rsid w:val="00785F5C"/>
    <w:rsid w:val="00786089"/>
    <w:rsid w:val="007860BF"/>
    <w:rsid w:val="007860D1"/>
    <w:rsid w:val="0078612E"/>
    <w:rsid w:val="00786240"/>
    <w:rsid w:val="00786537"/>
    <w:rsid w:val="00786549"/>
    <w:rsid w:val="0078676F"/>
    <w:rsid w:val="00786863"/>
    <w:rsid w:val="00786884"/>
    <w:rsid w:val="00786DD9"/>
    <w:rsid w:val="00786E49"/>
    <w:rsid w:val="00786E70"/>
    <w:rsid w:val="00786F0B"/>
    <w:rsid w:val="007870DE"/>
    <w:rsid w:val="0078719D"/>
    <w:rsid w:val="007875E8"/>
    <w:rsid w:val="00787863"/>
    <w:rsid w:val="007878DF"/>
    <w:rsid w:val="007878E6"/>
    <w:rsid w:val="0078797C"/>
    <w:rsid w:val="00787EDC"/>
    <w:rsid w:val="0079068E"/>
    <w:rsid w:val="00790755"/>
    <w:rsid w:val="007909E9"/>
    <w:rsid w:val="00790A4D"/>
    <w:rsid w:val="00790AA8"/>
    <w:rsid w:val="00790E3F"/>
    <w:rsid w:val="00790E5E"/>
    <w:rsid w:val="00790E79"/>
    <w:rsid w:val="00791124"/>
    <w:rsid w:val="00791233"/>
    <w:rsid w:val="00791292"/>
    <w:rsid w:val="007912E8"/>
    <w:rsid w:val="0079136A"/>
    <w:rsid w:val="007913C2"/>
    <w:rsid w:val="007913E5"/>
    <w:rsid w:val="007914C4"/>
    <w:rsid w:val="0079187C"/>
    <w:rsid w:val="00791C73"/>
    <w:rsid w:val="00791DF0"/>
    <w:rsid w:val="00791DF4"/>
    <w:rsid w:val="00791F53"/>
    <w:rsid w:val="00791F71"/>
    <w:rsid w:val="0079224A"/>
    <w:rsid w:val="00792275"/>
    <w:rsid w:val="007922B1"/>
    <w:rsid w:val="00792367"/>
    <w:rsid w:val="007923A4"/>
    <w:rsid w:val="00792497"/>
    <w:rsid w:val="007924BD"/>
    <w:rsid w:val="007927FF"/>
    <w:rsid w:val="007929F5"/>
    <w:rsid w:val="007935B7"/>
    <w:rsid w:val="007936B6"/>
    <w:rsid w:val="0079379E"/>
    <w:rsid w:val="00793B4B"/>
    <w:rsid w:val="00793E11"/>
    <w:rsid w:val="00793F68"/>
    <w:rsid w:val="00793FDC"/>
    <w:rsid w:val="007940C7"/>
    <w:rsid w:val="0079426B"/>
    <w:rsid w:val="007942DC"/>
    <w:rsid w:val="0079464D"/>
    <w:rsid w:val="0079467E"/>
    <w:rsid w:val="007949A6"/>
    <w:rsid w:val="00794B20"/>
    <w:rsid w:val="00794BAF"/>
    <w:rsid w:val="00794CE5"/>
    <w:rsid w:val="00794CE7"/>
    <w:rsid w:val="00794D08"/>
    <w:rsid w:val="00794EB7"/>
    <w:rsid w:val="00795130"/>
    <w:rsid w:val="00795223"/>
    <w:rsid w:val="00795417"/>
    <w:rsid w:val="0079547E"/>
    <w:rsid w:val="00795493"/>
    <w:rsid w:val="00795883"/>
    <w:rsid w:val="0079590C"/>
    <w:rsid w:val="0079596C"/>
    <w:rsid w:val="00795C4A"/>
    <w:rsid w:val="00795CED"/>
    <w:rsid w:val="00795CF0"/>
    <w:rsid w:val="00795DFA"/>
    <w:rsid w:val="00795FC4"/>
    <w:rsid w:val="0079626A"/>
    <w:rsid w:val="00796281"/>
    <w:rsid w:val="007962A0"/>
    <w:rsid w:val="00796A05"/>
    <w:rsid w:val="00796AD4"/>
    <w:rsid w:val="00796AFC"/>
    <w:rsid w:val="00796B27"/>
    <w:rsid w:val="00796ED6"/>
    <w:rsid w:val="00797282"/>
    <w:rsid w:val="00797622"/>
    <w:rsid w:val="00797844"/>
    <w:rsid w:val="007978F0"/>
    <w:rsid w:val="0079796E"/>
    <w:rsid w:val="00797979"/>
    <w:rsid w:val="00797995"/>
    <w:rsid w:val="00797A52"/>
    <w:rsid w:val="00797A97"/>
    <w:rsid w:val="00797B9A"/>
    <w:rsid w:val="00797EE1"/>
    <w:rsid w:val="007A0174"/>
    <w:rsid w:val="007A05AB"/>
    <w:rsid w:val="007A066E"/>
    <w:rsid w:val="007A09D6"/>
    <w:rsid w:val="007A0A65"/>
    <w:rsid w:val="007A0B77"/>
    <w:rsid w:val="007A0C4C"/>
    <w:rsid w:val="007A0DC8"/>
    <w:rsid w:val="007A0E15"/>
    <w:rsid w:val="007A1003"/>
    <w:rsid w:val="007A1265"/>
    <w:rsid w:val="007A1495"/>
    <w:rsid w:val="007A14E3"/>
    <w:rsid w:val="007A14E5"/>
    <w:rsid w:val="007A18EE"/>
    <w:rsid w:val="007A19C6"/>
    <w:rsid w:val="007A1CB0"/>
    <w:rsid w:val="007A1DC5"/>
    <w:rsid w:val="007A1EC4"/>
    <w:rsid w:val="007A1FBE"/>
    <w:rsid w:val="007A2164"/>
    <w:rsid w:val="007A22E1"/>
    <w:rsid w:val="007A247E"/>
    <w:rsid w:val="007A274E"/>
    <w:rsid w:val="007A293A"/>
    <w:rsid w:val="007A2AF9"/>
    <w:rsid w:val="007A2B4E"/>
    <w:rsid w:val="007A2E34"/>
    <w:rsid w:val="007A2EFE"/>
    <w:rsid w:val="007A2F87"/>
    <w:rsid w:val="007A3086"/>
    <w:rsid w:val="007A30D9"/>
    <w:rsid w:val="007A315E"/>
    <w:rsid w:val="007A320E"/>
    <w:rsid w:val="007A336F"/>
    <w:rsid w:val="007A33BD"/>
    <w:rsid w:val="007A348C"/>
    <w:rsid w:val="007A356A"/>
    <w:rsid w:val="007A3CC1"/>
    <w:rsid w:val="007A439C"/>
    <w:rsid w:val="007A4446"/>
    <w:rsid w:val="007A4829"/>
    <w:rsid w:val="007A49B8"/>
    <w:rsid w:val="007A4A70"/>
    <w:rsid w:val="007A4BA0"/>
    <w:rsid w:val="007A4C51"/>
    <w:rsid w:val="007A4C56"/>
    <w:rsid w:val="007A4D28"/>
    <w:rsid w:val="007A4F64"/>
    <w:rsid w:val="007A5135"/>
    <w:rsid w:val="007A527D"/>
    <w:rsid w:val="007A5302"/>
    <w:rsid w:val="007A546F"/>
    <w:rsid w:val="007A5609"/>
    <w:rsid w:val="007A57D6"/>
    <w:rsid w:val="007A5DB6"/>
    <w:rsid w:val="007A5E74"/>
    <w:rsid w:val="007A60B0"/>
    <w:rsid w:val="007A6179"/>
    <w:rsid w:val="007A61BC"/>
    <w:rsid w:val="007A62FD"/>
    <w:rsid w:val="007A6385"/>
    <w:rsid w:val="007A65DF"/>
    <w:rsid w:val="007A681A"/>
    <w:rsid w:val="007A68B8"/>
    <w:rsid w:val="007A6A3B"/>
    <w:rsid w:val="007A6BFF"/>
    <w:rsid w:val="007A6E18"/>
    <w:rsid w:val="007A6ECD"/>
    <w:rsid w:val="007A6EE2"/>
    <w:rsid w:val="007A6F6E"/>
    <w:rsid w:val="007A7107"/>
    <w:rsid w:val="007A7388"/>
    <w:rsid w:val="007A7455"/>
    <w:rsid w:val="007A7537"/>
    <w:rsid w:val="007A757B"/>
    <w:rsid w:val="007A75BA"/>
    <w:rsid w:val="007A775D"/>
    <w:rsid w:val="007A7891"/>
    <w:rsid w:val="007A7946"/>
    <w:rsid w:val="007A796E"/>
    <w:rsid w:val="007A7A43"/>
    <w:rsid w:val="007A7A48"/>
    <w:rsid w:val="007A7A9C"/>
    <w:rsid w:val="007A7AE3"/>
    <w:rsid w:val="007A7C80"/>
    <w:rsid w:val="007A7D6D"/>
    <w:rsid w:val="007A7E1B"/>
    <w:rsid w:val="007A7E54"/>
    <w:rsid w:val="007A7F37"/>
    <w:rsid w:val="007A7FC7"/>
    <w:rsid w:val="007B0120"/>
    <w:rsid w:val="007B0123"/>
    <w:rsid w:val="007B016E"/>
    <w:rsid w:val="007B024C"/>
    <w:rsid w:val="007B0263"/>
    <w:rsid w:val="007B0324"/>
    <w:rsid w:val="007B064E"/>
    <w:rsid w:val="007B0753"/>
    <w:rsid w:val="007B07D7"/>
    <w:rsid w:val="007B0868"/>
    <w:rsid w:val="007B0931"/>
    <w:rsid w:val="007B0E97"/>
    <w:rsid w:val="007B0F4D"/>
    <w:rsid w:val="007B1007"/>
    <w:rsid w:val="007B110C"/>
    <w:rsid w:val="007B1111"/>
    <w:rsid w:val="007B13F9"/>
    <w:rsid w:val="007B1425"/>
    <w:rsid w:val="007B1471"/>
    <w:rsid w:val="007B16AA"/>
    <w:rsid w:val="007B1731"/>
    <w:rsid w:val="007B18E5"/>
    <w:rsid w:val="007B1B4B"/>
    <w:rsid w:val="007B1C84"/>
    <w:rsid w:val="007B1D35"/>
    <w:rsid w:val="007B1D66"/>
    <w:rsid w:val="007B1EEE"/>
    <w:rsid w:val="007B22E2"/>
    <w:rsid w:val="007B2344"/>
    <w:rsid w:val="007B23CA"/>
    <w:rsid w:val="007B2467"/>
    <w:rsid w:val="007B256E"/>
    <w:rsid w:val="007B26A1"/>
    <w:rsid w:val="007B2821"/>
    <w:rsid w:val="007B296A"/>
    <w:rsid w:val="007B2A64"/>
    <w:rsid w:val="007B2A65"/>
    <w:rsid w:val="007B2BC4"/>
    <w:rsid w:val="007B2DCD"/>
    <w:rsid w:val="007B2E72"/>
    <w:rsid w:val="007B30D3"/>
    <w:rsid w:val="007B3423"/>
    <w:rsid w:val="007B351B"/>
    <w:rsid w:val="007B3556"/>
    <w:rsid w:val="007B35FE"/>
    <w:rsid w:val="007B3821"/>
    <w:rsid w:val="007B393B"/>
    <w:rsid w:val="007B3AC0"/>
    <w:rsid w:val="007B3B1C"/>
    <w:rsid w:val="007B3E41"/>
    <w:rsid w:val="007B401C"/>
    <w:rsid w:val="007B416D"/>
    <w:rsid w:val="007B4319"/>
    <w:rsid w:val="007B48EA"/>
    <w:rsid w:val="007B4951"/>
    <w:rsid w:val="007B4958"/>
    <w:rsid w:val="007B4B2D"/>
    <w:rsid w:val="007B4DF8"/>
    <w:rsid w:val="007B55EB"/>
    <w:rsid w:val="007B5620"/>
    <w:rsid w:val="007B567D"/>
    <w:rsid w:val="007B57A4"/>
    <w:rsid w:val="007B5B3F"/>
    <w:rsid w:val="007B5B64"/>
    <w:rsid w:val="007B5F6F"/>
    <w:rsid w:val="007B62C1"/>
    <w:rsid w:val="007B6326"/>
    <w:rsid w:val="007B641F"/>
    <w:rsid w:val="007B6875"/>
    <w:rsid w:val="007B6888"/>
    <w:rsid w:val="007B68A4"/>
    <w:rsid w:val="007B68DB"/>
    <w:rsid w:val="007B695B"/>
    <w:rsid w:val="007B6D32"/>
    <w:rsid w:val="007B7174"/>
    <w:rsid w:val="007B757B"/>
    <w:rsid w:val="007B7580"/>
    <w:rsid w:val="007B75A1"/>
    <w:rsid w:val="007C00B5"/>
    <w:rsid w:val="007C00EC"/>
    <w:rsid w:val="007C019D"/>
    <w:rsid w:val="007C0376"/>
    <w:rsid w:val="007C03D6"/>
    <w:rsid w:val="007C05BE"/>
    <w:rsid w:val="007C068C"/>
    <w:rsid w:val="007C06B0"/>
    <w:rsid w:val="007C07AA"/>
    <w:rsid w:val="007C1486"/>
    <w:rsid w:val="007C181B"/>
    <w:rsid w:val="007C184A"/>
    <w:rsid w:val="007C1B39"/>
    <w:rsid w:val="007C21D1"/>
    <w:rsid w:val="007C21E1"/>
    <w:rsid w:val="007C21E8"/>
    <w:rsid w:val="007C2362"/>
    <w:rsid w:val="007C2487"/>
    <w:rsid w:val="007C24E7"/>
    <w:rsid w:val="007C2B59"/>
    <w:rsid w:val="007C2E2E"/>
    <w:rsid w:val="007C2F55"/>
    <w:rsid w:val="007C311E"/>
    <w:rsid w:val="007C3160"/>
    <w:rsid w:val="007C32A8"/>
    <w:rsid w:val="007C3301"/>
    <w:rsid w:val="007C331D"/>
    <w:rsid w:val="007C33C3"/>
    <w:rsid w:val="007C34B7"/>
    <w:rsid w:val="007C350D"/>
    <w:rsid w:val="007C3601"/>
    <w:rsid w:val="007C3934"/>
    <w:rsid w:val="007C39A0"/>
    <w:rsid w:val="007C39EE"/>
    <w:rsid w:val="007C3C8A"/>
    <w:rsid w:val="007C429B"/>
    <w:rsid w:val="007C43A2"/>
    <w:rsid w:val="007C47FB"/>
    <w:rsid w:val="007C48CB"/>
    <w:rsid w:val="007C4B0D"/>
    <w:rsid w:val="007C4BCA"/>
    <w:rsid w:val="007C4E65"/>
    <w:rsid w:val="007C4F0E"/>
    <w:rsid w:val="007C4F90"/>
    <w:rsid w:val="007C508B"/>
    <w:rsid w:val="007C5113"/>
    <w:rsid w:val="007C525C"/>
    <w:rsid w:val="007C5465"/>
    <w:rsid w:val="007C5648"/>
    <w:rsid w:val="007C568C"/>
    <w:rsid w:val="007C577C"/>
    <w:rsid w:val="007C5E0A"/>
    <w:rsid w:val="007C6130"/>
    <w:rsid w:val="007C621C"/>
    <w:rsid w:val="007C63E2"/>
    <w:rsid w:val="007C6487"/>
    <w:rsid w:val="007C67E7"/>
    <w:rsid w:val="007C6B32"/>
    <w:rsid w:val="007C7117"/>
    <w:rsid w:val="007C7234"/>
    <w:rsid w:val="007C7313"/>
    <w:rsid w:val="007C770C"/>
    <w:rsid w:val="007C7888"/>
    <w:rsid w:val="007C7936"/>
    <w:rsid w:val="007C7BED"/>
    <w:rsid w:val="007C7CA4"/>
    <w:rsid w:val="007C7DD1"/>
    <w:rsid w:val="007C7F6E"/>
    <w:rsid w:val="007C7F73"/>
    <w:rsid w:val="007D0399"/>
    <w:rsid w:val="007D03DD"/>
    <w:rsid w:val="007D0489"/>
    <w:rsid w:val="007D072A"/>
    <w:rsid w:val="007D0825"/>
    <w:rsid w:val="007D091E"/>
    <w:rsid w:val="007D093C"/>
    <w:rsid w:val="007D0A52"/>
    <w:rsid w:val="007D0A68"/>
    <w:rsid w:val="007D0A9A"/>
    <w:rsid w:val="007D0E0C"/>
    <w:rsid w:val="007D0EE9"/>
    <w:rsid w:val="007D1265"/>
    <w:rsid w:val="007D160B"/>
    <w:rsid w:val="007D1732"/>
    <w:rsid w:val="007D1830"/>
    <w:rsid w:val="007D1B65"/>
    <w:rsid w:val="007D1B6E"/>
    <w:rsid w:val="007D25C5"/>
    <w:rsid w:val="007D2792"/>
    <w:rsid w:val="007D2BE7"/>
    <w:rsid w:val="007D2D3A"/>
    <w:rsid w:val="007D3677"/>
    <w:rsid w:val="007D36C3"/>
    <w:rsid w:val="007D397A"/>
    <w:rsid w:val="007D3A13"/>
    <w:rsid w:val="007D3B57"/>
    <w:rsid w:val="007D3C9B"/>
    <w:rsid w:val="007D46B3"/>
    <w:rsid w:val="007D46CE"/>
    <w:rsid w:val="007D49DB"/>
    <w:rsid w:val="007D4AD6"/>
    <w:rsid w:val="007D4B39"/>
    <w:rsid w:val="007D4BB8"/>
    <w:rsid w:val="007D4BE5"/>
    <w:rsid w:val="007D4F46"/>
    <w:rsid w:val="007D4FB2"/>
    <w:rsid w:val="007D5217"/>
    <w:rsid w:val="007D52CA"/>
    <w:rsid w:val="007D54F7"/>
    <w:rsid w:val="007D550A"/>
    <w:rsid w:val="007D557C"/>
    <w:rsid w:val="007D55A8"/>
    <w:rsid w:val="007D5651"/>
    <w:rsid w:val="007D569A"/>
    <w:rsid w:val="007D571F"/>
    <w:rsid w:val="007D583A"/>
    <w:rsid w:val="007D5926"/>
    <w:rsid w:val="007D59A8"/>
    <w:rsid w:val="007D5B94"/>
    <w:rsid w:val="007D5BCE"/>
    <w:rsid w:val="007D5C0A"/>
    <w:rsid w:val="007D5C23"/>
    <w:rsid w:val="007D5E1B"/>
    <w:rsid w:val="007D5ECD"/>
    <w:rsid w:val="007D5F95"/>
    <w:rsid w:val="007D6107"/>
    <w:rsid w:val="007D6313"/>
    <w:rsid w:val="007D63FC"/>
    <w:rsid w:val="007D642A"/>
    <w:rsid w:val="007D68F1"/>
    <w:rsid w:val="007D6978"/>
    <w:rsid w:val="007D6A19"/>
    <w:rsid w:val="007D6AD4"/>
    <w:rsid w:val="007D6BA7"/>
    <w:rsid w:val="007D6BD1"/>
    <w:rsid w:val="007D6BDE"/>
    <w:rsid w:val="007D6D42"/>
    <w:rsid w:val="007D6D82"/>
    <w:rsid w:val="007D6E6F"/>
    <w:rsid w:val="007D6FE9"/>
    <w:rsid w:val="007D74E5"/>
    <w:rsid w:val="007D75BE"/>
    <w:rsid w:val="007D765B"/>
    <w:rsid w:val="007D786D"/>
    <w:rsid w:val="007D799B"/>
    <w:rsid w:val="007D79DF"/>
    <w:rsid w:val="007D7AC9"/>
    <w:rsid w:val="007D7B4F"/>
    <w:rsid w:val="007D7D01"/>
    <w:rsid w:val="007D7F5D"/>
    <w:rsid w:val="007E00B1"/>
    <w:rsid w:val="007E00D6"/>
    <w:rsid w:val="007E0101"/>
    <w:rsid w:val="007E01B1"/>
    <w:rsid w:val="007E04D4"/>
    <w:rsid w:val="007E058E"/>
    <w:rsid w:val="007E065E"/>
    <w:rsid w:val="007E0879"/>
    <w:rsid w:val="007E0BC2"/>
    <w:rsid w:val="007E0BDA"/>
    <w:rsid w:val="007E0E21"/>
    <w:rsid w:val="007E0FA2"/>
    <w:rsid w:val="007E1023"/>
    <w:rsid w:val="007E10B4"/>
    <w:rsid w:val="007E1290"/>
    <w:rsid w:val="007E15B4"/>
    <w:rsid w:val="007E1602"/>
    <w:rsid w:val="007E1646"/>
    <w:rsid w:val="007E17D8"/>
    <w:rsid w:val="007E1823"/>
    <w:rsid w:val="007E195D"/>
    <w:rsid w:val="007E1B54"/>
    <w:rsid w:val="007E1C3E"/>
    <w:rsid w:val="007E1CE0"/>
    <w:rsid w:val="007E1E4F"/>
    <w:rsid w:val="007E1FA8"/>
    <w:rsid w:val="007E2059"/>
    <w:rsid w:val="007E2103"/>
    <w:rsid w:val="007E21F1"/>
    <w:rsid w:val="007E238C"/>
    <w:rsid w:val="007E2611"/>
    <w:rsid w:val="007E26AB"/>
    <w:rsid w:val="007E2C89"/>
    <w:rsid w:val="007E2CC8"/>
    <w:rsid w:val="007E2E3F"/>
    <w:rsid w:val="007E306B"/>
    <w:rsid w:val="007E3328"/>
    <w:rsid w:val="007E335E"/>
    <w:rsid w:val="007E3393"/>
    <w:rsid w:val="007E35F2"/>
    <w:rsid w:val="007E3724"/>
    <w:rsid w:val="007E37A4"/>
    <w:rsid w:val="007E3906"/>
    <w:rsid w:val="007E3D4F"/>
    <w:rsid w:val="007E3E35"/>
    <w:rsid w:val="007E4858"/>
    <w:rsid w:val="007E4B07"/>
    <w:rsid w:val="007E4B2C"/>
    <w:rsid w:val="007E519E"/>
    <w:rsid w:val="007E527F"/>
    <w:rsid w:val="007E538E"/>
    <w:rsid w:val="007E5471"/>
    <w:rsid w:val="007E55EA"/>
    <w:rsid w:val="007E5640"/>
    <w:rsid w:val="007E5658"/>
    <w:rsid w:val="007E5694"/>
    <w:rsid w:val="007E56F4"/>
    <w:rsid w:val="007E5928"/>
    <w:rsid w:val="007E5B1B"/>
    <w:rsid w:val="007E5B1F"/>
    <w:rsid w:val="007E5BA9"/>
    <w:rsid w:val="007E5E67"/>
    <w:rsid w:val="007E5F95"/>
    <w:rsid w:val="007E6098"/>
    <w:rsid w:val="007E6415"/>
    <w:rsid w:val="007E64C2"/>
    <w:rsid w:val="007E67DC"/>
    <w:rsid w:val="007E69D3"/>
    <w:rsid w:val="007E6DEB"/>
    <w:rsid w:val="007E6E1D"/>
    <w:rsid w:val="007E6E34"/>
    <w:rsid w:val="007E6F01"/>
    <w:rsid w:val="007E6F2E"/>
    <w:rsid w:val="007E7272"/>
    <w:rsid w:val="007E7293"/>
    <w:rsid w:val="007E7299"/>
    <w:rsid w:val="007E7480"/>
    <w:rsid w:val="007E766B"/>
    <w:rsid w:val="007E787D"/>
    <w:rsid w:val="007E7BC8"/>
    <w:rsid w:val="007E7CBC"/>
    <w:rsid w:val="007E7E2C"/>
    <w:rsid w:val="007F012F"/>
    <w:rsid w:val="007F0449"/>
    <w:rsid w:val="007F0475"/>
    <w:rsid w:val="007F0517"/>
    <w:rsid w:val="007F063E"/>
    <w:rsid w:val="007F06E0"/>
    <w:rsid w:val="007F0740"/>
    <w:rsid w:val="007F0B7F"/>
    <w:rsid w:val="007F0C21"/>
    <w:rsid w:val="007F0C31"/>
    <w:rsid w:val="007F0D9D"/>
    <w:rsid w:val="007F0ED4"/>
    <w:rsid w:val="007F1308"/>
    <w:rsid w:val="007F1599"/>
    <w:rsid w:val="007F161C"/>
    <w:rsid w:val="007F1925"/>
    <w:rsid w:val="007F1ACB"/>
    <w:rsid w:val="007F1B7F"/>
    <w:rsid w:val="007F1D63"/>
    <w:rsid w:val="007F2037"/>
    <w:rsid w:val="007F208A"/>
    <w:rsid w:val="007F227F"/>
    <w:rsid w:val="007F22AC"/>
    <w:rsid w:val="007F23FA"/>
    <w:rsid w:val="007F26C8"/>
    <w:rsid w:val="007F26DC"/>
    <w:rsid w:val="007F27F6"/>
    <w:rsid w:val="007F29FD"/>
    <w:rsid w:val="007F2A82"/>
    <w:rsid w:val="007F2BAB"/>
    <w:rsid w:val="007F2C1B"/>
    <w:rsid w:val="007F2CF4"/>
    <w:rsid w:val="007F2DCA"/>
    <w:rsid w:val="007F2EAE"/>
    <w:rsid w:val="007F3062"/>
    <w:rsid w:val="007F3154"/>
    <w:rsid w:val="007F3216"/>
    <w:rsid w:val="007F33DE"/>
    <w:rsid w:val="007F350A"/>
    <w:rsid w:val="007F3757"/>
    <w:rsid w:val="007F381C"/>
    <w:rsid w:val="007F3D06"/>
    <w:rsid w:val="007F3EF5"/>
    <w:rsid w:val="007F41C0"/>
    <w:rsid w:val="007F430E"/>
    <w:rsid w:val="007F4324"/>
    <w:rsid w:val="007F4483"/>
    <w:rsid w:val="007F44BA"/>
    <w:rsid w:val="007F44D5"/>
    <w:rsid w:val="007F45BA"/>
    <w:rsid w:val="007F4A4C"/>
    <w:rsid w:val="007F4B0D"/>
    <w:rsid w:val="007F4B33"/>
    <w:rsid w:val="007F4F0F"/>
    <w:rsid w:val="007F501B"/>
    <w:rsid w:val="007F50B1"/>
    <w:rsid w:val="007F55B0"/>
    <w:rsid w:val="007F5790"/>
    <w:rsid w:val="007F57C1"/>
    <w:rsid w:val="007F595D"/>
    <w:rsid w:val="007F5B90"/>
    <w:rsid w:val="007F5C47"/>
    <w:rsid w:val="007F5D94"/>
    <w:rsid w:val="007F6094"/>
    <w:rsid w:val="007F6418"/>
    <w:rsid w:val="007F65D9"/>
    <w:rsid w:val="007F6619"/>
    <w:rsid w:val="007F6666"/>
    <w:rsid w:val="007F678F"/>
    <w:rsid w:val="007F67F3"/>
    <w:rsid w:val="007F6C2C"/>
    <w:rsid w:val="007F6C89"/>
    <w:rsid w:val="007F6CB8"/>
    <w:rsid w:val="007F6CFF"/>
    <w:rsid w:val="007F6D87"/>
    <w:rsid w:val="007F6F46"/>
    <w:rsid w:val="007F7187"/>
    <w:rsid w:val="007F73AB"/>
    <w:rsid w:val="007F7700"/>
    <w:rsid w:val="007F78D6"/>
    <w:rsid w:val="007F7AE0"/>
    <w:rsid w:val="007F7B48"/>
    <w:rsid w:val="007F7CC3"/>
    <w:rsid w:val="007F7DEF"/>
    <w:rsid w:val="007F7E6D"/>
    <w:rsid w:val="00800053"/>
    <w:rsid w:val="00800078"/>
    <w:rsid w:val="00800153"/>
    <w:rsid w:val="00800777"/>
    <w:rsid w:val="00800884"/>
    <w:rsid w:val="008009AC"/>
    <w:rsid w:val="00800ADD"/>
    <w:rsid w:val="00800B9B"/>
    <w:rsid w:val="00800BFA"/>
    <w:rsid w:val="00800CA0"/>
    <w:rsid w:val="00800F56"/>
    <w:rsid w:val="0080121C"/>
    <w:rsid w:val="00801237"/>
    <w:rsid w:val="008012F9"/>
    <w:rsid w:val="0080163F"/>
    <w:rsid w:val="008017B8"/>
    <w:rsid w:val="00801888"/>
    <w:rsid w:val="008018AA"/>
    <w:rsid w:val="00801B10"/>
    <w:rsid w:val="00801CF7"/>
    <w:rsid w:val="0080200D"/>
    <w:rsid w:val="0080217E"/>
    <w:rsid w:val="008021B9"/>
    <w:rsid w:val="008024C8"/>
    <w:rsid w:val="0080266D"/>
    <w:rsid w:val="008026EF"/>
    <w:rsid w:val="00802BC5"/>
    <w:rsid w:val="008031F6"/>
    <w:rsid w:val="00803700"/>
    <w:rsid w:val="0080397B"/>
    <w:rsid w:val="00803B37"/>
    <w:rsid w:val="00803B39"/>
    <w:rsid w:val="00803BB8"/>
    <w:rsid w:val="00803D32"/>
    <w:rsid w:val="00803ED2"/>
    <w:rsid w:val="00803EFB"/>
    <w:rsid w:val="00803F97"/>
    <w:rsid w:val="00804060"/>
    <w:rsid w:val="00804305"/>
    <w:rsid w:val="0080438E"/>
    <w:rsid w:val="00804399"/>
    <w:rsid w:val="008047A0"/>
    <w:rsid w:val="00804975"/>
    <w:rsid w:val="00804A4F"/>
    <w:rsid w:val="00804B58"/>
    <w:rsid w:val="00804D84"/>
    <w:rsid w:val="00805183"/>
    <w:rsid w:val="008052E7"/>
    <w:rsid w:val="0080540F"/>
    <w:rsid w:val="00805B71"/>
    <w:rsid w:val="00805FBE"/>
    <w:rsid w:val="00806096"/>
    <w:rsid w:val="008065CD"/>
    <w:rsid w:val="008066B2"/>
    <w:rsid w:val="00806730"/>
    <w:rsid w:val="008067E0"/>
    <w:rsid w:val="00806B97"/>
    <w:rsid w:val="00806B9A"/>
    <w:rsid w:val="00806E7D"/>
    <w:rsid w:val="00806E9B"/>
    <w:rsid w:val="0080716C"/>
    <w:rsid w:val="008071C6"/>
    <w:rsid w:val="00807227"/>
    <w:rsid w:val="00807330"/>
    <w:rsid w:val="00807352"/>
    <w:rsid w:val="0080738E"/>
    <w:rsid w:val="00807412"/>
    <w:rsid w:val="008074E0"/>
    <w:rsid w:val="0080753D"/>
    <w:rsid w:val="008077C6"/>
    <w:rsid w:val="00807FF0"/>
    <w:rsid w:val="00810099"/>
    <w:rsid w:val="00810357"/>
    <w:rsid w:val="00810580"/>
    <w:rsid w:val="0081089F"/>
    <w:rsid w:val="00810A11"/>
    <w:rsid w:val="00810B50"/>
    <w:rsid w:val="00810C5D"/>
    <w:rsid w:val="00810C7C"/>
    <w:rsid w:val="00810C8A"/>
    <w:rsid w:val="00810D78"/>
    <w:rsid w:val="00811028"/>
    <w:rsid w:val="00811051"/>
    <w:rsid w:val="00811406"/>
    <w:rsid w:val="008115AD"/>
    <w:rsid w:val="008115F4"/>
    <w:rsid w:val="00811739"/>
    <w:rsid w:val="00811960"/>
    <w:rsid w:val="00811CF1"/>
    <w:rsid w:val="00811CF7"/>
    <w:rsid w:val="00811EEF"/>
    <w:rsid w:val="00812345"/>
    <w:rsid w:val="0081243E"/>
    <w:rsid w:val="00812568"/>
    <w:rsid w:val="00812A1D"/>
    <w:rsid w:val="00812B56"/>
    <w:rsid w:val="00812ED4"/>
    <w:rsid w:val="00813037"/>
    <w:rsid w:val="008130B7"/>
    <w:rsid w:val="0081324C"/>
    <w:rsid w:val="00813602"/>
    <w:rsid w:val="008139B2"/>
    <w:rsid w:val="008139B5"/>
    <w:rsid w:val="00813AA0"/>
    <w:rsid w:val="00813B17"/>
    <w:rsid w:val="00813D1D"/>
    <w:rsid w:val="00813D88"/>
    <w:rsid w:val="00813DD2"/>
    <w:rsid w:val="00813EFA"/>
    <w:rsid w:val="0081415A"/>
    <w:rsid w:val="008143C0"/>
    <w:rsid w:val="00814493"/>
    <w:rsid w:val="008144B5"/>
    <w:rsid w:val="00814628"/>
    <w:rsid w:val="00814669"/>
    <w:rsid w:val="00814728"/>
    <w:rsid w:val="00814730"/>
    <w:rsid w:val="00814917"/>
    <w:rsid w:val="00814A76"/>
    <w:rsid w:val="00814CBC"/>
    <w:rsid w:val="00814F62"/>
    <w:rsid w:val="00815054"/>
    <w:rsid w:val="008150F1"/>
    <w:rsid w:val="00815108"/>
    <w:rsid w:val="00815163"/>
    <w:rsid w:val="008152DA"/>
    <w:rsid w:val="00815433"/>
    <w:rsid w:val="00815D12"/>
    <w:rsid w:val="00815EAB"/>
    <w:rsid w:val="00815EFE"/>
    <w:rsid w:val="00815F20"/>
    <w:rsid w:val="00815FB0"/>
    <w:rsid w:val="00815FFF"/>
    <w:rsid w:val="008162A5"/>
    <w:rsid w:val="008164D2"/>
    <w:rsid w:val="0081663B"/>
    <w:rsid w:val="00816720"/>
    <w:rsid w:val="00816782"/>
    <w:rsid w:val="00816A00"/>
    <w:rsid w:val="00816A20"/>
    <w:rsid w:val="00816AF9"/>
    <w:rsid w:val="00817A55"/>
    <w:rsid w:val="00817CB4"/>
    <w:rsid w:val="00817E52"/>
    <w:rsid w:val="00817E93"/>
    <w:rsid w:val="00817EB9"/>
    <w:rsid w:val="00817FFA"/>
    <w:rsid w:val="00820022"/>
    <w:rsid w:val="00820095"/>
    <w:rsid w:val="008200CA"/>
    <w:rsid w:val="00820165"/>
    <w:rsid w:val="008204F3"/>
    <w:rsid w:val="00820AEA"/>
    <w:rsid w:val="00820B32"/>
    <w:rsid w:val="00820BB6"/>
    <w:rsid w:val="00820DA4"/>
    <w:rsid w:val="00820E15"/>
    <w:rsid w:val="00820EC4"/>
    <w:rsid w:val="00821160"/>
    <w:rsid w:val="00821243"/>
    <w:rsid w:val="00821613"/>
    <w:rsid w:val="008218A4"/>
    <w:rsid w:val="00821A63"/>
    <w:rsid w:val="00821A99"/>
    <w:rsid w:val="00821E9A"/>
    <w:rsid w:val="0082212A"/>
    <w:rsid w:val="008221B6"/>
    <w:rsid w:val="008221BE"/>
    <w:rsid w:val="00822223"/>
    <w:rsid w:val="0082228F"/>
    <w:rsid w:val="008224DF"/>
    <w:rsid w:val="0082255B"/>
    <w:rsid w:val="0082257B"/>
    <w:rsid w:val="00822766"/>
    <w:rsid w:val="00822888"/>
    <w:rsid w:val="008228FC"/>
    <w:rsid w:val="0082297B"/>
    <w:rsid w:val="00822B92"/>
    <w:rsid w:val="00822BE3"/>
    <w:rsid w:val="00822C34"/>
    <w:rsid w:val="00822EEB"/>
    <w:rsid w:val="00822F81"/>
    <w:rsid w:val="0082316E"/>
    <w:rsid w:val="00823370"/>
    <w:rsid w:val="00823B1A"/>
    <w:rsid w:val="00823BE4"/>
    <w:rsid w:val="00823FE8"/>
    <w:rsid w:val="008240D9"/>
    <w:rsid w:val="008241B8"/>
    <w:rsid w:val="0082420A"/>
    <w:rsid w:val="0082426E"/>
    <w:rsid w:val="00824580"/>
    <w:rsid w:val="00824779"/>
    <w:rsid w:val="00824AC4"/>
    <w:rsid w:val="00824BA7"/>
    <w:rsid w:val="00824BAE"/>
    <w:rsid w:val="00824C0D"/>
    <w:rsid w:val="00824C3A"/>
    <w:rsid w:val="00824C85"/>
    <w:rsid w:val="00824D7F"/>
    <w:rsid w:val="008251D9"/>
    <w:rsid w:val="008252F3"/>
    <w:rsid w:val="0082532A"/>
    <w:rsid w:val="0082549D"/>
    <w:rsid w:val="008254BE"/>
    <w:rsid w:val="0082555D"/>
    <w:rsid w:val="008257F6"/>
    <w:rsid w:val="00825C86"/>
    <w:rsid w:val="00825DF4"/>
    <w:rsid w:val="00825FD0"/>
    <w:rsid w:val="0082607B"/>
    <w:rsid w:val="00826162"/>
    <w:rsid w:val="00826259"/>
    <w:rsid w:val="008264DA"/>
    <w:rsid w:val="00826622"/>
    <w:rsid w:val="00826889"/>
    <w:rsid w:val="00826C42"/>
    <w:rsid w:val="00826C4B"/>
    <w:rsid w:val="00826E70"/>
    <w:rsid w:val="00827153"/>
    <w:rsid w:val="008272DE"/>
    <w:rsid w:val="008273B5"/>
    <w:rsid w:val="00827640"/>
    <w:rsid w:val="00827A1B"/>
    <w:rsid w:val="00827C10"/>
    <w:rsid w:val="00827DC2"/>
    <w:rsid w:val="00827E53"/>
    <w:rsid w:val="00827F74"/>
    <w:rsid w:val="00830143"/>
    <w:rsid w:val="00830326"/>
    <w:rsid w:val="00830479"/>
    <w:rsid w:val="0083063A"/>
    <w:rsid w:val="008308B0"/>
    <w:rsid w:val="0083098F"/>
    <w:rsid w:val="00830A80"/>
    <w:rsid w:val="00830B09"/>
    <w:rsid w:val="00830E28"/>
    <w:rsid w:val="00830F80"/>
    <w:rsid w:val="00831001"/>
    <w:rsid w:val="00831117"/>
    <w:rsid w:val="0083138D"/>
    <w:rsid w:val="008313DC"/>
    <w:rsid w:val="00831404"/>
    <w:rsid w:val="00831499"/>
    <w:rsid w:val="0083149D"/>
    <w:rsid w:val="008315DC"/>
    <w:rsid w:val="00831B60"/>
    <w:rsid w:val="00831CE2"/>
    <w:rsid w:val="00831D80"/>
    <w:rsid w:val="00831DBA"/>
    <w:rsid w:val="00831F91"/>
    <w:rsid w:val="008321D1"/>
    <w:rsid w:val="00832473"/>
    <w:rsid w:val="008326CE"/>
    <w:rsid w:val="008327A2"/>
    <w:rsid w:val="008328DD"/>
    <w:rsid w:val="0083299C"/>
    <w:rsid w:val="00832ADA"/>
    <w:rsid w:val="00832B9D"/>
    <w:rsid w:val="00832BAA"/>
    <w:rsid w:val="00832F72"/>
    <w:rsid w:val="00833173"/>
    <w:rsid w:val="00833214"/>
    <w:rsid w:val="00833217"/>
    <w:rsid w:val="008332D8"/>
    <w:rsid w:val="0083354B"/>
    <w:rsid w:val="00833571"/>
    <w:rsid w:val="008337DE"/>
    <w:rsid w:val="00833898"/>
    <w:rsid w:val="00833990"/>
    <w:rsid w:val="00833A6F"/>
    <w:rsid w:val="00833C3B"/>
    <w:rsid w:val="00834262"/>
    <w:rsid w:val="0083488F"/>
    <w:rsid w:val="00834B9C"/>
    <w:rsid w:val="00834C8C"/>
    <w:rsid w:val="0083509F"/>
    <w:rsid w:val="008354A6"/>
    <w:rsid w:val="008354FF"/>
    <w:rsid w:val="00835534"/>
    <w:rsid w:val="0083590D"/>
    <w:rsid w:val="00835B57"/>
    <w:rsid w:val="00835C2F"/>
    <w:rsid w:val="00835C62"/>
    <w:rsid w:val="00835D6E"/>
    <w:rsid w:val="00835E88"/>
    <w:rsid w:val="0083615A"/>
    <w:rsid w:val="008361EB"/>
    <w:rsid w:val="00836326"/>
    <w:rsid w:val="00836535"/>
    <w:rsid w:val="0083662F"/>
    <w:rsid w:val="008367FC"/>
    <w:rsid w:val="00836872"/>
    <w:rsid w:val="008369B0"/>
    <w:rsid w:val="008369C1"/>
    <w:rsid w:val="00836B96"/>
    <w:rsid w:val="00836DEF"/>
    <w:rsid w:val="0083739D"/>
    <w:rsid w:val="008375E7"/>
    <w:rsid w:val="00837621"/>
    <w:rsid w:val="008376F0"/>
    <w:rsid w:val="008376FF"/>
    <w:rsid w:val="008378D9"/>
    <w:rsid w:val="00837A53"/>
    <w:rsid w:val="00837A8A"/>
    <w:rsid w:val="00837AE7"/>
    <w:rsid w:val="00837CCA"/>
    <w:rsid w:val="00837E81"/>
    <w:rsid w:val="0084066D"/>
    <w:rsid w:val="00840686"/>
    <w:rsid w:val="008408BC"/>
    <w:rsid w:val="00840AC7"/>
    <w:rsid w:val="00840D59"/>
    <w:rsid w:val="00840F1C"/>
    <w:rsid w:val="0084120E"/>
    <w:rsid w:val="0084136D"/>
    <w:rsid w:val="00841584"/>
    <w:rsid w:val="0084163B"/>
    <w:rsid w:val="008419BD"/>
    <w:rsid w:val="008419BE"/>
    <w:rsid w:val="00841D62"/>
    <w:rsid w:val="00841DEA"/>
    <w:rsid w:val="00841E2C"/>
    <w:rsid w:val="00841F5B"/>
    <w:rsid w:val="0084266B"/>
    <w:rsid w:val="00842752"/>
    <w:rsid w:val="00842799"/>
    <w:rsid w:val="008427BC"/>
    <w:rsid w:val="00842BD7"/>
    <w:rsid w:val="00842BE3"/>
    <w:rsid w:val="00842CF0"/>
    <w:rsid w:val="00843198"/>
    <w:rsid w:val="00843720"/>
    <w:rsid w:val="00843785"/>
    <w:rsid w:val="00843860"/>
    <w:rsid w:val="0084389E"/>
    <w:rsid w:val="0084394D"/>
    <w:rsid w:val="00843ED8"/>
    <w:rsid w:val="008441FA"/>
    <w:rsid w:val="0084431B"/>
    <w:rsid w:val="008443EF"/>
    <w:rsid w:val="0084457E"/>
    <w:rsid w:val="0084479B"/>
    <w:rsid w:val="0084482F"/>
    <w:rsid w:val="00844A4E"/>
    <w:rsid w:val="00844A76"/>
    <w:rsid w:val="00844D88"/>
    <w:rsid w:val="00845180"/>
    <w:rsid w:val="00845361"/>
    <w:rsid w:val="008456FC"/>
    <w:rsid w:val="0084584D"/>
    <w:rsid w:val="00846068"/>
    <w:rsid w:val="00846658"/>
    <w:rsid w:val="00846781"/>
    <w:rsid w:val="00846888"/>
    <w:rsid w:val="00846B0C"/>
    <w:rsid w:val="00846D1D"/>
    <w:rsid w:val="00846D63"/>
    <w:rsid w:val="00846FE0"/>
    <w:rsid w:val="00847302"/>
    <w:rsid w:val="0084758E"/>
    <w:rsid w:val="008477FE"/>
    <w:rsid w:val="00847919"/>
    <w:rsid w:val="008479ED"/>
    <w:rsid w:val="00847BEC"/>
    <w:rsid w:val="00847BF6"/>
    <w:rsid w:val="0085028A"/>
    <w:rsid w:val="00850351"/>
    <w:rsid w:val="0085037A"/>
    <w:rsid w:val="008506A1"/>
    <w:rsid w:val="0085075A"/>
    <w:rsid w:val="00850779"/>
    <w:rsid w:val="0085080A"/>
    <w:rsid w:val="00850849"/>
    <w:rsid w:val="00850AE6"/>
    <w:rsid w:val="00850B80"/>
    <w:rsid w:val="00850CB0"/>
    <w:rsid w:val="00850F05"/>
    <w:rsid w:val="00851165"/>
    <w:rsid w:val="0085138B"/>
    <w:rsid w:val="00851620"/>
    <w:rsid w:val="00851753"/>
    <w:rsid w:val="008518FA"/>
    <w:rsid w:val="0085198C"/>
    <w:rsid w:val="00851DBD"/>
    <w:rsid w:val="00851F23"/>
    <w:rsid w:val="00851F40"/>
    <w:rsid w:val="00851FB3"/>
    <w:rsid w:val="00852164"/>
    <w:rsid w:val="00852246"/>
    <w:rsid w:val="00852286"/>
    <w:rsid w:val="008523D5"/>
    <w:rsid w:val="008524CB"/>
    <w:rsid w:val="00852655"/>
    <w:rsid w:val="00852686"/>
    <w:rsid w:val="00852808"/>
    <w:rsid w:val="0085285A"/>
    <w:rsid w:val="00852959"/>
    <w:rsid w:val="00852A8F"/>
    <w:rsid w:val="00852C89"/>
    <w:rsid w:val="00852E0B"/>
    <w:rsid w:val="0085320E"/>
    <w:rsid w:val="0085321D"/>
    <w:rsid w:val="00853430"/>
    <w:rsid w:val="008535D3"/>
    <w:rsid w:val="00853B4D"/>
    <w:rsid w:val="00853BA9"/>
    <w:rsid w:val="00853C5D"/>
    <w:rsid w:val="008540B3"/>
    <w:rsid w:val="0085429A"/>
    <w:rsid w:val="00854349"/>
    <w:rsid w:val="008544E1"/>
    <w:rsid w:val="008544E6"/>
    <w:rsid w:val="00854518"/>
    <w:rsid w:val="0085462D"/>
    <w:rsid w:val="0085462E"/>
    <w:rsid w:val="00854765"/>
    <w:rsid w:val="00854920"/>
    <w:rsid w:val="00854994"/>
    <w:rsid w:val="00854A1C"/>
    <w:rsid w:val="00855134"/>
    <w:rsid w:val="0085524D"/>
    <w:rsid w:val="00855352"/>
    <w:rsid w:val="008553A1"/>
    <w:rsid w:val="008556ED"/>
    <w:rsid w:val="00855C79"/>
    <w:rsid w:val="00855D07"/>
    <w:rsid w:val="00855D95"/>
    <w:rsid w:val="00856078"/>
    <w:rsid w:val="008560BF"/>
    <w:rsid w:val="00856397"/>
    <w:rsid w:val="00856817"/>
    <w:rsid w:val="008569D5"/>
    <w:rsid w:val="00856AD8"/>
    <w:rsid w:val="00856D93"/>
    <w:rsid w:val="00856E59"/>
    <w:rsid w:val="0085723F"/>
    <w:rsid w:val="0085731B"/>
    <w:rsid w:val="00857657"/>
    <w:rsid w:val="008577CF"/>
    <w:rsid w:val="0085782C"/>
    <w:rsid w:val="00857AEE"/>
    <w:rsid w:val="00857B57"/>
    <w:rsid w:val="00857EC7"/>
    <w:rsid w:val="008602AC"/>
    <w:rsid w:val="008602D6"/>
    <w:rsid w:val="00860301"/>
    <w:rsid w:val="0086037B"/>
    <w:rsid w:val="008603C5"/>
    <w:rsid w:val="008605B0"/>
    <w:rsid w:val="008607E0"/>
    <w:rsid w:val="008609E0"/>
    <w:rsid w:val="008609E7"/>
    <w:rsid w:val="00860C84"/>
    <w:rsid w:val="00860DB6"/>
    <w:rsid w:val="00860F77"/>
    <w:rsid w:val="00860FF5"/>
    <w:rsid w:val="0086114D"/>
    <w:rsid w:val="008611CC"/>
    <w:rsid w:val="00861224"/>
    <w:rsid w:val="0086143A"/>
    <w:rsid w:val="008616EE"/>
    <w:rsid w:val="00861919"/>
    <w:rsid w:val="00861A60"/>
    <w:rsid w:val="00861AF5"/>
    <w:rsid w:val="00861CAF"/>
    <w:rsid w:val="00862519"/>
    <w:rsid w:val="00862618"/>
    <w:rsid w:val="00862ADB"/>
    <w:rsid w:val="00862CD1"/>
    <w:rsid w:val="00862DC4"/>
    <w:rsid w:val="00862DF5"/>
    <w:rsid w:val="00862F12"/>
    <w:rsid w:val="00863126"/>
    <w:rsid w:val="00863266"/>
    <w:rsid w:val="0086338C"/>
    <w:rsid w:val="00863400"/>
    <w:rsid w:val="008634A5"/>
    <w:rsid w:val="0086355A"/>
    <w:rsid w:val="0086355E"/>
    <w:rsid w:val="008635B9"/>
    <w:rsid w:val="00863684"/>
    <w:rsid w:val="008636C1"/>
    <w:rsid w:val="008638FB"/>
    <w:rsid w:val="00863924"/>
    <w:rsid w:val="00863B04"/>
    <w:rsid w:val="00863F41"/>
    <w:rsid w:val="00863F5C"/>
    <w:rsid w:val="00863FA7"/>
    <w:rsid w:val="00864060"/>
    <w:rsid w:val="0086411C"/>
    <w:rsid w:val="008641EA"/>
    <w:rsid w:val="00864326"/>
    <w:rsid w:val="0086439A"/>
    <w:rsid w:val="00864478"/>
    <w:rsid w:val="0086473D"/>
    <w:rsid w:val="0086493C"/>
    <w:rsid w:val="008649EA"/>
    <w:rsid w:val="00864A62"/>
    <w:rsid w:val="00864B8C"/>
    <w:rsid w:val="00864CD7"/>
    <w:rsid w:val="00864E0D"/>
    <w:rsid w:val="00864F02"/>
    <w:rsid w:val="00864F18"/>
    <w:rsid w:val="00865395"/>
    <w:rsid w:val="00865902"/>
    <w:rsid w:val="00865BB9"/>
    <w:rsid w:val="00865DB7"/>
    <w:rsid w:val="00865E7F"/>
    <w:rsid w:val="0086603E"/>
    <w:rsid w:val="00866091"/>
    <w:rsid w:val="00866136"/>
    <w:rsid w:val="00866245"/>
    <w:rsid w:val="008662B6"/>
    <w:rsid w:val="00866511"/>
    <w:rsid w:val="00866600"/>
    <w:rsid w:val="00866687"/>
    <w:rsid w:val="008668AB"/>
    <w:rsid w:val="00866B9C"/>
    <w:rsid w:val="00866C25"/>
    <w:rsid w:val="00866CC0"/>
    <w:rsid w:val="00866E1A"/>
    <w:rsid w:val="008671BE"/>
    <w:rsid w:val="00867331"/>
    <w:rsid w:val="008676A3"/>
    <w:rsid w:val="00867769"/>
    <w:rsid w:val="008677B9"/>
    <w:rsid w:val="00867895"/>
    <w:rsid w:val="008678B8"/>
    <w:rsid w:val="008679B6"/>
    <w:rsid w:val="00867AA3"/>
    <w:rsid w:val="00867C1F"/>
    <w:rsid w:val="008701D0"/>
    <w:rsid w:val="008705E4"/>
    <w:rsid w:val="00870673"/>
    <w:rsid w:val="008708A8"/>
    <w:rsid w:val="00870BA7"/>
    <w:rsid w:val="00870DA5"/>
    <w:rsid w:val="00870E40"/>
    <w:rsid w:val="00870E68"/>
    <w:rsid w:val="00871111"/>
    <w:rsid w:val="00871307"/>
    <w:rsid w:val="008714DC"/>
    <w:rsid w:val="008715AA"/>
    <w:rsid w:val="00871824"/>
    <w:rsid w:val="00871A74"/>
    <w:rsid w:val="00871B32"/>
    <w:rsid w:val="00871E18"/>
    <w:rsid w:val="00871F6D"/>
    <w:rsid w:val="0087209D"/>
    <w:rsid w:val="008721AE"/>
    <w:rsid w:val="008726ED"/>
    <w:rsid w:val="0087284D"/>
    <w:rsid w:val="00872851"/>
    <w:rsid w:val="008728EE"/>
    <w:rsid w:val="00872A27"/>
    <w:rsid w:val="00872AFD"/>
    <w:rsid w:val="00872CC9"/>
    <w:rsid w:val="00872D37"/>
    <w:rsid w:val="00872E26"/>
    <w:rsid w:val="00872EAF"/>
    <w:rsid w:val="00873534"/>
    <w:rsid w:val="00873695"/>
    <w:rsid w:val="00873789"/>
    <w:rsid w:val="00873A13"/>
    <w:rsid w:val="00873C41"/>
    <w:rsid w:val="00873CD5"/>
    <w:rsid w:val="00873D12"/>
    <w:rsid w:val="00873D4F"/>
    <w:rsid w:val="00873F9B"/>
    <w:rsid w:val="00874070"/>
    <w:rsid w:val="00874199"/>
    <w:rsid w:val="00874256"/>
    <w:rsid w:val="00874281"/>
    <w:rsid w:val="008742B3"/>
    <w:rsid w:val="00874408"/>
    <w:rsid w:val="00874515"/>
    <w:rsid w:val="008746C0"/>
    <w:rsid w:val="00874838"/>
    <w:rsid w:val="00874B6B"/>
    <w:rsid w:val="00874D0F"/>
    <w:rsid w:val="00875025"/>
    <w:rsid w:val="008752F4"/>
    <w:rsid w:val="00875525"/>
    <w:rsid w:val="00875558"/>
    <w:rsid w:val="0087568A"/>
    <w:rsid w:val="008758B5"/>
    <w:rsid w:val="00875C24"/>
    <w:rsid w:val="00876061"/>
    <w:rsid w:val="008766E5"/>
    <w:rsid w:val="008768B9"/>
    <w:rsid w:val="008769D3"/>
    <w:rsid w:val="00876D88"/>
    <w:rsid w:val="00876FEF"/>
    <w:rsid w:val="00876FF3"/>
    <w:rsid w:val="00877081"/>
    <w:rsid w:val="00877239"/>
    <w:rsid w:val="0087728D"/>
    <w:rsid w:val="008772BC"/>
    <w:rsid w:val="00877383"/>
    <w:rsid w:val="008773A4"/>
    <w:rsid w:val="008773DA"/>
    <w:rsid w:val="00877435"/>
    <w:rsid w:val="00877517"/>
    <w:rsid w:val="0087754F"/>
    <w:rsid w:val="00877623"/>
    <w:rsid w:val="0087775E"/>
    <w:rsid w:val="00877BF2"/>
    <w:rsid w:val="0088010E"/>
    <w:rsid w:val="008802FA"/>
    <w:rsid w:val="0088042B"/>
    <w:rsid w:val="008804C6"/>
    <w:rsid w:val="00880641"/>
    <w:rsid w:val="008809D9"/>
    <w:rsid w:val="00880ACA"/>
    <w:rsid w:val="00880C60"/>
    <w:rsid w:val="00880DCF"/>
    <w:rsid w:val="0088100B"/>
    <w:rsid w:val="00881286"/>
    <w:rsid w:val="008812DE"/>
    <w:rsid w:val="008815F9"/>
    <w:rsid w:val="0088182B"/>
    <w:rsid w:val="0088193E"/>
    <w:rsid w:val="00881A36"/>
    <w:rsid w:val="00881AEA"/>
    <w:rsid w:val="00881F30"/>
    <w:rsid w:val="00881F54"/>
    <w:rsid w:val="008820A0"/>
    <w:rsid w:val="00882803"/>
    <w:rsid w:val="0088282B"/>
    <w:rsid w:val="00882AC2"/>
    <w:rsid w:val="00882B5F"/>
    <w:rsid w:val="00882D2B"/>
    <w:rsid w:val="00882D93"/>
    <w:rsid w:val="00882E5F"/>
    <w:rsid w:val="008831DD"/>
    <w:rsid w:val="008833C9"/>
    <w:rsid w:val="0088355B"/>
    <w:rsid w:val="00883D60"/>
    <w:rsid w:val="00883E34"/>
    <w:rsid w:val="00883F91"/>
    <w:rsid w:val="00883FC3"/>
    <w:rsid w:val="00883FD1"/>
    <w:rsid w:val="00884178"/>
    <w:rsid w:val="008842EB"/>
    <w:rsid w:val="0088476C"/>
    <w:rsid w:val="008847C1"/>
    <w:rsid w:val="00884912"/>
    <w:rsid w:val="00884982"/>
    <w:rsid w:val="00884A08"/>
    <w:rsid w:val="00884E26"/>
    <w:rsid w:val="00884F5F"/>
    <w:rsid w:val="008852A0"/>
    <w:rsid w:val="00885467"/>
    <w:rsid w:val="008855A3"/>
    <w:rsid w:val="008857A4"/>
    <w:rsid w:val="008859A4"/>
    <w:rsid w:val="00885A85"/>
    <w:rsid w:val="00885B4E"/>
    <w:rsid w:val="008862C3"/>
    <w:rsid w:val="008863C0"/>
    <w:rsid w:val="008863F9"/>
    <w:rsid w:val="0088674F"/>
    <w:rsid w:val="00886762"/>
    <w:rsid w:val="0088697E"/>
    <w:rsid w:val="008869DD"/>
    <w:rsid w:val="00886AAE"/>
    <w:rsid w:val="00886C08"/>
    <w:rsid w:val="00887054"/>
    <w:rsid w:val="0088712D"/>
    <w:rsid w:val="008873CA"/>
    <w:rsid w:val="00887415"/>
    <w:rsid w:val="00887428"/>
    <w:rsid w:val="00887457"/>
    <w:rsid w:val="00887752"/>
    <w:rsid w:val="008877F6"/>
    <w:rsid w:val="008879D0"/>
    <w:rsid w:val="00887C96"/>
    <w:rsid w:val="00887D12"/>
    <w:rsid w:val="00887D90"/>
    <w:rsid w:val="00887F83"/>
    <w:rsid w:val="0089014B"/>
    <w:rsid w:val="008906D5"/>
    <w:rsid w:val="00890700"/>
    <w:rsid w:val="0089070E"/>
    <w:rsid w:val="00890712"/>
    <w:rsid w:val="008909E4"/>
    <w:rsid w:val="00890BE1"/>
    <w:rsid w:val="00890BFE"/>
    <w:rsid w:val="00890D3A"/>
    <w:rsid w:val="00890D86"/>
    <w:rsid w:val="00890E40"/>
    <w:rsid w:val="008910CA"/>
    <w:rsid w:val="00891280"/>
    <w:rsid w:val="008914B3"/>
    <w:rsid w:val="008915DE"/>
    <w:rsid w:val="00891631"/>
    <w:rsid w:val="0089173B"/>
    <w:rsid w:val="0089174E"/>
    <w:rsid w:val="00891A49"/>
    <w:rsid w:val="00891F01"/>
    <w:rsid w:val="00891F63"/>
    <w:rsid w:val="00891F93"/>
    <w:rsid w:val="00892066"/>
    <w:rsid w:val="008924CF"/>
    <w:rsid w:val="008924D8"/>
    <w:rsid w:val="00892604"/>
    <w:rsid w:val="00892660"/>
    <w:rsid w:val="008926B8"/>
    <w:rsid w:val="00892BDD"/>
    <w:rsid w:val="00892CE5"/>
    <w:rsid w:val="00892F74"/>
    <w:rsid w:val="00893026"/>
    <w:rsid w:val="008934B4"/>
    <w:rsid w:val="0089358D"/>
    <w:rsid w:val="008935DE"/>
    <w:rsid w:val="00893658"/>
    <w:rsid w:val="008936F1"/>
    <w:rsid w:val="0089377E"/>
    <w:rsid w:val="008937DF"/>
    <w:rsid w:val="008939D2"/>
    <w:rsid w:val="008939E2"/>
    <w:rsid w:val="00893CFF"/>
    <w:rsid w:val="00893D10"/>
    <w:rsid w:val="00893DE9"/>
    <w:rsid w:val="00893E31"/>
    <w:rsid w:val="00893F8A"/>
    <w:rsid w:val="00894273"/>
    <w:rsid w:val="008942E8"/>
    <w:rsid w:val="00894501"/>
    <w:rsid w:val="00894653"/>
    <w:rsid w:val="00894B54"/>
    <w:rsid w:val="00894BF7"/>
    <w:rsid w:val="00894E22"/>
    <w:rsid w:val="008953B0"/>
    <w:rsid w:val="008955F4"/>
    <w:rsid w:val="0089595C"/>
    <w:rsid w:val="00895A36"/>
    <w:rsid w:val="00895F44"/>
    <w:rsid w:val="00895F4A"/>
    <w:rsid w:val="00896031"/>
    <w:rsid w:val="008960A6"/>
    <w:rsid w:val="00896110"/>
    <w:rsid w:val="008963D2"/>
    <w:rsid w:val="00896401"/>
    <w:rsid w:val="008966B0"/>
    <w:rsid w:val="008966C8"/>
    <w:rsid w:val="008966F5"/>
    <w:rsid w:val="00896828"/>
    <w:rsid w:val="0089683B"/>
    <w:rsid w:val="00896997"/>
    <w:rsid w:val="00896D58"/>
    <w:rsid w:val="00896FE3"/>
    <w:rsid w:val="00897005"/>
    <w:rsid w:val="00897096"/>
    <w:rsid w:val="008971FA"/>
    <w:rsid w:val="00897300"/>
    <w:rsid w:val="0089733A"/>
    <w:rsid w:val="008973E7"/>
    <w:rsid w:val="0089741C"/>
    <w:rsid w:val="00897495"/>
    <w:rsid w:val="00897536"/>
    <w:rsid w:val="008976D5"/>
    <w:rsid w:val="00897709"/>
    <w:rsid w:val="00897736"/>
    <w:rsid w:val="00897A18"/>
    <w:rsid w:val="00897A56"/>
    <w:rsid w:val="00897BC5"/>
    <w:rsid w:val="00897E17"/>
    <w:rsid w:val="00897E95"/>
    <w:rsid w:val="00897F34"/>
    <w:rsid w:val="008A00CC"/>
    <w:rsid w:val="008A0240"/>
    <w:rsid w:val="008A0389"/>
    <w:rsid w:val="008A04BF"/>
    <w:rsid w:val="008A04F6"/>
    <w:rsid w:val="008A0713"/>
    <w:rsid w:val="008A07BF"/>
    <w:rsid w:val="008A08A3"/>
    <w:rsid w:val="008A09B1"/>
    <w:rsid w:val="008A0C75"/>
    <w:rsid w:val="008A10FE"/>
    <w:rsid w:val="008A11B1"/>
    <w:rsid w:val="008A1352"/>
    <w:rsid w:val="008A136D"/>
    <w:rsid w:val="008A1473"/>
    <w:rsid w:val="008A172E"/>
    <w:rsid w:val="008A173A"/>
    <w:rsid w:val="008A1783"/>
    <w:rsid w:val="008A1A65"/>
    <w:rsid w:val="008A1C61"/>
    <w:rsid w:val="008A1EE7"/>
    <w:rsid w:val="008A1F0B"/>
    <w:rsid w:val="008A20C8"/>
    <w:rsid w:val="008A21F4"/>
    <w:rsid w:val="008A220B"/>
    <w:rsid w:val="008A22B3"/>
    <w:rsid w:val="008A26D0"/>
    <w:rsid w:val="008A26EA"/>
    <w:rsid w:val="008A2723"/>
    <w:rsid w:val="008A2974"/>
    <w:rsid w:val="008A29E7"/>
    <w:rsid w:val="008A2D79"/>
    <w:rsid w:val="008A2E8C"/>
    <w:rsid w:val="008A30F9"/>
    <w:rsid w:val="008A3371"/>
    <w:rsid w:val="008A33F7"/>
    <w:rsid w:val="008A3471"/>
    <w:rsid w:val="008A385C"/>
    <w:rsid w:val="008A3AE5"/>
    <w:rsid w:val="008A4121"/>
    <w:rsid w:val="008A459D"/>
    <w:rsid w:val="008A45E0"/>
    <w:rsid w:val="008A4780"/>
    <w:rsid w:val="008A4854"/>
    <w:rsid w:val="008A49FC"/>
    <w:rsid w:val="008A4A79"/>
    <w:rsid w:val="008A4D39"/>
    <w:rsid w:val="008A4D9D"/>
    <w:rsid w:val="008A4E7C"/>
    <w:rsid w:val="008A4F0B"/>
    <w:rsid w:val="008A502E"/>
    <w:rsid w:val="008A506C"/>
    <w:rsid w:val="008A5247"/>
    <w:rsid w:val="008A5357"/>
    <w:rsid w:val="008A53D8"/>
    <w:rsid w:val="008A5750"/>
    <w:rsid w:val="008A588A"/>
    <w:rsid w:val="008A5CA3"/>
    <w:rsid w:val="008A5D52"/>
    <w:rsid w:val="008A5DBC"/>
    <w:rsid w:val="008A5F3F"/>
    <w:rsid w:val="008A5F55"/>
    <w:rsid w:val="008A60E2"/>
    <w:rsid w:val="008A61DD"/>
    <w:rsid w:val="008A6270"/>
    <w:rsid w:val="008A6480"/>
    <w:rsid w:val="008A65D0"/>
    <w:rsid w:val="008A672A"/>
    <w:rsid w:val="008A6887"/>
    <w:rsid w:val="008A68F9"/>
    <w:rsid w:val="008A6A48"/>
    <w:rsid w:val="008A6A83"/>
    <w:rsid w:val="008A6B3D"/>
    <w:rsid w:val="008A6C2D"/>
    <w:rsid w:val="008A6F7A"/>
    <w:rsid w:val="008A708D"/>
    <w:rsid w:val="008A710A"/>
    <w:rsid w:val="008A7210"/>
    <w:rsid w:val="008A73D6"/>
    <w:rsid w:val="008A7735"/>
    <w:rsid w:val="008A7749"/>
    <w:rsid w:val="008A79CA"/>
    <w:rsid w:val="008A7A17"/>
    <w:rsid w:val="008A7CE1"/>
    <w:rsid w:val="008A7E35"/>
    <w:rsid w:val="008B0606"/>
    <w:rsid w:val="008B07DF"/>
    <w:rsid w:val="008B08B7"/>
    <w:rsid w:val="008B08C1"/>
    <w:rsid w:val="008B0C5D"/>
    <w:rsid w:val="008B0C8A"/>
    <w:rsid w:val="008B0EF3"/>
    <w:rsid w:val="008B1008"/>
    <w:rsid w:val="008B103E"/>
    <w:rsid w:val="008B107E"/>
    <w:rsid w:val="008B10C4"/>
    <w:rsid w:val="008B1429"/>
    <w:rsid w:val="008B16B5"/>
    <w:rsid w:val="008B1763"/>
    <w:rsid w:val="008B188D"/>
    <w:rsid w:val="008B18B1"/>
    <w:rsid w:val="008B1B12"/>
    <w:rsid w:val="008B1C57"/>
    <w:rsid w:val="008B1CAC"/>
    <w:rsid w:val="008B1DA8"/>
    <w:rsid w:val="008B26B7"/>
    <w:rsid w:val="008B2AAC"/>
    <w:rsid w:val="008B2B7E"/>
    <w:rsid w:val="008B2BCB"/>
    <w:rsid w:val="008B2DC9"/>
    <w:rsid w:val="008B2FA6"/>
    <w:rsid w:val="008B2FC4"/>
    <w:rsid w:val="008B30F5"/>
    <w:rsid w:val="008B3186"/>
    <w:rsid w:val="008B327B"/>
    <w:rsid w:val="008B34F1"/>
    <w:rsid w:val="008B3609"/>
    <w:rsid w:val="008B3818"/>
    <w:rsid w:val="008B385D"/>
    <w:rsid w:val="008B3D40"/>
    <w:rsid w:val="008B3F9E"/>
    <w:rsid w:val="008B3FF5"/>
    <w:rsid w:val="008B432A"/>
    <w:rsid w:val="008B4415"/>
    <w:rsid w:val="008B462B"/>
    <w:rsid w:val="008B480A"/>
    <w:rsid w:val="008B486D"/>
    <w:rsid w:val="008B49BB"/>
    <w:rsid w:val="008B49FE"/>
    <w:rsid w:val="008B4A9D"/>
    <w:rsid w:val="008B4AFE"/>
    <w:rsid w:val="008B4B4C"/>
    <w:rsid w:val="008B4DFB"/>
    <w:rsid w:val="008B4FE1"/>
    <w:rsid w:val="008B5233"/>
    <w:rsid w:val="008B577B"/>
    <w:rsid w:val="008B589F"/>
    <w:rsid w:val="008B58DB"/>
    <w:rsid w:val="008B5BF7"/>
    <w:rsid w:val="008B5EEF"/>
    <w:rsid w:val="008B5F27"/>
    <w:rsid w:val="008B6299"/>
    <w:rsid w:val="008B6459"/>
    <w:rsid w:val="008B6556"/>
    <w:rsid w:val="008B6608"/>
    <w:rsid w:val="008B6924"/>
    <w:rsid w:val="008B6EFF"/>
    <w:rsid w:val="008B6F17"/>
    <w:rsid w:val="008B7057"/>
    <w:rsid w:val="008B7343"/>
    <w:rsid w:val="008B73C9"/>
    <w:rsid w:val="008B74D4"/>
    <w:rsid w:val="008B7553"/>
    <w:rsid w:val="008B7626"/>
    <w:rsid w:val="008B7749"/>
    <w:rsid w:val="008B78C6"/>
    <w:rsid w:val="008B795D"/>
    <w:rsid w:val="008B7CA7"/>
    <w:rsid w:val="008B7DCA"/>
    <w:rsid w:val="008B7E19"/>
    <w:rsid w:val="008B7F86"/>
    <w:rsid w:val="008B7FEC"/>
    <w:rsid w:val="008C01D1"/>
    <w:rsid w:val="008C027A"/>
    <w:rsid w:val="008C02B9"/>
    <w:rsid w:val="008C0316"/>
    <w:rsid w:val="008C0384"/>
    <w:rsid w:val="008C04FB"/>
    <w:rsid w:val="008C07CE"/>
    <w:rsid w:val="008C0DD0"/>
    <w:rsid w:val="008C0E0E"/>
    <w:rsid w:val="008C0ED7"/>
    <w:rsid w:val="008C0FD1"/>
    <w:rsid w:val="008C1086"/>
    <w:rsid w:val="008C1196"/>
    <w:rsid w:val="008C120B"/>
    <w:rsid w:val="008C14C4"/>
    <w:rsid w:val="008C1645"/>
    <w:rsid w:val="008C1693"/>
    <w:rsid w:val="008C1B50"/>
    <w:rsid w:val="008C1EE6"/>
    <w:rsid w:val="008C2002"/>
    <w:rsid w:val="008C2284"/>
    <w:rsid w:val="008C22D3"/>
    <w:rsid w:val="008C291B"/>
    <w:rsid w:val="008C29E1"/>
    <w:rsid w:val="008C2A4A"/>
    <w:rsid w:val="008C2A59"/>
    <w:rsid w:val="008C2AB2"/>
    <w:rsid w:val="008C2AE6"/>
    <w:rsid w:val="008C2B8D"/>
    <w:rsid w:val="008C2C25"/>
    <w:rsid w:val="008C2DA8"/>
    <w:rsid w:val="008C2DEE"/>
    <w:rsid w:val="008C2FC5"/>
    <w:rsid w:val="008C3051"/>
    <w:rsid w:val="008C30DC"/>
    <w:rsid w:val="008C322D"/>
    <w:rsid w:val="008C3592"/>
    <w:rsid w:val="008C36B3"/>
    <w:rsid w:val="008C3773"/>
    <w:rsid w:val="008C389B"/>
    <w:rsid w:val="008C3D94"/>
    <w:rsid w:val="008C42A4"/>
    <w:rsid w:val="008C446B"/>
    <w:rsid w:val="008C45AF"/>
    <w:rsid w:val="008C45F9"/>
    <w:rsid w:val="008C489C"/>
    <w:rsid w:val="008C4913"/>
    <w:rsid w:val="008C4A3D"/>
    <w:rsid w:val="008C50F7"/>
    <w:rsid w:val="008C52AD"/>
    <w:rsid w:val="008C5AB7"/>
    <w:rsid w:val="008C5BF8"/>
    <w:rsid w:val="008C5C78"/>
    <w:rsid w:val="008C5CDA"/>
    <w:rsid w:val="008C61E8"/>
    <w:rsid w:val="008C63B5"/>
    <w:rsid w:val="008C678D"/>
    <w:rsid w:val="008C6C3B"/>
    <w:rsid w:val="008C6C7B"/>
    <w:rsid w:val="008C6CB4"/>
    <w:rsid w:val="008C6CD2"/>
    <w:rsid w:val="008C6DE0"/>
    <w:rsid w:val="008C6DE1"/>
    <w:rsid w:val="008C6F1C"/>
    <w:rsid w:val="008C6F2C"/>
    <w:rsid w:val="008C701C"/>
    <w:rsid w:val="008C719C"/>
    <w:rsid w:val="008C71FC"/>
    <w:rsid w:val="008C79DA"/>
    <w:rsid w:val="008C7A3B"/>
    <w:rsid w:val="008C7A93"/>
    <w:rsid w:val="008C7B2E"/>
    <w:rsid w:val="008C7D32"/>
    <w:rsid w:val="008C7D92"/>
    <w:rsid w:val="008C7E2C"/>
    <w:rsid w:val="008C7EE9"/>
    <w:rsid w:val="008C7F4B"/>
    <w:rsid w:val="008D012B"/>
    <w:rsid w:val="008D048A"/>
    <w:rsid w:val="008D0496"/>
    <w:rsid w:val="008D0553"/>
    <w:rsid w:val="008D069E"/>
    <w:rsid w:val="008D0DF7"/>
    <w:rsid w:val="008D0F59"/>
    <w:rsid w:val="008D11BB"/>
    <w:rsid w:val="008D12C7"/>
    <w:rsid w:val="008D13AB"/>
    <w:rsid w:val="008D15BD"/>
    <w:rsid w:val="008D1823"/>
    <w:rsid w:val="008D1B23"/>
    <w:rsid w:val="008D1E6B"/>
    <w:rsid w:val="008D2208"/>
    <w:rsid w:val="008D22AC"/>
    <w:rsid w:val="008D2474"/>
    <w:rsid w:val="008D2794"/>
    <w:rsid w:val="008D28C3"/>
    <w:rsid w:val="008D2BA7"/>
    <w:rsid w:val="008D2DAD"/>
    <w:rsid w:val="008D2E0E"/>
    <w:rsid w:val="008D30BC"/>
    <w:rsid w:val="008D321C"/>
    <w:rsid w:val="008D334B"/>
    <w:rsid w:val="008D3394"/>
    <w:rsid w:val="008D35D9"/>
    <w:rsid w:val="008D37EE"/>
    <w:rsid w:val="008D38E3"/>
    <w:rsid w:val="008D3B9F"/>
    <w:rsid w:val="008D3EB8"/>
    <w:rsid w:val="008D410D"/>
    <w:rsid w:val="008D4182"/>
    <w:rsid w:val="008D422D"/>
    <w:rsid w:val="008D4258"/>
    <w:rsid w:val="008D44FA"/>
    <w:rsid w:val="008D468E"/>
    <w:rsid w:val="008D488D"/>
    <w:rsid w:val="008D48C1"/>
    <w:rsid w:val="008D4993"/>
    <w:rsid w:val="008D4ABD"/>
    <w:rsid w:val="008D4D04"/>
    <w:rsid w:val="008D4D3B"/>
    <w:rsid w:val="008D4D51"/>
    <w:rsid w:val="008D4ED6"/>
    <w:rsid w:val="008D5012"/>
    <w:rsid w:val="008D54EF"/>
    <w:rsid w:val="008D558E"/>
    <w:rsid w:val="008D560D"/>
    <w:rsid w:val="008D56EA"/>
    <w:rsid w:val="008D57DE"/>
    <w:rsid w:val="008D582A"/>
    <w:rsid w:val="008D5A55"/>
    <w:rsid w:val="008D5A86"/>
    <w:rsid w:val="008D5AB6"/>
    <w:rsid w:val="008D5B98"/>
    <w:rsid w:val="008D5BFD"/>
    <w:rsid w:val="008D5C38"/>
    <w:rsid w:val="008D5EA3"/>
    <w:rsid w:val="008D60AE"/>
    <w:rsid w:val="008D60B4"/>
    <w:rsid w:val="008D66EC"/>
    <w:rsid w:val="008D6728"/>
    <w:rsid w:val="008D6917"/>
    <w:rsid w:val="008D6A1E"/>
    <w:rsid w:val="008D6ABF"/>
    <w:rsid w:val="008D6B92"/>
    <w:rsid w:val="008D6E9A"/>
    <w:rsid w:val="008D6EE5"/>
    <w:rsid w:val="008D71A8"/>
    <w:rsid w:val="008D742F"/>
    <w:rsid w:val="008D74E2"/>
    <w:rsid w:val="008D74FC"/>
    <w:rsid w:val="008D75D1"/>
    <w:rsid w:val="008D75E2"/>
    <w:rsid w:val="008D7711"/>
    <w:rsid w:val="008D77AD"/>
    <w:rsid w:val="008D7A78"/>
    <w:rsid w:val="008D7B01"/>
    <w:rsid w:val="008D7B6E"/>
    <w:rsid w:val="008D7D10"/>
    <w:rsid w:val="008D7E46"/>
    <w:rsid w:val="008D7E75"/>
    <w:rsid w:val="008D7FB0"/>
    <w:rsid w:val="008E0008"/>
    <w:rsid w:val="008E01D8"/>
    <w:rsid w:val="008E0564"/>
    <w:rsid w:val="008E085C"/>
    <w:rsid w:val="008E0B9F"/>
    <w:rsid w:val="008E0D36"/>
    <w:rsid w:val="008E0D81"/>
    <w:rsid w:val="008E0F09"/>
    <w:rsid w:val="008E184C"/>
    <w:rsid w:val="008E1926"/>
    <w:rsid w:val="008E19E2"/>
    <w:rsid w:val="008E1B16"/>
    <w:rsid w:val="008E1B54"/>
    <w:rsid w:val="008E1C63"/>
    <w:rsid w:val="008E1D09"/>
    <w:rsid w:val="008E1F2B"/>
    <w:rsid w:val="008E1FB6"/>
    <w:rsid w:val="008E209F"/>
    <w:rsid w:val="008E28BD"/>
    <w:rsid w:val="008E29ED"/>
    <w:rsid w:val="008E2E9A"/>
    <w:rsid w:val="008E32E4"/>
    <w:rsid w:val="008E35EF"/>
    <w:rsid w:val="008E3BBC"/>
    <w:rsid w:val="008E3C63"/>
    <w:rsid w:val="008E3D4E"/>
    <w:rsid w:val="008E4165"/>
    <w:rsid w:val="008E43AD"/>
    <w:rsid w:val="008E44FC"/>
    <w:rsid w:val="008E4628"/>
    <w:rsid w:val="008E4746"/>
    <w:rsid w:val="008E47C6"/>
    <w:rsid w:val="008E486B"/>
    <w:rsid w:val="008E493B"/>
    <w:rsid w:val="008E4ABD"/>
    <w:rsid w:val="008E4FCA"/>
    <w:rsid w:val="008E5137"/>
    <w:rsid w:val="008E530F"/>
    <w:rsid w:val="008E5496"/>
    <w:rsid w:val="008E55CE"/>
    <w:rsid w:val="008E560D"/>
    <w:rsid w:val="008E5740"/>
    <w:rsid w:val="008E57B0"/>
    <w:rsid w:val="008E59E5"/>
    <w:rsid w:val="008E5B17"/>
    <w:rsid w:val="008E5C7F"/>
    <w:rsid w:val="008E5DE4"/>
    <w:rsid w:val="008E5E2F"/>
    <w:rsid w:val="008E61F3"/>
    <w:rsid w:val="008E6299"/>
    <w:rsid w:val="008E636C"/>
    <w:rsid w:val="008E637F"/>
    <w:rsid w:val="008E6768"/>
    <w:rsid w:val="008E68A3"/>
    <w:rsid w:val="008E68B9"/>
    <w:rsid w:val="008E6CA2"/>
    <w:rsid w:val="008E703A"/>
    <w:rsid w:val="008E75B5"/>
    <w:rsid w:val="008E7734"/>
    <w:rsid w:val="008E795B"/>
    <w:rsid w:val="008E7A54"/>
    <w:rsid w:val="008E7B0D"/>
    <w:rsid w:val="008E7C9F"/>
    <w:rsid w:val="008E7CD0"/>
    <w:rsid w:val="008E7CEB"/>
    <w:rsid w:val="008E7D12"/>
    <w:rsid w:val="008E7DDF"/>
    <w:rsid w:val="008E7EC5"/>
    <w:rsid w:val="008E7F30"/>
    <w:rsid w:val="008E7F50"/>
    <w:rsid w:val="008F0135"/>
    <w:rsid w:val="008F0271"/>
    <w:rsid w:val="008F0744"/>
    <w:rsid w:val="008F09F8"/>
    <w:rsid w:val="008F0A74"/>
    <w:rsid w:val="008F0BFC"/>
    <w:rsid w:val="008F0F72"/>
    <w:rsid w:val="008F103B"/>
    <w:rsid w:val="008F1396"/>
    <w:rsid w:val="008F13D9"/>
    <w:rsid w:val="008F1484"/>
    <w:rsid w:val="008F14C7"/>
    <w:rsid w:val="008F151D"/>
    <w:rsid w:val="008F1573"/>
    <w:rsid w:val="008F15E2"/>
    <w:rsid w:val="008F1D8C"/>
    <w:rsid w:val="008F1DAA"/>
    <w:rsid w:val="008F1F1C"/>
    <w:rsid w:val="008F2244"/>
    <w:rsid w:val="008F224F"/>
    <w:rsid w:val="008F22A9"/>
    <w:rsid w:val="008F2481"/>
    <w:rsid w:val="008F25BD"/>
    <w:rsid w:val="008F27F3"/>
    <w:rsid w:val="008F2A69"/>
    <w:rsid w:val="008F2CD7"/>
    <w:rsid w:val="008F2E2C"/>
    <w:rsid w:val="008F2EDE"/>
    <w:rsid w:val="008F2FA1"/>
    <w:rsid w:val="008F3252"/>
    <w:rsid w:val="008F3400"/>
    <w:rsid w:val="008F3560"/>
    <w:rsid w:val="008F35CF"/>
    <w:rsid w:val="008F373C"/>
    <w:rsid w:val="008F375F"/>
    <w:rsid w:val="008F3784"/>
    <w:rsid w:val="008F3864"/>
    <w:rsid w:val="008F3A44"/>
    <w:rsid w:val="008F3D4E"/>
    <w:rsid w:val="008F3E97"/>
    <w:rsid w:val="008F3FD8"/>
    <w:rsid w:val="008F408C"/>
    <w:rsid w:val="008F4235"/>
    <w:rsid w:val="008F42F1"/>
    <w:rsid w:val="008F4332"/>
    <w:rsid w:val="008F433C"/>
    <w:rsid w:val="008F472C"/>
    <w:rsid w:val="008F47AA"/>
    <w:rsid w:val="008F4A5D"/>
    <w:rsid w:val="008F4CC3"/>
    <w:rsid w:val="008F4D4D"/>
    <w:rsid w:val="008F4ECE"/>
    <w:rsid w:val="008F509D"/>
    <w:rsid w:val="008F533F"/>
    <w:rsid w:val="008F551D"/>
    <w:rsid w:val="008F5548"/>
    <w:rsid w:val="008F5691"/>
    <w:rsid w:val="008F57A3"/>
    <w:rsid w:val="008F5AA1"/>
    <w:rsid w:val="008F5C37"/>
    <w:rsid w:val="008F5D41"/>
    <w:rsid w:val="008F613F"/>
    <w:rsid w:val="008F6639"/>
    <w:rsid w:val="008F68BD"/>
    <w:rsid w:val="008F691D"/>
    <w:rsid w:val="008F6A5B"/>
    <w:rsid w:val="008F6BAD"/>
    <w:rsid w:val="008F6C73"/>
    <w:rsid w:val="008F6E1A"/>
    <w:rsid w:val="008F6F43"/>
    <w:rsid w:val="008F7230"/>
    <w:rsid w:val="008F728E"/>
    <w:rsid w:val="008F732E"/>
    <w:rsid w:val="008F75CB"/>
    <w:rsid w:val="008F7B15"/>
    <w:rsid w:val="008F7CA8"/>
    <w:rsid w:val="008F7D8E"/>
    <w:rsid w:val="008F7DBF"/>
    <w:rsid w:val="008F7F65"/>
    <w:rsid w:val="00900186"/>
    <w:rsid w:val="009001C7"/>
    <w:rsid w:val="0090024D"/>
    <w:rsid w:val="00900357"/>
    <w:rsid w:val="0090037B"/>
    <w:rsid w:val="0090057E"/>
    <w:rsid w:val="00900873"/>
    <w:rsid w:val="009008CB"/>
    <w:rsid w:val="00900BF1"/>
    <w:rsid w:val="009013F3"/>
    <w:rsid w:val="0090141F"/>
    <w:rsid w:val="0090156F"/>
    <w:rsid w:val="00901A53"/>
    <w:rsid w:val="00901AC4"/>
    <w:rsid w:val="00901C7F"/>
    <w:rsid w:val="00901C88"/>
    <w:rsid w:val="00901D74"/>
    <w:rsid w:val="00901F47"/>
    <w:rsid w:val="00901F8E"/>
    <w:rsid w:val="0090229B"/>
    <w:rsid w:val="0090232A"/>
    <w:rsid w:val="00902F8D"/>
    <w:rsid w:val="00903230"/>
    <w:rsid w:val="0090323C"/>
    <w:rsid w:val="00903275"/>
    <w:rsid w:val="0090390B"/>
    <w:rsid w:val="00903A85"/>
    <w:rsid w:val="00903AE8"/>
    <w:rsid w:val="00903D38"/>
    <w:rsid w:val="0090408E"/>
    <w:rsid w:val="009040BB"/>
    <w:rsid w:val="0090418B"/>
    <w:rsid w:val="009041A3"/>
    <w:rsid w:val="0090430F"/>
    <w:rsid w:val="00904692"/>
    <w:rsid w:val="009046C4"/>
    <w:rsid w:val="00904936"/>
    <w:rsid w:val="00904B1C"/>
    <w:rsid w:val="00904B84"/>
    <w:rsid w:val="00904F14"/>
    <w:rsid w:val="00904F50"/>
    <w:rsid w:val="00904FE4"/>
    <w:rsid w:val="00904FF9"/>
    <w:rsid w:val="009050AB"/>
    <w:rsid w:val="009050B9"/>
    <w:rsid w:val="009051F9"/>
    <w:rsid w:val="0090556A"/>
    <w:rsid w:val="00905724"/>
    <w:rsid w:val="00905767"/>
    <w:rsid w:val="0090576E"/>
    <w:rsid w:val="00905B06"/>
    <w:rsid w:val="00905C05"/>
    <w:rsid w:val="00905DCE"/>
    <w:rsid w:val="00905E8C"/>
    <w:rsid w:val="00905F60"/>
    <w:rsid w:val="00905F65"/>
    <w:rsid w:val="0090603B"/>
    <w:rsid w:val="00906281"/>
    <w:rsid w:val="00906372"/>
    <w:rsid w:val="00906399"/>
    <w:rsid w:val="00906451"/>
    <w:rsid w:val="00906461"/>
    <w:rsid w:val="009069F9"/>
    <w:rsid w:val="00906B8C"/>
    <w:rsid w:val="00906DC4"/>
    <w:rsid w:val="00906E08"/>
    <w:rsid w:val="00906E29"/>
    <w:rsid w:val="00907033"/>
    <w:rsid w:val="00907079"/>
    <w:rsid w:val="009070C9"/>
    <w:rsid w:val="00907184"/>
    <w:rsid w:val="0090722B"/>
    <w:rsid w:val="0090743D"/>
    <w:rsid w:val="00907899"/>
    <w:rsid w:val="00907A9D"/>
    <w:rsid w:val="00907AC2"/>
    <w:rsid w:val="00907C66"/>
    <w:rsid w:val="00907D61"/>
    <w:rsid w:val="009100DC"/>
    <w:rsid w:val="009101FE"/>
    <w:rsid w:val="0091023E"/>
    <w:rsid w:val="009105E8"/>
    <w:rsid w:val="00910786"/>
    <w:rsid w:val="00910CD3"/>
    <w:rsid w:val="00910D66"/>
    <w:rsid w:val="00910D80"/>
    <w:rsid w:val="00911071"/>
    <w:rsid w:val="0091114F"/>
    <w:rsid w:val="00911222"/>
    <w:rsid w:val="009112D4"/>
    <w:rsid w:val="0091159D"/>
    <w:rsid w:val="00911784"/>
    <w:rsid w:val="009117F4"/>
    <w:rsid w:val="00911A42"/>
    <w:rsid w:val="00911AA3"/>
    <w:rsid w:val="00911E63"/>
    <w:rsid w:val="00912363"/>
    <w:rsid w:val="009125CC"/>
    <w:rsid w:val="009127E6"/>
    <w:rsid w:val="0091281F"/>
    <w:rsid w:val="00912868"/>
    <w:rsid w:val="00912871"/>
    <w:rsid w:val="009128F5"/>
    <w:rsid w:val="00912981"/>
    <w:rsid w:val="00912DD7"/>
    <w:rsid w:val="00913136"/>
    <w:rsid w:val="00913228"/>
    <w:rsid w:val="0091364B"/>
    <w:rsid w:val="009138B6"/>
    <w:rsid w:val="00913BE0"/>
    <w:rsid w:val="00913C46"/>
    <w:rsid w:val="00913DAD"/>
    <w:rsid w:val="00913FB6"/>
    <w:rsid w:val="0091402E"/>
    <w:rsid w:val="0091423E"/>
    <w:rsid w:val="0091435E"/>
    <w:rsid w:val="009143B6"/>
    <w:rsid w:val="00914441"/>
    <w:rsid w:val="009145FE"/>
    <w:rsid w:val="0091487F"/>
    <w:rsid w:val="00914AAF"/>
    <w:rsid w:val="00914CDF"/>
    <w:rsid w:val="00914D76"/>
    <w:rsid w:val="00915153"/>
    <w:rsid w:val="009151EF"/>
    <w:rsid w:val="009153DF"/>
    <w:rsid w:val="009154CA"/>
    <w:rsid w:val="0091554B"/>
    <w:rsid w:val="00915AEE"/>
    <w:rsid w:val="00915C29"/>
    <w:rsid w:val="00915FC5"/>
    <w:rsid w:val="00915FFD"/>
    <w:rsid w:val="0091603E"/>
    <w:rsid w:val="00916103"/>
    <w:rsid w:val="00916138"/>
    <w:rsid w:val="00916332"/>
    <w:rsid w:val="009165D9"/>
    <w:rsid w:val="00916965"/>
    <w:rsid w:val="00916D35"/>
    <w:rsid w:val="00916EC3"/>
    <w:rsid w:val="00916F72"/>
    <w:rsid w:val="00917011"/>
    <w:rsid w:val="009170A9"/>
    <w:rsid w:val="009177F2"/>
    <w:rsid w:val="00917F70"/>
    <w:rsid w:val="009200EB"/>
    <w:rsid w:val="00920400"/>
    <w:rsid w:val="00920474"/>
    <w:rsid w:val="00920662"/>
    <w:rsid w:val="009208D4"/>
    <w:rsid w:val="0092103C"/>
    <w:rsid w:val="00921279"/>
    <w:rsid w:val="0092141A"/>
    <w:rsid w:val="0092150B"/>
    <w:rsid w:val="009217B4"/>
    <w:rsid w:val="00921A6E"/>
    <w:rsid w:val="00921B83"/>
    <w:rsid w:val="00921BE4"/>
    <w:rsid w:val="00921F64"/>
    <w:rsid w:val="00921FDE"/>
    <w:rsid w:val="0092267C"/>
    <w:rsid w:val="0092282D"/>
    <w:rsid w:val="00922901"/>
    <w:rsid w:val="009229C7"/>
    <w:rsid w:val="00922B2B"/>
    <w:rsid w:val="00922B99"/>
    <w:rsid w:val="00922BF9"/>
    <w:rsid w:val="00922CB6"/>
    <w:rsid w:val="00922D9D"/>
    <w:rsid w:val="00922E56"/>
    <w:rsid w:val="00922F65"/>
    <w:rsid w:val="009230E4"/>
    <w:rsid w:val="009231B8"/>
    <w:rsid w:val="009231F2"/>
    <w:rsid w:val="00923243"/>
    <w:rsid w:val="00923276"/>
    <w:rsid w:val="009232E8"/>
    <w:rsid w:val="00923357"/>
    <w:rsid w:val="00923637"/>
    <w:rsid w:val="00923F69"/>
    <w:rsid w:val="00924016"/>
    <w:rsid w:val="009241B0"/>
    <w:rsid w:val="0092420F"/>
    <w:rsid w:val="009243E9"/>
    <w:rsid w:val="009246FF"/>
    <w:rsid w:val="00924747"/>
    <w:rsid w:val="00924903"/>
    <w:rsid w:val="00924A20"/>
    <w:rsid w:val="00924AFF"/>
    <w:rsid w:val="00924C3F"/>
    <w:rsid w:val="0092528A"/>
    <w:rsid w:val="00925367"/>
    <w:rsid w:val="009257C8"/>
    <w:rsid w:val="009258E1"/>
    <w:rsid w:val="009258E7"/>
    <w:rsid w:val="00925B41"/>
    <w:rsid w:val="00925B8E"/>
    <w:rsid w:val="00925BD2"/>
    <w:rsid w:val="00926128"/>
    <w:rsid w:val="0092653E"/>
    <w:rsid w:val="00926633"/>
    <w:rsid w:val="00926693"/>
    <w:rsid w:val="00926909"/>
    <w:rsid w:val="00926A5F"/>
    <w:rsid w:val="00926B30"/>
    <w:rsid w:val="00926B6D"/>
    <w:rsid w:val="00926BDC"/>
    <w:rsid w:val="00926C7F"/>
    <w:rsid w:val="009272C2"/>
    <w:rsid w:val="00927411"/>
    <w:rsid w:val="00927447"/>
    <w:rsid w:val="009274AE"/>
    <w:rsid w:val="0092754C"/>
    <w:rsid w:val="009276EB"/>
    <w:rsid w:val="00927829"/>
    <w:rsid w:val="00927966"/>
    <w:rsid w:val="00927A7F"/>
    <w:rsid w:val="00927CB6"/>
    <w:rsid w:val="00927CFD"/>
    <w:rsid w:val="00927FF4"/>
    <w:rsid w:val="009300C1"/>
    <w:rsid w:val="009301E7"/>
    <w:rsid w:val="009302EC"/>
    <w:rsid w:val="009307FE"/>
    <w:rsid w:val="009308D3"/>
    <w:rsid w:val="00930C87"/>
    <w:rsid w:val="00930D5B"/>
    <w:rsid w:val="00930E43"/>
    <w:rsid w:val="00930E8F"/>
    <w:rsid w:val="00930FA1"/>
    <w:rsid w:val="009310D8"/>
    <w:rsid w:val="00931347"/>
    <w:rsid w:val="00931407"/>
    <w:rsid w:val="00931462"/>
    <w:rsid w:val="0093155E"/>
    <w:rsid w:val="00931616"/>
    <w:rsid w:val="00931D0A"/>
    <w:rsid w:val="00931F15"/>
    <w:rsid w:val="00932140"/>
    <w:rsid w:val="009322BC"/>
    <w:rsid w:val="009324B6"/>
    <w:rsid w:val="00932571"/>
    <w:rsid w:val="0093260D"/>
    <w:rsid w:val="009329D1"/>
    <w:rsid w:val="00932A82"/>
    <w:rsid w:val="00932C31"/>
    <w:rsid w:val="00932EDF"/>
    <w:rsid w:val="00933064"/>
    <w:rsid w:val="0093332C"/>
    <w:rsid w:val="0093354A"/>
    <w:rsid w:val="00933B12"/>
    <w:rsid w:val="00933BA8"/>
    <w:rsid w:val="00933C2E"/>
    <w:rsid w:val="00933EE0"/>
    <w:rsid w:val="00933EF9"/>
    <w:rsid w:val="009345F8"/>
    <w:rsid w:val="00934965"/>
    <w:rsid w:val="00934B0A"/>
    <w:rsid w:val="00934D23"/>
    <w:rsid w:val="009351B9"/>
    <w:rsid w:val="0093535C"/>
    <w:rsid w:val="00935387"/>
    <w:rsid w:val="00935530"/>
    <w:rsid w:val="0093557F"/>
    <w:rsid w:val="009355B9"/>
    <w:rsid w:val="009356DD"/>
    <w:rsid w:val="009357F2"/>
    <w:rsid w:val="00935964"/>
    <w:rsid w:val="00935979"/>
    <w:rsid w:val="009359CB"/>
    <w:rsid w:val="00935A40"/>
    <w:rsid w:val="00935D73"/>
    <w:rsid w:val="00935E78"/>
    <w:rsid w:val="00935EBD"/>
    <w:rsid w:val="00936041"/>
    <w:rsid w:val="009361B3"/>
    <w:rsid w:val="0093640B"/>
    <w:rsid w:val="00936615"/>
    <w:rsid w:val="009366A5"/>
    <w:rsid w:val="00936710"/>
    <w:rsid w:val="00936AF2"/>
    <w:rsid w:val="00936B18"/>
    <w:rsid w:val="00936D84"/>
    <w:rsid w:val="00936FF9"/>
    <w:rsid w:val="00937004"/>
    <w:rsid w:val="00937410"/>
    <w:rsid w:val="00937ACE"/>
    <w:rsid w:val="00937C0A"/>
    <w:rsid w:val="00937D7E"/>
    <w:rsid w:val="00937E86"/>
    <w:rsid w:val="00937FC3"/>
    <w:rsid w:val="00940135"/>
    <w:rsid w:val="0094017F"/>
    <w:rsid w:val="009404EE"/>
    <w:rsid w:val="009409DB"/>
    <w:rsid w:val="00940A2A"/>
    <w:rsid w:val="00940BA9"/>
    <w:rsid w:val="00940CF3"/>
    <w:rsid w:val="00940E1F"/>
    <w:rsid w:val="00941055"/>
    <w:rsid w:val="00941231"/>
    <w:rsid w:val="009413D3"/>
    <w:rsid w:val="00941424"/>
    <w:rsid w:val="00941550"/>
    <w:rsid w:val="009415D1"/>
    <w:rsid w:val="00941C1D"/>
    <w:rsid w:val="00941C34"/>
    <w:rsid w:val="00941C61"/>
    <w:rsid w:val="00941DC7"/>
    <w:rsid w:val="00942492"/>
    <w:rsid w:val="009424CF"/>
    <w:rsid w:val="00942827"/>
    <w:rsid w:val="009429CB"/>
    <w:rsid w:val="00942BEF"/>
    <w:rsid w:val="00942F17"/>
    <w:rsid w:val="00943258"/>
    <w:rsid w:val="0094337C"/>
    <w:rsid w:val="00943452"/>
    <w:rsid w:val="0094357D"/>
    <w:rsid w:val="009436B5"/>
    <w:rsid w:val="0094376E"/>
    <w:rsid w:val="009438EC"/>
    <w:rsid w:val="00943D3D"/>
    <w:rsid w:val="009440C7"/>
    <w:rsid w:val="0094415B"/>
    <w:rsid w:val="00944185"/>
    <w:rsid w:val="00944326"/>
    <w:rsid w:val="0094432A"/>
    <w:rsid w:val="00944363"/>
    <w:rsid w:val="009444E2"/>
    <w:rsid w:val="009445CF"/>
    <w:rsid w:val="009445FD"/>
    <w:rsid w:val="0094467D"/>
    <w:rsid w:val="00944736"/>
    <w:rsid w:val="00944743"/>
    <w:rsid w:val="00944815"/>
    <w:rsid w:val="00944921"/>
    <w:rsid w:val="00944B59"/>
    <w:rsid w:val="00944C9A"/>
    <w:rsid w:val="00945095"/>
    <w:rsid w:val="009454C1"/>
    <w:rsid w:val="00945774"/>
    <w:rsid w:val="00945795"/>
    <w:rsid w:val="00945972"/>
    <w:rsid w:val="009459BD"/>
    <w:rsid w:val="00945C47"/>
    <w:rsid w:val="00945C7C"/>
    <w:rsid w:val="00945DD5"/>
    <w:rsid w:val="00945EC7"/>
    <w:rsid w:val="00945F30"/>
    <w:rsid w:val="00946190"/>
    <w:rsid w:val="0094621B"/>
    <w:rsid w:val="0094621E"/>
    <w:rsid w:val="009466C4"/>
    <w:rsid w:val="0094692E"/>
    <w:rsid w:val="0094697B"/>
    <w:rsid w:val="00946AD5"/>
    <w:rsid w:val="00946B2C"/>
    <w:rsid w:val="00946B3E"/>
    <w:rsid w:val="00946BAD"/>
    <w:rsid w:val="00946C8E"/>
    <w:rsid w:val="00946E58"/>
    <w:rsid w:val="00946F43"/>
    <w:rsid w:val="009471C9"/>
    <w:rsid w:val="0094743C"/>
    <w:rsid w:val="0094799C"/>
    <w:rsid w:val="009479E6"/>
    <w:rsid w:val="00947A8A"/>
    <w:rsid w:val="00947C01"/>
    <w:rsid w:val="009500BE"/>
    <w:rsid w:val="0095016E"/>
    <w:rsid w:val="009503FC"/>
    <w:rsid w:val="00950496"/>
    <w:rsid w:val="00950613"/>
    <w:rsid w:val="0095080F"/>
    <w:rsid w:val="00950ED0"/>
    <w:rsid w:val="00950F90"/>
    <w:rsid w:val="00950F9B"/>
    <w:rsid w:val="00951098"/>
    <w:rsid w:val="00951242"/>
    <w:rsid w:val="00951445"/>
    <w:rsid w:val="00951561"/>
    <w:rsid w:val="0095177E"/>
    <w:rsid w:val="009517FF"/>
    <w:rsid w:val="0095186B"/>
    <w:rsid w:val="00951A47"/>
    <w:rsid w:val="00951B09"/>
    <w:rsid w:val="00951B8B"/>
    <w:rsid w:val="00951D29"/>
    <w:rsid w:val="00952033"/>
    <w:rsid w:val="009521F8"/>
    <w:rsid w:val="009521FE"/>
    <w:rsid w:val="009522DA"/>
    <w:rsid w:val="0095232C"/>
    <w:rsid w:val="009525DC"/>
    <w:rsid w:val="00952876"/>
    <w:rsid w:val="009528B3"/>
    <w:rsid w:val="00952BAB"/>
    <w:rsid w:val="00952C7B"/>
    <w:rsid w:val="00952CD9"/>
    <w:rsid w:val="00952E71"/>
    <w:rsid w:val="0095307B"/>
    <w:rsid w:val="009533B9"/>
    <w:rsid w:val="009534F6"/>
    <w:rsid w:val="00953583"/>
    <w:rsid w:val="009536A9"/>
    <w:rsid w:val="00953C2F"/>
    <w:rsid w:val="00953F89"/>
    <w:rsid w:val="00953F94"/>
    <w:rsid w:val="00953FE4"/>
    <w:rsid w:val="00954345"/>
    <w:rsid w:val="009544F9"/>
    <w:rsid w:val="0095494E"/>
    <w:rsid w:val="00954B69"/>
    <w:rsid w:val="00954C0D"/>
    <w:rsid w:val="00954EDD"/>
    <w:rsid w:val="00954F6C"/>
    <w:rsid w:val="00955272"/>
    <w:rsid w:val="00955642"/>
    <w:rsid w:val="0095587D"/>
    <w:rsid w:val="00955C42"/>
    <w:rsid w:val="00955D8B"/>
    <w:rsid w:val="0095615E"/>
    <w:rsid w:val="0095616B"/>
    <w:rsid w:val="00956195"/>
    <w:rsid w:val="009562DC"/>
    <w:rsid w:val="00956347"/>
    <w:rsid w:val="009564AB"/>
    <w:rsid w:val="009567E4"/>
    <w:rsid w:val="0095681E"/>
    <w:rsid w:val="0095682C"/>
    <w:rsid w:val="009568E1"/>
    <w:rsid w:val="00956B7A"/>
    <w:rsid w:val="00956D24"/>
    <w:rsid w:val="00956E76"/>
    <w:rsid w:val="00956FEE"/>
    <w:rsid w:val="00957019"/>
    <w:rsid w:val="0095731C"/>
    <w:rsid w:val="00957443"/>
    <w:rsid w:val="00957451"/>
    <w:rsid w:val="00957994"/>
    <w:rsid w:val="00957D2D"/>
    <w:rsid w:val="00957D8E"/>
    <w:rsid w:val="00957EFF"/>
    <w:rsid w:val="00960243"/>
    <w:rsid w:val="00960317"/>
    <w:rsid w:val="009603AD"/>
    <w:rsid w:val="00960453"/>
    <w:rsid w:val="00960792"/>
    <w:rsid w:val="0096082E"/>
    <w:rsid w:val="00960B3F"/>
    <w:rsid w:val="00960CC6"/>
    <w:rsid w:val="00960DE7"/>
    <w:rsid w:val="00961120"/>
    <w:rsid w:val="00961143"/>
    <w:rsid w:val="009613BB"/>
    <w:rsid w:val="00961509"/>
    <w:rsid w:val="009618E4"/>
    <w:rsid w:val="00961933"/>
    <w:rsid w:val="00961B15"/>
    <w:rsid w:val="00961D81"/>
    <w:rsid w:val="00961DAE"/>
    <w:rsid w:val="00962165"/>
    <w:rsid w:val="009626ED"/>
    <w:rsid w:val="0096291E"/>
    <w:rsid w:val="00962AC6"/>
    <w:rsid w:val="00962B4B"/>
    <w:rsid w:val="00962BB3"/>
    <w:rsid w:val="00962D29"/>
    <w:rsid w:val="00962D3F"/>
    <w:rsid w:val="00962F6F"/>
    <w:rsid w:val="009630B4"/>
    <w:rsid w:val="009630BC"/>
    <w:rsid w:val="009634B6"/>
    <w:rsid w:val="00963519"/>
    <w:rsid w:val="0096355C"/>
    <w:rsid w:val="009637DE"/>
    <w:rsid w:val="00963841"/>
    <w:rsid w:val="0096394E"/>
    <w:rsid w:val="00963E05"/>
    <w:rsid w:val="00963EF8"/>
    <w:rsid w:val="009640AE"/>
    <w:rsid w:val="00964115"/>
    <w:rsid w:val="0096413E"/>
    <w:rsid w:val="0096457C"/>
    <w:rsid w:val="00964834"/>
    <w:rsid w:val="0096485D"/>
    <w:rsid w:val="00964A4F"/>
    <w:rsid w:val="00964EB7"/>
    <w:rsid w:val="0096522B"/>
    <w:rsid w:val="009652F9"/>
    <w:rsid w:val="00965343"/>
    <w:rsid w:val="00965598"/>
    <w:rsid w:val="0096574B"/>
    <w:rsid w:val="009657A4"/>
    <w:rsid w:val="009657F4"/>
    <w:rsid w:val="0096581A"/>
    <w:rsid w:val="009659A9"/>
    <w:rsid w:val="00965B78"/>
    <w:rsid w:val="00965C4C"/>
    <w:rsid w:val="00965E04"/>
    <w:rsid w:val="00965F4C"/>
    <w:rsid w:val="00966036"/>
    <w:rsid w:val="00966373"/>
    <w:rsid w:val="00966610"/>
    <w:rsid w:val="009666DE"/>
    <w:rsid w:val="0096678B"/>
    <w:rsid w:val="0096679D"/>
    <w:rsid w:val="0096679E"/>
    <w:rsid w:val="009667DE"/>
    <w:rsid w:val="00966A39"/>
    <w:rsid w:val="00966B81"/>
    <w:rsid w:val="00966D93"/>
    <w:rsid w:val="00966DF4"/>
    <w:rsid w:val="00966F12"/>
    <w:rsid w:val="0096706C"/>
    <w:rsid w:val="00967073"/>
    <w:rsid w:val="00967140"/>
    <w:rsid w:val="00967307"/>
    <w:rsid w:val="00967371"/>
    <w:rsid w:val="009673C0"/>
    <w:rsid w:val="009673F8"/>
    <w:rsid w:val="0096755A"/>
    <w:rsid w:val="00967564"/>
    <w:rsid w:val="00967A47"/>
    <w:rsid w:val="00967A4C"/>
    <w:rsid w:val="00967ABD"/>
    <w:rsid w:val="00967FF4"/>
    <w:rsid w:val="00970056"/>
    <w:rsid w:val="009704E7"/>
    <w:rsid w:val="0097057E"/>
    <w:rsid w:val="009706F8"/>
    <w:rsid w:val="009707BB"/>
    <w:rsid w:val="00970BCE"/>
    <w:rsid w:val="00970FDD"/>
    <w:rsid w:val="00971658"/>
    <w:rsid w:val="0097172C"/>
    <w:rsid w:val="00971965"/>
    <w:rsid w:val="009719C3"/>
    <w:rsid w:val="00971B20"/>
    <w:rsid w:val="00971D30"/>
    <w:rsid w:val="00971D34"/>
    <w:rsid w:val="009720D7"/>
    <w:rsid w:val="00972194"/>
    <w:rsid w:val="00972326"/>
    <w:rsid w:val="009724B7"/>
    <w:rsid w:val="009726E0"/>
    <w:rsid w:val="0097290C"/>
    <w:rsid w:val="00972C1A"/>
    <w:rsid w:val="00972DCF"/>
    <w:rsid w:val="00973196"/>
    <w:rsid w:val="0097329B"/>
    <w:rsid w:val="0097355B"/>
    <w:rsid w:val="009735AD"/>
    <w:rsid w:val="009735B9"/>
    <w:rsid w:val="009736C3"/>
    <w:rsid w:val="009739B0"/>
    <w:rsid w:val="00973D66"/>
    <w:rsid w:val="00973E1B"/>
    <w:rsid w:val="00973E31"/>
    <w:rsid w:val="00973EC6"/>
    <w:rsid w:val="00973ED0"/>
    <w:rsid w:val="00974412"/>
    <w:rsid w:val="00974564"/>
    <w:rsid w:val="00974859"/>
    <w:rsid w:val="0097496D"/>
    <w:rsid w:val="0097498C"/>
    <w:rsid w:val="00974A85"/>
    <w:rsid w:val="00974B83"/>
    <w:rsid w:val="00974D2A"/>
    <w:rsid w:val="009750CB"/>
    <w:rsid w:val="009750CD"/>
    <w:rsid w:val="009752CC"/>
    <w:rsid w:val="0097530F"/>
    <w:rsid w:val="0097545E"/>
    <w:rsid w:val="009756CF"/>
    <w:rsid w:val="009757B6"/>
    <w:rsid w:val="0097599D"/>
    <w:rsid w:val="00975D94"/>
    <w:rsid w:val="009760BE"/>
    <w:rsid w:val="0097633D"/>
    <w:rsid w:val="0097635F"/>
    <w:rsid w:val="00976398"/>
    <w:rsid w:val="00976806"/>
    <w:rsid w:val="009769EE"/>
    <w:rsid w:val="00976AA2"/>
    <w:rsid w:val="00976B8E"/>
    <w:rsid w:val="00976D63"/>
    <w:rsid w:val="00976F8D"/>
    <w:rsid w:val="00976FEF"/>
    <w:rsid w:val="009770FD"/>
    <w:rsid w:val="009771B8"/>
    <w:rsid w:val="00977251"/>
    <w:rsid w:val="00977389"/>
    <w:rsid w:val="00977483"/>
    <w:rsid w:val="00977719"/>
    <w:rsid w:val="00977D81"/>
    <w:rsid w:val="00977ECC"/>
    <w:rsid w:val="00977F1A"/>
    <w:rsid w:val="00980157"/>
    <w:rsid w:val="0098039A"/>
    <w:rsid w:val="009807CA"/>
    <w:rsid w:val="009808EB"/>
    <w:rsid w:val="00980A2B"/>
    <w:rsid w:val="00980DF3"/>
    <w:rsid w:val="00980EA1"/>
    <w:rsid w:val="009811FC"/>
    <w:rsid w:val="00981399"/>
    <w:rsid w:val="0098155A"/>
    <w:rsid w:val="0098162E"/>
    <w:rsid w:val="00981934"/>
    <w:rsid w:val="009819A5"/>
    <w:rsid w:val="00981A0E"/>
    <w:rsid w:val="00981ABD"/>
    <w:rsid w:val="00981B14"/>
    <w:rsid w:val="00981BEA"/>
    <w:rsid w:val="00981C5C"/>
    <w:rsid w:val="00981ED6"/>
    <w:rsid w:val="00981FAB"/>
    <w:rsid w:val="00982027"/>
    <w:rsid w:val="0098209D"/>
    <w:rsid w:val="00982296"/>
    <w:rsid w:val="00982459"/>
    <w:rsid w:val="0098264A"/>
    <w:rsid w:val="00982AF8"/>
    <w:rsid w:val="009832B3"/>
    <w:rsid w:val="00983434"/>
    <w:rsid w:val="009836C3"/>
    <w:rsid w:val="009836FA"/>
    <w:rsid w:val="00983D29"/>
    <w:rsid w:val="00983E8D"/>
    <w:rsid w:val="00984167"/>
    <w:rsid w:val="009841A2"/>
    <w:rsid w:val="009841A4"/>
    <w:rsid w:val="00984232"/>
    <w:rsid w:val="00984568"/>
    <w:rsid w:val="00984ABB"/>
    <w:rsid w:val="00984ABD"/>
    <w:rsid w:val="00984FA7"/>
    <w:rsid w:val="0098507B"/>
    <w:rsid w:val="009852F9"/>
    <w:rsid w:val="00985A51"/>
    <w:rsid w:val="00985ADA"/>
    <w:rsid w:val="00985C61"/>
    <w:rsid w:val="00985CCF"/>
    <w:rsid w:val="009862D8"/>
    <w:rsid w:val="0098631F"/>
    <w:rsid w:val="009864AE"/>
    <w:rsid w:val="009865B3"/>
    <w:rsid w:val="009869F3"/>
    <w:rsid w:val="00986CBC"/>
    <w:rsid w:val="00986DE7"/>
    <w:rsid w:val="00986F08"/>
    <w:rsid w:val="0098702E"/>
    <w:rsid w:val="00987147"/>
    <w:rsid w:val="00987224"/>
    <w:rsid w:val="009872D9"/>
    <w:rsid w:val="0098748A"/>
    <w:rsid w:val="009874B3"/>
    <w:rsid w:val="0098755C"/>
    <w:rsid w:val="00987644"/>
    <w:rsid w:val="009876B7"/>
    <w:rsid w:val="00987703"/>
    <w:rsid w:val="009877EB"/>
    <w:rsid w:val="0098786F"/>
    <w:rsid w:val="00987BB1"/>
    <w:rsid w:val="00987CFB"/>
    <w:rsid w:val="00987E7F"/>
    <w:rsid w:val="00987F38"/>
    <w:rsid w:val="00987F63"/>
    <w:rsid w:val="00990133"/>
    <w:rsid w:val="00990478"/>
    <w:rsid w:val="009904BB"/>
    <w:rsid w:val="00990579"/>
    <w:rsid w:val="00990605"/>
    <w:rsid w:val="00990874"/>
    <w:rsid w:val="0099090D"/>
    <w:rsid w:val="00990C8A"/>
    <w:rsid w:val="00990CBA"/>
    <w:rsid w:val="00990CEE"/>
    <w:rsid w:val="00990E0E"/>
    <w:rsid w:val="00990E6D"/>
    <w:rsid w:val="00990E6E"/>
    <w:rsid w:val="00991116"/>
    <w:rsid w:val="00991164"/>
    <w:rsid w:val="0099123C"/>
    <w:rsid w:val="0099131C"/>
    <w:rsid w:val="009913BF"/>
    <w:rsid w:val="009914F8"/>
    <w:rsid w:val="00991798"/>
    <w:rsid w:val="0099188B"/>
    <w:rsid w:val="00991961"/>
    <w:rsid w:val="00991A6A"/>
    <w:rsid w:val="00991AD1"/>
    <w:rsid w:val="00992203"/>
    <w:rsid w:val="0099226A"/>
    <w:rsid w:val="009922AB"/>
    <w:rsid w:val="009923E2"/>
    <w:rsid w:val="009929CF"/>
    <w:rsid w:val="00992AAD"/>
    <w:rsid w:val="00992C0B"/>
    <w:rsid w:val="00992CEE"/>
    <w:rsid w:val="00992D6D"/>
    <w:rsid w:val="00992E28"/>
    <w:rsid w:val="00992FD5"/>
    <w:rsid w:val="009930BE"/>
    <w:rsid w:val="0099312F"/>
    <w:rsid w:val="00993370"/>
    <w:rsid w:val="009933C9"/>
    <w:rsid w:val="009934F9"/>
    <w:rsid w:val="009936B8"/>
    <w:rsid w:val="009936FD"/>
    <w:rsid w:val="00993802"/>
    <w:rsid w:val="00993A95"/>
    <w:rsid w:val="00993A99"/>
    <w:rsid w:val="00993F4D"/>
    <w:rsid w:val="00994249"/>
    <w:rsid w:val="00994306"/>
    <w:rsid w:val="009944C5"/>
    <w:rsid w:val="009944E7"/>
    <w:rsid w:val="009947EA"/>
    <w:rsid w:val="009948ED"/>
    <w:rsid w:val="0099496E"/>
    <w:rsid w:val="00994B59"/>
    <w:rsid w:val="00994B89"/>
    <w:rsid w:val="00994C12"/>
    <w:rsid w:val="00994F5A"/>
    <w:rsid w:val="00995263"/>
    <w:rsid w:val="009953EA"/>
    <w:rsid w:val="0099559C"/>
    <w:rsid w:val="00995B06"/>
    <w:rsid w:val="00995FED"/>
    <w:rsid w:val="009960DF"/>
    <w:rsid w:val="0099622F"/>
    <w:rsid w:val="00996312"/>
    <w:rsid w:val="009963FD"/>
    <w:rsid w:val="009964BB"/>
    <w:rsid w:val="0099653E"/>
    <w:rsid w:val="009967D0"/>
    <w:rsid w:val="00996804"/>
    <w:rsid w:val="00996941"/>
    <w:rsid w:val="009969E8"/>
    <w:rsid w:val="00996A46"/>
    <w:rsid w:val="00996BF1"/>
    <w:rsid w:val="00996FFB"/>
    <w:rsid w:val="00997008"/>
    <w:rsid w:val="0099712B"/>
    <w:rsid w:val="00997171"/>
    <w:rsid w:val="0099750D"/>
    <w:rsid w:val="009975DE"/>
    <w:rsid w:val="0099763D"/>
    <w:rsid w:val="009977A0"/>
    <w:rsid w:val="00997C39"/>
    <w:rsid w:val="00997CB4"/>
    <w:rsid w:val="00997DFA"/>
    <w:rsid w:val="00997E89"/>
    <w:rsid w:val="00997F90"/>
    <w:rsid w:val="009A011E"/>
    <w:rsid w:val="009A0189"/>
    <w:rsid w:val="009A02D7"/>
    <w:rsid w:val="009A03D1"/>
    <w:rsid w:val="009A0428"/>
    <w:rsid w:val="009A05D5"/>
    <w:rsid w:val="009A05EA"/>
    <w:rsid w:val="009A0764"/>
    <w:rsid w:val="009A0870"/>
    <w:rsid w:val="009A091F"/>
    <w:rsid w:val="009A09C5"/>
    <w:rsid w:val="009A0E24"/>
    <w:rsid w:val="009A128C"/>
    <w:rsid w:val="009A129C"/>
    <w:rsid w:val="009A131F"/>
    <w:rsid w:val="009A1484"/>
    <w:rsid w:val="009A14E2"/>
    <w:rsid w:val="009A160C"/>
    <w:rsid w:val="009A17A2"/>
    <w:rsid w:val="009A1800"/>
    <w:rsid w:val="009A187F"/>
    <w:rsid w:val="009A1BE0"/>
    <w:rsid w:val="009A1CB1"/>
    <w:rsid w:val="009A1EF3"/>
    <w:rsid w:val="009A1F13"/>
    <w:rsid w:val="009A1F84"/>
    <w:rsid w:val="009A1FBF"/>
    <w:rsid w:val="009A22C4"/>
    <w:rsid w:val="009A27BD"/>
    <w:rsid w:val="009A27CE"/>
    <w:rsid w:val="009A27F7"/>
    <w:rsid w:val="009A28BB"/>
    <w:rsid w:val="009A28CC"/>
    <w:rsid w:val="009A28DA"/>
    <w:rsid w:val="009A28FD"/>
    <w:rsid w:val="009A2A35"/>
    <w:rsid w:val="009A2C03"/>
    <w:rsid w:val="009A2E2B"/>
    <w:rsid w:val="009A3051"/>
    <w:rsid w:val="009A3386"/>
    <w:rsid w:val="009A34FB"/>
    <w:rsid w:val="009A360B"/>
    <w:rsid w:val="009A394C"/>
    <w:rsid w:val="009A3C96"/>
    <w:rsid w:val="009A3D00"/>
    <w:rsid w:val="009A3F4F"/>
    <w:rsid w:val="009A402A"/>
    <w:rsid w:val="009A42F8"/>
    <w:rsid w:val="009A434D"/>
    <w:rsid w:val="009A4374"/>
    <w:rsid w:val="009A45B3"/>
    <w:rsid w:val="009A4756"/>
    <w:rsid w:val="009A4921"/>
    <w:rsid w:val="009A4AD0"/>
    <w:rsid w:val="009A4BDF"/>
    <w:rsid w:val="009A4DAA"/>
    <w:rsid w:val="009A4E5B"/>
    <w:rsid w:val="009A4EA0"/>
    <w:rsid w:val="009A4EE5"/>
    <w:rsid w:val="009A51A1"/>
    <w:rsid w:val="009A52B8"/>
    <w:rsid w:val="009A54F9"/>
    <w:rsid w:val="009A56E9"/>
    <w:rsid w:val="009A5723"/>
    <w:rsid w:val="009A577B"/>
    <w:rsid w:val="009A58A8"/>
    <w:rsid w:val="009A5A1F"/>
    <w:rsid w:val="009A5DDC"/>
    <w:rsid w:val="009A5E56"/>
    <w:rsid w:val="009A5EC1"/>
    <w:rsid w:val="009A62B5"/>
    <w:rsid w:val="009A6604"/>
    <w:rsid w:val="009A6C37"/>
    <w:rsid w:val="009A6F20"/>
    <w:rsid w:val="009A6F85"/>
    <w:rsid w:val="009A75BB"/>
    <w:rsid w:val="009A7882"/>
    <w:rsid w:val="009A7886"/>
    <w:rsid w:val="009A79CE"/>
    <w:rsid w:val="009A7A8B"/>
    <w:rsid w:val="009A7B2B"/>
    <w:rsid w:val="009A7B89"/>
    <w:rsid w:val="009A7BC9"/>
    <w:rsid w:val="009A7C21"/>
    <w:rsid w:val="009A7C31"/>
    <w:rsid w:val="009A7CA6"/>
    <w:rsid w:val="009A7D51"/>
    <w:rsid w:val="009B00AA"/>
    <w:rsid w:val="009B0173"/>
    <w:rsid w:val="009B02CB"/>
    <w:rsid w:val="009B03E2"/>
    <w:rsid w:val="009B04B7"/>
    <w:rsid w:val="009B04DC"/>
    <w:rsid w:val="009B0BDB"/>
    <w:rsid w:val="009B0CA8"/>
    <w:rsid w:val="009B0CE1"/>
    <w:rsid w:val="009B0D41"/>
    <w:rsid w:val="009B0D5F"/>
    <w:rsid w:val="009B0EAE"/>
    <w:rsid w:val="009B0F47"/>
    <w:rsid w:val="009B118F"/>
    <w:rsid w:val="009B11DD"/>
    <w:rsid w:val="009B12E1"/>
    <w:rsid w:val="009B1350"/>
    <w:rsid w:val="009B1457"/>
    <w:rsid w:val="009B168D"/>
    <w:rsid w:val="009B19D2"/>
    <w:rsid w:val="009B1FD6"/>
    <w:rsid w:val="009B22CC"/>
    <w:rsid w:val="009B269B"/>
    <w:rsid w:val="009B27A4"/>
    <w:rsid w:val="009B2AEE"/>
    <w:rsid w:val="009B2D10"/>
    <w:rsid w:val="009B2FF2"/>
    <w:rsid w:val="009B3042"/>
    <w:rsid w:val="009B30AE"/>
    <w:rsid w:val="009B316E"/>
    <w:rsid w:val="009B3345"/>
    <w:rsid w:val="009B3367"/>
    <w:rsid w:val="009B3374"/>
    <w:rsid w:val="009B36EF"/>
    <w:rsid w:val="009B3870"/>
    <w:rsid w:val="009B3BB1"/>
    <w:rsid w:val="009B3E41"/>
    <w:rsid w:val="009B3F18"/>
    <w:rsid w:val="009B4170"/>
    <w:rsid w:val="009B41A8"/>
    <w:rsid w:val="009B4245"/>
    <w:rsid w:val="009B43EE"/>
    <w:rsid w:val="009B46DC"/>
    <w:rsid w:val="009B46F1"/>
    <w:rsid w:val="009B48B6"/>
    <w:rsid w:val="009B4921"/>
    <w:rsid w:val="009B4928"/>
    <w:rsid w:val="009B49DF"/>
    <w:rsid w:val="009B4F8B"/>
    <w:rsid w:val="009B5039"/>
    <w:rsid w:val="009B55FC"/>
    <w:rsid w:val="009B5776"/>
    <w:rsid w:val="009B57AD"/>
    <w:rsid w:val="009B586C"/>
    <w:rsid w:val="009B5972"/>
    <w:rsid w:val="009B59E0"/>
    <w:rsid w:val="009B5A10"/>
    <w:rsid w:val="009B5A88"/>
    <w:rsid w:val="009B5B4C"/>
    <w:rsid w:val="009B5FA3"/>
    <w:rsid w:val="009B5FF9"/>
    <w:rsid w:val="009B61BF"/>
    <w:rsid w:val="009B6361"/>
    <w:rsid w:val="009B68BA"/>
    <w:rsid w:val="009B69B9"/>
    <w:rsid w:val="009B6A90"/>
    <w:rsid w:val="009B6C92"/>
    <w:rsid w:val="009B6CB8"/>
    <w:rsid w:val="009B6D44"/>
    <w:rsid w:val="009B6DD5"/>
    <w:rsid w:val="009B6FC3"/>
    <w:rsid w:val="009B707C"/>
    <w:rsid w:val="009B74DA"/>
    <w:rsid w:val="009B772D"/>
    <w:rsid w:val="009B7748"/>
    <w:rsid w:val="009B778B"/>
    <w:rsid w:val="009B7CF0"/>
    <w:rsid w:val="009C01BA"/>
    <w:rsid w:val="009C03DC"/>
    <w:rsid w:val="009C07AA"/>
    <w:rsid w:val="009C0982"/>
    <w:rsid w:val="009C1106"/>
    <w:rsid w:val="009C119C"/>
    <w:rsid w:val="009C1226"/>
    <w:rsid w:val="009C1375"/>
    <w:rsid w:val="009C1475"/>
    <w:rsid w:val="009C14B5"/>
    <w:rsid w:val="009C16B6"/>
    <w:rsid w:val="009C1A8A"/>
    <w:rsid w:val="009C1D40"/>
    <w:rsid w:val="009C1EFD"/>
    <w:rsid w:val="009C1F02"/>
    <w:rsid w:val="009C228D"/>
    <w:rsid w:val="009C26DD"/>
    <w:rsid w:val="009C281A"/>
    <w:rsid w:val="009C2940"/>
    <w:rsid w:val="009C2A0F"/>
    <w:rsid w:val="009C2E88"/>
    <w:rsid w:val="009C2F65"/>
    <w:rsid w:val="009C33A7"/>
    <w:rsid w:val="009C35E5"/>
    <w:rsid w:val="009C35EF"/>
    <w:rsid w:val="009C384D"/>
    <w:rsid w:val="009C3A1E"/>
    <w:rsid w:val="009C3A3C"/>
    <w:rsid w:val="009C40C2"/>
    <w:rsid w:val="009C4220"/>
    <w:rsid w:val="009C4689"/>
    <w:rsid w:val="009C46A8"/>
    <w:rsid w:val="009C4932"/>
    <w:rsid w:val="009C4C6B"/>
    <w:rsid w:val="009C4DAC"/>
    <w:rsid w:val="009C4E98"/>
    <w:rsid w:val="009C519A"/>
    <w:rsid w:val="009C51DC"/>
    <w:rsid w:val="009C52D0"/>
    <w:rsid w:val="009C53E5"/>
    <w:rsid w:val="009C5609"/>
    <w:rsid w:val="009C5640"/>
    <w:rsid w:val="009C56D6"/>
    <w:rsid w:val="009C5732"/>
    <w:rsid w:val="009C5915"/>
    <w:rsid w:val="009C5C84"/>
    <w:rsid w:val="009C5E11"/>
    <w:rsid w:val="009C61AE"/>
    <w:rsid w:val="009C62A1"/>
    <w:rsid w:val="009C62EC"/>
    <w:rsid w:val="009C6302"/>
    <w:rsid w:val="009C647C"/>
    <w:rsid w:val="009C6843"/>
    <w:rsid w:val="009C68CF"/>
    <w:rsid w:val="009C6A22"/>
    <w:rsid w:val="009C6C28"/>
    <w:rsid w:val="009C6CA9"/>
    <w:rsid w:val="009C6CD5"/>
    <w:rsid w:val="009C6E3D"/>
    <w:rsid w:val="009C6F81"/>
    <w:rsid w:val="009C705B"/>
    <w:rsid w:val="009C7081"/>
    <w:rsid w:val="009C71D5"/>
    <w:rsid w:val="009C72F3"/>
    <w:rsid w:val="009C7302"/>
    <w:rsid w:val="009C73F7"/>
    <w:rsid w:val="009C753D"/>
    <w:rsid w:val="009C7656"/>
    <w:rsid w:val="009C7700"/>
    <w:rsid w:val="009C7727"/>
    <w:rsid w:val="009C781B"/>
    <w:rsid w:val="009C7864"/>
    <w:rsid w:val="009C791F"/>
    <w:rsid w:val="009C7977"/>
    <w:rsid w:val="009C7A1B"/>
    <w:rsid w:val="009C7B39"/>
    <w:rsid w:val="009C7CFB"/>
    <w:rsid w:val="009C7D0F"/>
    <w:rsid w:val="009D0029"/>
    <w:rsid w:val="009D0303"/>
    <w:rsid w:val="009D0787"/>
    <w:rsid w:val="009D086F"/>
    <w:rsid w:val="009D0BC5"/>
    <w:rsid w:val="009D0D17"/>
    <w:rsid w:val="009D0ECD"/>
    <w:rsid w:val="009D1031"/>
    <w:rsid w:val="009D10B7"/>
    <w:rsid w:val="009D11DB"/>
    <w:rsid w:val="009D15D7"/>
    <w:rsid w:val="009D1723"/>
    <w:rsid w:val="009D175B"/>
    <w:rsid w:val="009D175F"/>
    <w:rsid w:val="009D1934"/>
    <w:rsid w:val="009D1FCE"/>
    <w:rsid w:val="009D2413"/>
    <w:rsid w:val="009D24E0"/>
    <w:rsid w:val="009D2786"/>
    <w:rsid w:val="009D2CF8"/>
    <w:rsid w:val="009D2DFF"/>
    <w:rsid w:val="009D2E19"/>
    <w:rsid w:val="009D2EB6"/>
    <w:rsid w:val="009D2FE9"/>
    <w:rsid w:val="009D3086"/>
    <w:rsid w:val="009D31D1"/>
    <w:rsid w:val="009D3335"/>
    <w:rsid w:val="009D366E"/>
    <w:rsid w:val="009D3842"/>
    <w:rsid w:val="009D39CA"/>
    <w:rsid w:val="009D3D7D"/>
    <w:rsid w:val="009D40C8"/>
    <w:rsid w:val="009D452C"/>
    <w:rsid w:val="009D45D3"/>
    <w:rsid w:val="009D462B"/>
    <w:rsid w:val="009D4729"/>
    <w:rsid w:val="009D4B9F"/>
    <w:rsid w:val="009D4BC0"/>
    <w:rsid w:val="009D4D57"/>
    <w:rsid w:val="009D51A4"/>
    <w:rsid w:val="009D5352"/>
    <w:rsid w:val="009D54D5"/>
    <w:rsid w:val="009D551A"/>
    <w:rsid w:val="009D5522"/>
    <w:rsid w:val="009D5552"/>
    <w:rsid w:val="009D5565"/>
    <w:rsid w:val="009D5608"/>
    <w:rsid w:val="009D57D2"/>
    <w:rsid w:val="009D57DE"/>
    <w:rsid w:val="009D589E"/>
    <w:rsid w:val="009D5E6E"/>
    <w:rsid w:val="009D5ED8"/>
    <w:rsid w:val="009D608D"/>
    <w:rsid w:val="009D6092"/>
    <w:rsid w:val="009D61AD"/>
    <w:rsid w:val="009D621A"/>
    <w:rsid w:val="009D651B"/>
    <w:rsid w:val="009D6871"/>
    <w:rsid w:val="009D6DB6"/>
    <w:rsid w:val="009D6DDF"/>
    <w:rsid w:val="009D6F3F"/>
    <w:rsid w:val="009D710E"/>
    <w:rsid w:val="009D71BD"/>
    <w:rsid w:val="009D7445"/>
    <w:rsid w:val="009D755B"/>
    <w:rsid w:val="009D7602"/>
    <w:rsid w:val="009D7707"/>
    <w:rsid w:val="009D7C28"/>
    <w:rsid w:val="009D7D0D"/>
    <w:rsid w:val="009E0172"/>
    <w:rsid w:val="009E0235"/>
    <w:rsid w:val="009E058B"/>
    <w:rsid w:val="009E060A"/>
    <w:rsid w:val="009E066A"/>
    <w:rsid w:val="009E06A6"/>
    <w:rsid w:val="009E0926"/>
    <w:rsid w:val="009E09A5"/>
    <w:rsid w:val="009E0AA4"/>
    <w:rsid w:val="009E0B46"/>
    <w:rsid w:val="009E0B6C"/>
    <w:rsid w:val="009E0DEE"/>
    <w:rsid w:val="009E0E39"/>
    <w:rsid w:val="009E11D2"/>
    <w:rsid w:val="009E12FB"/>
    <w:rsid w:val="009E14AB"/>
    <w:rsid w:val="009E14D2"/>
    <w:rsid w:val="009E15F7"/>
    <w:rsid w:val="009E19A2"/>
    <w:rsid w:val="009E19D8"/>
    <w:rsid w:val="009E1A08"/>
    <w:rsid w:val="009E1A42"/>
    <w:rsid w:val="009E1C1E"/>
    <w:rsid w:val="009E2235"/>
    <w:rsid w:val="009E273C"/>
    <w:rsid w:val="009E2741"/>
    <w:rsid w:val="009E27DB"/>
    <w:rsid w:val="009E2855"/>
    <w:rsid w:val="009E29CE"/>
    <w:rsid w:val="009E29E7"/>
    <w:rsid w:val="009E2A45"/>
    <w:rsid w:val="009E2AA2"/>
    <w:rsid w:val="009E2B47"/>
    <w:rsid w:val="009E2B87"/>
    <w:rsid w:val="009E2DED"/>
    <w:rsid w:val="009E324E"/>
    <w:rsid w:val="009E3756"/>
    <w:rsid w:val="009E3A47"/>
    <w:rsid w:val="009E3AA2"/>
    <w:rsid w:val="009E3BD5"/>
    <w:rsid w:val="009E3CEA"/>
    <w:rsid w:val="009E3E58"/>
    <w:rsid w:val="009E3FDB"/>
    <w:rsid w:val="009E42C7"/>
    <w:rsid w:val="009E4489"/>
    <w:rsid w:val="009E452F"/>
    <w:rsid w:val="009E46DE"/>
    <w:rsid w:val="009E499B"/>
    <w:rsid w:val="009E4C62"/>
    <w:rsid w:val="009E4E87"/>
    <w:rsid w:val="009E4F7F"/>
    <w:rsid w:val="009E50CD"/>
    <w:rsid w:val="009E5178"/>
    <w:rsid w:val="009E51BF"/>
    <w:rsid w:val="009E52AA"/>
    <w:rsid w:val="009E5333"/>
    <w:rsid w:val="009E54AC"/>
    <w:rsid w:val="009E54C9"/>
    <w:rsid w:val="009E5573"/>
    <w:rsid w:val="009E5B5F"/>
    <w:rsid w:val="009E5B72"/>
    <w:rsid w:val="009E5BBB"/>
    <w:rsid w:val="009E5BED"/>
    <w:rsid w:val="009E5C48"/>
    <w:rsid w:val="009E5CE5"/>
    <w:rsid w:val="009E5E48"/>
    <w:rsid w:val="009E5FD7"/>
    <w:rsid w:val="009E614D"/>
    <w:rsid w:val="009E620D"/>
    <w:rsid w:val="009E6380"/>
    <w:rsid w:val="009E684C"/>
    <w:rsid w:val="009E6974"/>
    <w:rsid w:val="009E6F15"/>
    <w:rsid w:val="009E6F5F"/>
    <w:rsid w:val="009E7082"/>
    <w:rsid w:val="009E7389"/>
    <w:rsid w:val="009E751F"/>
    <w:rsid w:val="009E763D"/>
    <w:rsid w:val="009E76C9"/>
    <w:rsid w:val="009E7BB2"/>
    <w:rsid w:val="009E7F01"/>
    <w:rsid w:val="009E7F44"/>
    <w:rsid w:val="009E7F6F"/>
    <w:rsid w:val="009F04C4"/>
    <w:rsid w:val="009F0579"/>
    <w:rsid w:val="009F0C66"/>
    <w:rsid w:val="009F0E0E"/>
    <w:rsid w:val="009F0FC8"/>
    <w:rsid w:val="009F10C4"/>
    <w:rsid w:val="009F1121"/>
    <w:rsid w:val="009F126F"/>
    <w:rsid w:val="009F15C0"/>
    <w:rsid w:val="009F1771"/>
    <w:rsid w:val="009F1B36"/>
    <w:rsid w:val="009F1C3D"/>
    <w:rsid w:val="009F1DC4"/>
    <w:rsid w:val="009F1F4E"/>
    <w:rsid w:val="009F2265"/>
    <w:rsid w:val="009F2384"/>
    <w:rsid w:val="009F28BD"/>
    <w:rsid w:val="009F29C4"/>
    <w:rsid w:val="009F2A58"/>
    <w:rsid w:val="009F2C57"/>
    <w:rsid w:val="009F2C5A"/>
    <w:rsid w:val="009F2D5E"/>
    <w:rsid w:val="009F2EE3"/>
    <w:rsid w:val="009F3185"/>
    <w:rsid w:val="009F32D0"/>
    <w:rsid w:val="009F3588"/>
    <w:rsid w:val="009F370E"/>
    <w:rsid w:val="009F37A9"/>
    <w:rsid w:val="009F39B0"/>
    <w:rsid w:val="009F3B6B"/>
    <w:rsid w:val="009F3B9D"/>
    <w:rsid w:val="009F3D2F"/>
    <w:rsid w:val="009F42D3"/>
    <w:rsid w:val="009F4490"/>
    <w:rsid w:val="009F4491"/>
    <w:rsid w:val="009F44C4"/>
    <w:rsid w:val="009F472C"/>
    <w:rsid w:val="009F48D9"/>
    <w:rsid w:val="009F4B66"/>
    <w:rsid w:val="009F4B77"/>
    <w:rsid w:val="009F4B93"/>
    <w:rsid w:val="009F4C81"/>
    <w:rsid w:val="009F4FCC"/>
    <w:rsid w:val="009F50CE"/>
    <w:rsid w:val="009F5237"/>
    <w:rsid w:val="009F527B"/>
    <w:rsid w:val="009F546C"/>
    <w:rsid w:val="009F55AF"/>
    <w:rsid w:val="009F57EA"/>
    <w:rsid w:val="009F5A7B"/>
    <w:rsid w:val="009F5AE3"/>
    <w:rsid w:val="009F5D0D"/>
    <w:rsid w:val="009F6020"/>
    <w:rsid w:val="009F60C1"/>
    <w:rsid w:val="009F60FD"/>
    <w:rsid w:val="009F628C"/>
    <w:rsid w:val="009F632B"/>
    <w:rsid w:val="009F6369"/>
    <w:rsid w:val="009F63AC"/>
    <w:rsid w:val="009F6615"/>
    <w:rsid w:val="009F68C6"/>
    <w:rsid w:val="009F6960"/>
    <w:rsid w:val="009F6B70"/>
    <w:rsid w:val="009F6CFF"/>
    <w:rsid w:val="009F6D05"/>
    <w:rsid w:val="009F6D6F"/>
    <w:rsid w:val="009F6E39"/>
    <w:rsid w:val="009F6EE2"/>
    <w:rsid w:val="009F6FD4"/>
    <w:rsid w:val="009F70EA"/>
    <w:rsid w:val="009F71DD"/>
    <w:rsid w:val="009F73BE"/>
    <w:rsid w:val="009F73DD"/>
    <w:rsid w:val="009F75C3"/>
    <w:rsid w:val="009F7661"/>
    <w:rsid w:val="009F769B"/>
    <w:rsid w:val="009F7710"/>
    <w:rsid w:val="009F7780"/>
    <w:rsid w:val="009F7934"/>
    <w:rsid w:val="009F7A9B"/>
    <w:rsid w:val="009F7B4A"/>
    <w:rsid w:val="009F7CEB"/>
    <w:rsid w:val="009F7ECE"/>
    <w:rsid w:val="009F7EE1"/>
    <w:rsid w:val="009F7F26"/>
    <w:rsid w:val="00A00084"/>
    <w:rsid w:val="00A009E8"/>
    <w:rsid w:val="00A00A0C"/>
    <w:rsid w:val="00A00F47"/>
    <w:rsid w:val="00A01341"/>
    <w:rsid w:val="00A0135E"/>
    <w:rsid w:val="00A0147B"/>
    <w:rsid w:val="00A016C1"/>
    <w:rsid w:val="00A0174E"/>
    <w:rsid w:val="00A01BBB"/>
    <w:rsid w:val="00A01CA4"/>
    <w:rsid w:val="00A01EBF"/>
    <w:rsid w:val="00A021B7"/>
    <w:rsid w:val="00A021EC"/>
    <w:rsid w:val="00A02279"/>
    <w:rsid w:val="00A0239A"/>
    <w:rsid w:val="00A0251A"/>
    <w:rsid w:val="00A02537"/>
    <w:rsid w:val="00A02638"/>
    <w:rsid w:val="00A026E7"/>
    <w:rsid w:val="00A02C47"/>
    <w:rsid w:val="00A02FE1"/>
    <w:rsid w:val="00A0303B"/>
    <w:rsid w:val="00A03140"/>
    <w:rsid w:val="00A03212"/>
    <w:rsid w:val="00A032D9"/>
    <w:rsid w:val="00A0343E"/>
    <w:rsid w:val="00A03518"/>
    <w:rsid w:val="00A0368D"/>
    <w:rsid w:val="00A03890"/>
    <w:rsid w:val="00A03B92"/>
    <w:rsid w:val="00A03DF2"/>
    <w:rsid w:val="00A03F19"/>
    <w:rsid w:val="00A04119"/>
    <w:rsid w:val="00A04180"/>
    <w:rsid w:val="00A043C6"/>
    <w:rsid w:val="00A043F3"/>
    <w:rsid w:val="00A04552"/>
    <w:rsid w:val="00A045C3"/>
    <w:rsid w:val="00A0470A"/>
    <w:rsid w:val="00A04A68"/>
    <w:rsid w:val="00A04CC9"/>
    <w:rsid w:val="00A04D62"/>
    <w:rsid w:val="00A04E53"/>
    <w:rsid w:val="00A04EC2"/>
    <w:rsid w:val="00A04ED6"/>
    <w:rsid w:val="00A04EF1"/>
    <w:rsid w:val="00A04F9B"/>
    <w:rsid w:val="00A050CD"/>
    <w:rsid w:val="00A05180"/>
    <w:rsid w:val="00A052FE"/>
    <w:rsid w:val="00A0573C"/>
    <w:rsid w:val="00A05863"/>
    <w:rsid w:val="00A05890"/>
    <w:rsid w:val="00A05D6D"/>
    <w:rsid w:val="00A05E5D"/>
    <w:rsid w:val="00A05FEB"/>
    <w:rsid w:val="00A062B8"/>
    <w:rsid w:val="00A063DB"/>
    <w:rsid w:val="00A065AF"/>
    <w:rsid w:val="00A06A12"/>
    <w:rsid w:val="00A06A71"/>
    <w:rsid w:val="00A06B2B"/>
    <w:rsid w:val="00A06C3B"/>
    <w:rsid w:val="00A06CAD"/>
    <w:rsid w:val="00A06F18"/>
    <w:rsid w:val="00A06F6E"/>
    <w:rsid w:val="00A07030"/>
    <w:rsid w:val="00A071E2"/>
    <w:rsid w:val="00A076EA"/>
    <w:rsid w:val="00A07778"/>
    <w:rsid w:val="00A077CC"/>
    <w:rsid w:val="00A077D0"/>
    <w:rsid w:val="00A07807"/>
    <w:rsid w:val="00A078D7"/>
    <w:rsid w:val="00A07929"/>
    <w:rsid w:val="00A07E16"/>
    <w:rsid w:val="00A07E62"/>
    <w:rsid w:val="00A07F96"/>
    <w:rsid w:val="00A1032C"/>
    <w:rsid w:val="00A104E6"/>
    <w:rsid w:val="00A1052A"/>
    <w:rsid w:val="00A10549"/>
    <w:rsid w:val="00A10D65"/>
    <w:rsid w:val="00A10EA2"/>
    <w:rsid w:val="00A110D0"/>
    <w:rsid w:val="00A110DE"/>
    <w:rsid w:val="00A111C1"/>
    <w:rsid w:val="00A113C6"/>
    <w:rsid w:val="00A116C5"/>
    <w:rsid w:val="00A116D4"/>
    <w:rsid w:val="00A11787"/>
    <w:rsid w:val="00A119DC"/>
    <w:rsid w:val="00A11DBB"/>
    <w:rsid w:val="00A11F39"/>
    <w:rsid w:val="00A12216"/>
    <w:rsid w:val="00A12313"/>
    <w:rsid w:val="00A12A4C"/>
    <w:rsid w:val="00A12C25"/>
    <w:rsid w:val="00A12D19"/>
    <w:rsid w:val="00A12DF2"/>
    <w:rsid w:val="00A12F20"/>
    <w:rsid w:val="00A12FB2"/>
    <w:rsid w:val="00A1334D"/>
    <w:rsid w:val="00A13976"/>
    <w:rsid w:val="00A13C45"/>
    <w:rsid w:val="00A13F1C"/>
    <w:rsid w:val="00A140A6"/>
    <w:rsid w:val="00A144B0"/>
    <w:rsid w:val="00A149BC"/>
    <w:rsid w:val="00A14D25"/>
    <w:rsid w:val="00A14D4D"/>
    <w:rsid w:val="00A1506F"/>
    <w:rsid w:val="00A152BC"/>
    <w:rsid w:val="00A1539B"/>
    <w:rsid w:val="00A154FB"/>
    <w:rsid w:val="00A15625"/>
    <w:rsid w:val="00A156E5"/>
    <w:rsid w:val="00A158B6"/>
    <w:rsid w:val="00A158CF"/>
    <w:rsid w:val="00A15BA4"/>
    <w:rsid w:val="00A15D05"/>
    <w:rsid w:val="00A15F2C"/>
    <w:rsid w:val="00A15FEA"/>
    <w:rsid w:val="00A16083"/>
    <w:rsid w:val="00A1622A"/>
    <w:rsid w:val="00A16475"/>
    <w:rsid w:val="00A164CA"/>
    <w:rsid w:val="00A164E7"/>
    <w:rsid w:val="00A164F4"/>
    <w:rsid w:val="00A166D2"/>
    <w:rsid w:val="00A166FB"/>
    <w:rsid w:val="00A16865"/>
    <w:rsid w:val="00A16937"/>
    <w:rsid w:val="00A16A7F"/>
    <w:rsid w:val="00A16BA2"/>
    <w:rsid w:val="00A16C1E"/>
    <w:rsid w:val="00A1725D"/>
    <w:rsid w:val="00A1735C"/>
    <w:rsid w:val="00A174CE"/>
    <w:rsid w:val="00A1757C"/>
    <w:rsid w:val="00A1782E"/>
    <w:rsid w:val="00A179D7"/>
    <w:rsid w:val="00A17A0B"/>
    <w:rsid w:val="00A17A12"/>
    <w:rsid w:val="00A17C44"/>
    <w:rsid w:val="00A17DCA"/>
    <w:rsid w:val="00A201F0"/>
    <w:rsid w:val="00A2038E"/>
    <w:rsid w:val="00A203C3"/>
    <w:rsid w:val="00A2043B"/>
    <w:rsid w:val="00A204E0"/>
    <w:rsid w:val="00A2071A"/>
    <w:rsid w:val="00A2089C"/>
    <w:rsid w:val="00A20A2E"/>
    <w:rsid w:val="00A20DBF"/>
    <w:rsid w:val="00A20FBB"/>
    <w:rsid w:val="00A21221"/>
    <w:rsid w:val="00A21AA1"/>
    <w:rsid w:val="00A21C1E"/>
    <w:rsid w:val="00A21C40"/>
    <w:rsid w:val="00A21E64"/>
    <w:rsid w:val="00A22239"/>
    <w:rsid w:val="00A222ED"/>
    <w:rsid w:val="00A2263C"/>
    <w:rsid w:val="00A2273F"/>
    <w:rsid w:val="00A22792"/>
    <w:rsid w:val="00A23328"/>
    <w:rsid w:val="00A2332A"/>
    <w:rsid w:val="00A235E3"/>
    <w:rsid w:val="00A23640"/>
    <w:rsid w:val="00A2396C"/>
    <w:rsid w:val="00A23A8B"/>
    <w:rsid w:val="00A23BE7"/>
    <w:rsid w:val="00A23E6E"/>
    <w:rsid w:val="00A23E95"/>
    <w:rsid w:val="00A23EDB"/>
    <w:rsid w:val="00A2429F"/>
    <w:rsid w:val="00A24603"/>
    <w:rsid w:val="00A24615"/>
    <w:rsid w:val="00A247B9"/>
    <w:rsid w:val="00A24977"/>
    <w:rsid w:val="00A25412"/>
    <w:rsid w:val="00A25420"/>
    <w:rsid w:val="00A25495"/>
    <w:rsid w:val="00A2555B"/>
    <w:rsid w:val="00A25703"/>
    <w:rsid w:val="00A25866"/>
    <w:rsid w:val="00A25A8C"/>
    <w:rsid w:val="00A25AD5"/>
    <w:rsid w:val="00A25E09"/>
    <w:rsid w:val="00A25FB2"/>
    <w:rsid w:val="00A26056"/>
    <w:rsid w:val="00A264F8"/>
    <w:rsid w:val="00A26661"/>
    <w:rsid w:val="00A266D7"/>
    <w:rsid w:val="00A26794"/>
    <w:rsid w:val="00A26862"/>
    <w:rsid w:val="00A26BEB"/>
    <w:rsid w:val="00A26D1E"/>
    <w:rsid w:val="00A26E01"/>
    <w:rsid w:val="00A27201"/>
    <w:rsid w:val="00A274E5"/>
    <w:rsid w:val="00A276A9"/>
    <w:rsid w:val="00A27908"/>
    <w:rsid w:val="00A27997"/>
    <w:rsid w:val="00A27EF3"/>
    <w:rsid w:val="00A300F2"/>
    <w:rsid w:val="00A30320"/>
    <w:rsid w:val="00A303BF"/>
    <w:rsid w:val="00A30491"/>
    <w:rsid w:val="00A305DD"/>
    <w:rsid w:val="00A305E6"/>
    <w:rsid w:val="00A30695"/>
    <w:rsid w:val="00A3086B"/>
    <w:rsid w:val="00A308C1"/>
    <w:rsid w:val="00A309C5"/>
    <w:rsid w:val="00A30A3B"/>
    <w:rsid w:val="00A30C09"/>
    <w:rsid w:val="00A30E7A"/>
    <w:rsid w:val="00A30EA6"/>
    <w:rsid w:val="00A31247"/>
    <w:rsid w:val="00A313D2"/>
    <w:rsid w:val="00A313D4"/>
    <w:rsid w:val="00A3141E"/>
    <w:rsid w:val="00A31609"/>
    <w:rsid w:val="00A3162D"/>
    <w:rsid w:val="00A3168D"/>
    <w:rsid w:val="00A3170E"/>
    <w:rsid w:val="00A31CEF"/>
    <w:rsid w:val="00A31E8B"/>
    <w:rsid w:val="00A31EB8"/>
    <w:rsid w:val="00A325D2"/>
    <w:rsid w:val="00A329BC"/>
    <w:rsid w:val="00A32C6B"/>
    <w:rsid w:val="00A32C83"/>
    <w:rsid w:val="00A32F78"/>
    <w:rsid w:val="00A330A6"/>
    <w:rsid w:val="00A3318A"/>
    <w:rsid w:val="00A3325A"/>
    <w:rsid w:val="00A334E6"/>
    <w:rsid w:val="00A335B5"/>
    <w:rsid w:val="00A3381A"/>
    <w:rsid w:val="00A33C4E"/>
    <w:rsid w:val="00A33CE0"/>
    <w:rsid w:val="00A33D4A"/>
    <w:rsid w:val="00A33EB0"/>
    <w:rsid w:val="00A34503"/>
    <w:rsid w:val="00A346B6"/>
    <w:rsid w:val="00A34706"/>
    <w:rsid w:val="00A34853"/>
    <w:rsid w:val="00A348DC"/>
    <w:rsid w:val="00A34AC9"/>
    <w:rsid w:val="00A34B4D"/>
    <w:rsid w:val="00A34B9F"/>
    <w:rsid w:val="00A34BDC"/>
    <w:rsid w:val="00A34D1B"/>
    <w:rsid w:val="00A34D6B"/>
    <w:rsid w:val="00A3532C"/>
    <w:rsid w:val="00A3557A"/>
    <w:rsid w:val="00A35603"/>
    <w:rsid w:val="00A3586D"/>
    <w:rsid w:val="00A35AD7"/>
    <w:rsid w:val="00A35D0E"/>
    <w:rsid w:val="00A35D62"/>
    <w:rsid w:val="00A3663D"/>
    <w:rsid w:val="00A3681F"/>
    <w:rsid w:val="00A368CA"/>
    <w:rsid w:val="00A36973"/>
    <w:rsid w:val="00A3699C"/>
    <w:rsid w:val="00A36CBE"/>
    <w:rsid w:val="00A37111"/>
    <w:rsid w:val="00A37550"/>
    <w:rsid w:val="00A37788"/>
    <w:rsid w:val="00A3782A"/>
    <w:rsid w:val="00A37A63"/>
    <w:rsid w:val="00A37B50"/>
    <w:rsid w:val="00A37C70"/>
    <w:rsid w:val="00A37CDB"/>
    <w:rsid w:val="00A37DF2"/>
    <w:rsid w:val="00A40269"/>
    <w:rsid w:val="00A4040D"/>
    <w:rsid w:val="00A40419"/>
    <w:rsid w:val="00A404AF"/>
    <w:rsid w:val="00A405C6"/>
    <w:rsid w:val="00A405FE"/>
    <w:rsid w:val="00A40789"/>
    <w:rsid w:val="00A40802"/>
    <w:rsid w:val="00A40957"/>
    <w:rsid w:val="00A40A3E"/>
    <w:rsid w:val="00A40B0B"/>
    <w:rsid w:val="00A40B7E"/>
    <w:rsid w:val="00A40DA9"/>
    <w:rsid w:val="00A40DFD"/>
    <w:rsid w:val="00A41005"/>
    <w:rsid w:val="00A41153"/>
    <w:rsid w:val="00A411C3"/>
    <w:rsid w:val="00A412AE"/>
    <w:rsid w:val="00A41396"/>
    <w:rsid w:val="00A41867"/>
    <w:rsid w:val="00A41C05"/>
    <w:rsid w:val="00A41D7F"/>
    <w:rsid w:val="00A41F5C"/>
    <w:rsid w:val="00A42113"/>
    <w:rsid w:val="00A42268"/>
    <w:rsid w:val="00A424D1"/>
    <w:rsid w:val="00A425F4"/>
    <w:rsid w:val="00A42735"/>
    <w:rsid w:val="00A428B4"/>
    <w:rsid w:val="00A42911"/>
    <w:rsid w:val="00A42ABC"/>
    <w:rsid w:val="00A42D67"/>
    <w:rsid w:val="00A42F63"/>
    <w:rsid w:val="00A431B1"/>
    <w:rsid w:val="00A43558"/>
    <w:rsid w:val="00A435B7"/>
    <w:rsid w:val="00A4378D"/>
    <w:rsid w:val="00A437D5"/>
    <w:rsid w:val="00A43808"/>
    <w:rsid w:val="00A43A31"/>
    <w:rsid w:val="00A43B6D"/>
    <w:rsid w:val="00A43BAF"/>
    <w:rsid w:val="00A43CA2"/>
    <w:rsid w:val="00A440D5"/>
    <w:rsid w:val="00A44362"/>
    <w:rsid w:val="00A44706"/>
    <w:rsid w:val="00A44A62"/>
    <w:rsid w:val="00A44C15"/>
    <w:rsid w:val="00A44CAB"/>
    <w:rsid w:val="00A44CFB"/>
    <w:rsid w:val="00A44D53"/>
    <w:rsid w:val="00A44E75"/>
    <w:rsid w:val="00A44FE8"/>
    <w:rsid w:val="00A451DA"/>
    <w:rsid w:val="00A4539C"/>
    <w:rsid w:val="00A45507"/>
    <w:rsid w:val="00A455FC"/>
    <w:rsid w:val="00A45668"/>
    <w:rsid w:val="00A45707"/>
    <w:rsid w:val="00A4570F"/>
    <w:rsid w:val="00A45A39"/>
    <w:rsid w:val="00A45A5F"/>
    <w:rsid w:val="00A45DA4"/>
    <w:rsid w:val="00A45F30"/>
    <w:rsid w:val="00A45F46"/>
    <w:rsid w:val="00A46097"/>
    <w:rsid w:val="00A46136"/>
    <w:rsid w:val="00A46261"/>
    <w:rsid w:val="00A46727"/>
    <w:rsid w:val="00A468F7"/>
    <w:rsid w:val="00A46A3B"/>
    <w:rsid w:val="00A46A67"/>
    <w:rsid w:val="00A46BBF"/>
    <w:rsid w:val="00A46CB5"/>
    <w:rsid w:val="00A46D01"/>
    <w:rsid w:val="00A46E54"/>
    <w:rsid w:val="00A46EED"/>
    <w:rsid w:val="00A47250"/>
    <w:rsid w:val="00A47445"/>
    <w:rsid w:val="00A47636"/>
    <w:rsid w:val="00A47789"/>
    <w:rsid w:val="00A4790F"/>
    <w:rsid w:val="00A47B4F"/>
    <w:rsid w:val="00A47C1B"/>
    <w:rsid w:val="00A47CCA"/>
    <w:rsid w:val="00A47D97"/>
    <w:rsid w:val="00A47F45"/>
    <w:rsid w:val="00A47FA9"/>
    <w:rsid w:val="00A500F6"/>
    <w:rsid w:val="00A50140"/>
    <w:rsid w:val="00A50221"/>
    <w:rsid w:val="00A50480"/>
    <w:rsid w:val="00A5056E"/>
    <w:rsid w:val="00A50738"/>
    <w:rsid w:val="00A507A5"/>
    <w:rsid w:val="00A50DEE"/>
    <w:rsid w:val="00A5195B"/>
    <w:rsid w:val="00A5197E"/>
    <w:rsid w:val="00A51993"/>
    <w:rsid w:val="00A519A3"/>
    <w:rsid w:val="00A51AF2"/>
    <w:rsid w:val="00A51B9C"/>
    <w:rsid w:val="00A51C4A"/>
    <w:rsid w:val="00A51CE9"/>
    <w:rsid w:val="00A51DF7"/>
    <w:rsid w:val="00A52015"/>
    <w:rsid w:val="00A521B1"/>
    <w:rsid w:val="00A521C0"/>
    <w:rsid w:val="00A5255B"/>
    <w:rsid w:val="00A52596"/>
    <w:rsid w:val="00A52783"/>
    <w:rsid w:val="00A528A1"/>
    <w:rsid w:val="00A528BD"/>
    <w:rsid w:val="00A52B07"/>
    <w:rsid w:val="00A52F93"/>
    <w:rsid w:val="00A53104"/>
    <w:rsid w:val="00A531F8"/>
    <w:rsid w:val="00A53620"/>
    <w:rsid w:val="00A53974"/>
    <w:rsid w:val="00A53D04"/>
    <w:rsid w:val="00A542D8"/>
    <w:rsid w:val="00A546F0"/>
    <w:rsid w:val="00A548B4"/>
    <w:rsid w:val="00A54A95"/>
    <w:rsid w:val="00A54C37"/>
    <w:rsid w:val="00A54C87"/>
    <w:rsid w:val="00A55160"/>
    <w:rsid w:val="00A551CC"/>
    <w:rsid w:val="00A551EA"/>
    <w:rsid w:val="00A55293"/>
    <w:rsid w:val="00A55479"/>
    <w:rsid w:val="00A556C2"/>
    <w:rsid w:val="00A558D3"/>
    <w:rsid w:val="00A55C4C"/>
    <w:rsid w:val="00A55ECF"/>
    <w:rsid w:val="00A55F5C"/>
    <w:rsid w:val="00A55F82"/>
    <w:rsid w:val="00A55FB5"/>
    <w:rsid w:val="00A5603D"/>
    <w:rsid w:val="00A56243"/>
    <w:rsid w:val="00A564B5"/>
    <w:rsid w:val="00A5653F"/>
    <w:rsid w:val="00A5655D"/>
    <w:rsid w:val="00A56653"/>
    <w:rsid w:val="00A56865"/>
    <w:rsid w:val="00A56AF5"/>
    <w:rsid w:val="00A56C1C"/>
    <w:rsid w:val="00A56D82"/>
    <w:rsid w:val="00A56DBC"/>
    <w:rsid w:val="00A56DEE"/>
    <w:rsid w:val="00A573BC"/>
    <w:rsid w:val="00A5769B"/>
    <w:rsid w:val="00A57AD0"/>
    <w:rsid w:val="00A57D4E"/>
    <w:rsid w:val="00A57D9D"/>
    <w:rsid w:val="00A57EF8"/>
    <w:rsid w:val="00A60289"/>
    <w:rsid w:val="00A604E2"/>
    <w:rsid w:val="00A605C5"/>
    <w:rsid w:val="00A607DF"/>
    <w:rsid w:val="00A60999"/>
    <w:rsid w:val="00A609CA"/>
    <w:rsid w:val="00A60B5E"/>
    <w:rsid w:val="00A610D7"/>
    <w:rsid w:val="00A612EE"/>
    <w:rsid w:val="00A6159C"/>
    <w:rsid w:val="00A6162F"/>
    <w:rsid w:val="00A61988"/>
    <w:rsid w:val="00A61B32"/>
    <w:rsid w:val="00A61DA8"/>
    <w:rsid w:val="00A6201B"/>
    <w:rsid w:val="00A621DB"/>
    <w:rsid w:val="00A6220E"/>
    <w:rsid w:val="00A6249A"/>
    <w:rsid w:val="00A624F9"/>
    <w:rsid w:val="00A6267E"/>
    <w:rsid w:val="00A626D8"/>
    <w:rsid w:val="00A62A66"/>
    <w:rsid w:val="00A62BB9"/>
    <w:rsid w:val="00A62CAE"/>
    <w:rsid w:val="00A63248"/>
    <w:rsid w:val="00A63254"/>
    <w:rsid w:val="00A632B3"/>
    <w:rsid w:val="00A63313"/>
    <w:rsid w:val="00A6339B"/>
    <w:rsid w:val="00A6349B"/>
    <w:rsid w:val="00A634B6"/>
    <w:rsid w:val="00A63707"/>
    <w:rsid w:val="00A63905"/>
    <w:rsid w:val="00A63B9E"/>
    <w:rsid w:val="00A63BC1"/>
    <w:rsid w:val="00A642D1"/>
    <w:rsid w:val="00A645A5"/>
    <w:rsid w:val="00A645FB"/>
    <w:rsid w:val="00A64D3A"/>
    <w:rsid w:val="00A64DB1"/>
    <w:rsid w:val="00A64F86"/>
    <w:rsid w:val="00A65032"/>
    <w:rsid w:val="00A65190"/>
    <w:rsid w:val="00A652EC"/>
    <w:rsid w:val="00A65422"/>
    <w:rsid w:val="00A65542"/>
    <w:rsid w:val="00A6561F"/>
    <w:rsid w:val="00A65636"/>
    <w:rsid w:val="00A6563F"/>
    <w:rsid w:val="00A657EC"/>
    <w:rsid w:val="00A65833"/>
    <w:rsid w:val="00A659CC"/>
    <w:rsid w:val="00A65EE9"/>
    <w:rsid w:val="00A6606C"/>
    <w:rsid w:val="00A663CB"/>
    <w:rsid w:val="00A666A0"/>
    <w:rsid w:val="00A66A57"/>
    <w:rsid w:val="00A66B06"/>
    <w:rsid w:val="00A66D27"/>
    <w:rsid w:val="00A66DF5"/>
    <w:rsid w:val="00A6745C"/>
    <w:rsid w:val="00A67460"/>
    <w:rsid w:val="00A6777E"/>
    <w:rsid w:val="00A67A4B"/>
    <w:rsid w:val="00A67B5E"/>
    <w:rsid w:val="00A67BE9"/>
    <w:rsid w:val="00A67D99"/>
    <w:rsid w:val="00A67DC6"/>
    <w:rsid w:val="00A67F0F"/>
    <w:rsid w:val="00A704BF"/>
    <w:rsid w:val="00A705D8"/>
    <w:rsid w:val="00A70814"/>
    <w:rsid w:val="00A70E2F"/>
    <w:rsid w:val="00A70E4B"/>
    <w:rsid w:val="00A70FE5"/>
    <w:rsid w:val="00A710A8"/>
    <w:rsid w:val="00A711A2"/>
    <w:rsid w:val="00A711AF"/>
    <w:rsid w:val="00A71305"/>
    <w:rsid w:val="00A713E8"/>
    <w:rsid w:val="00A715A8"/>
    <w:rsid w:val="00A71715"/>
    <w:rsid w:val="00A7174E"/>
    <w:rsid w:val="00A71AE9"/>
    <w:rsid w:val="00A71B6A"/>
    <w:rsid w:val="00A71BB0"/>
    <w:rsid w:val="00A71D29"/>
    <w:rsid w:val="00A71D2E"/>
    <w:rsid w:val="00A71D99"/>
    <w:rsid w:val="00A71E6F"/>
    <w:rsid w:val="00A71F73"/>
    <w:rsid w:val="00A72006"/>
    <w:rsid w:val="00A72049"/>
    <w:rsid w:val="00A724A2"/>
    <w:rsid w:val="00A729C7"/>
    <w:rsid w:val="00A729F4"/>
    <w:rsid w:val="00A72A39"/>
    <w:rsid w:val="00A72ABA"/>
    <w:rsid w:val="00A72C2E"/>
    <w:rsid w:val="00A72D22"/>
    <w:rsid w:val="00A73230"/>
    <w:rsid w:val="00A73233"/>
    <w:rsid w:val="00A732EF"/>
    <w:rsid w:val="00A733E5"/>
    <w:rsid w:val="00A73499"/>
    <w:rsid w:val="00A735BF"/>
    <w:rsid w:val="00A735D3"/>
    <w:rsid w:val="00A737F5"/>
    <w:rsid w:val="00A73A55"/>
    <w:rsid w:val="00A73ACA"/>
    <w:rsid w:val="00A740A0"/>
    <w:rsid w:val="00A74405"/>
    <w:rsid w:val="00A7459C"/>
    <w:rsid w:val="00A74693"/>
    <w:rsid w:val="00A7493A"/>
    <w:rsid w:val="00A74B19"/>
    <w:rsid w:val="00A74B3A"/>
    <w:rsid w:val="00A74F21"/>
    <w:rsid w:val="00A74F49"/>
    <w:rsid w:val="00A74F82"/>
    <w:rsid w:val="00A74FBA"/>
    <w:rsid w:val="00A7502C"/>
    <w:rsid w:val="00A7520E"/>
    <w:rsid w:val="00A753B3"/>
    <w:rsid w:val="00A7541D"/>
    <w:rsid w:val="00A75484"/>
    <w:rsid w:val="00A75858"/>
    <w:rsid w:val="00A75965"/>
    <w:rsid w:val="00A7597F"/>
    <w:rsid w:val="00A75FFE"/>
    <w:rsid w:val="00A760C5"/>
    <w:rsid w:val="00A76111"/>
    <w:rsid w:val="00A761BB"/>
    <w:rsid w:val="00A761ED"/>
    <w:rsid w:val="00A76C3B"/>
    <w:rsid w:val="00A76C4F"/>
    <w:rsid w:val="00A76D96"/>
    <w:rsid w:val="00A76F90"/>
    <w:rsid w:val="00A76FA5"/>
    <w:rsid w:val="00A7725D"/>
    <w:rsid w:val="00A77312"/>
    <w:rsid w:val="00A77555"/>
    <w:rsid w:val="00A7781B"/>
    <w:rsid w:val="00A77AB6"/>
    <w:rsid w:val="00A77C91"/>
    <w:rsid w:val="00A77D6D"/>
    <w:rsid w:val="00A77EC7"/>
    <w:rsid w:val="00A77F3E"/>
    <w:rsid w:val="00A80263"/>
    <w:rsid w:val="00A80287"/>
    <w:rsid w:val="00A803CB"/>
    <w:rsid w:val="00A8083D"/>
    <w:rsid w:val="00A80894"/>
    <w:rsid w:val="00A80927"/>
    <w:rsid w:val="00A80D00"/>
    <w:rsid w:val="00A80D46"/>
    <w:rsid w:val="00A80DD2"/>
    <w:rsid w:val="00A80F4C"/>
    <w:rsid w:val="00A80FBF"/>
    <w:rsid w:val="00A810CB"/>
    <w:rsid w:val="00A813B8"/>
    <w:rsid w:val="00A813DC"/>
    <w:rsid w:val="00A816A6"/>
    <w:rsid w:val="00A817E8"/>
    <w:rsid w:val="00A818C8"/>
    <w:rsid w:val="00A81AD3"/>
    <w:rsid w:val="00A81C5B"/>
    <w:rsid w:val="00A81F58"/>
    <w:rsid w:val="00A822B0"/>
    <w:rsid w:val="00A82343"/>
    <w:rsid w:val="00A824AF"/>
    <w:rsid w:val="00A825EF"/>
    <w:rsid w:val="00A82C39"/>
    <w:rsid w:val="00A83274"/>
    <w:rsid w:val="00A836B1"/>
    <w:rsid w:val="00A83C23"/>
    <w:rsid w:val="00A83C86"/>
    <w:rsid w:val="00A83F99"/>
    <w:rsid w:val="00A8417B"/>
    <w:rsid w:val="00A84377"/>
    <w:rsid w:val="00A843E6"/>
    <w:rsid w:val="00A8442D"/>
    <w:rsid w:val="00A84476"/>
    <w:rsid w:val="00A844E0"/>
    <w:rsid w:val="00A845FC"/>
    <w:rsid w:val="00A8463E"/>
    <w:rsid w:val="00A84879"/>
    <w:rsid w:val="00A8488F"/>
    <w:rsid w:val="00A8497D"/>
    <w:rsid w:val="00A84A20"/>
    <w:rsid w:val="00A84C34"/>
    <w:rsid w:val="00A84E43"/>
    <w:rsid w:val="00A85019"/>
    <w:rsid w:val="00A85020"/>
    <w:rsid w:val="00A8504A"/>
    <w:rsid w:val="00A850F9"/>
    <w:rsid w:val="00A852E1"/>
    <w:rsid w:val="00A8531B"/>
    <w:rsid w:val="00A8543B"/>
    <w:rsid w:val="00A854B5"/>
    <w:rsid w:val="00A85822"/>
    <w:rsid w:val="00A858F7"/>
    <w:rsid w:val="00A85B8B"/>
    <w:rsid w:val="00A85D55"/>
    <w:rsid w:val="00A85DCF"/>
    <w:rsid w:val="00A85E8F"/>
    <w:rsid w:val="00A85FBE"/>
    <w:rsid w:val="00A86012"/>
    <w:rsid w:val="00A86063"/>
    <w:rsid w:val="00A861B0"/>
    <w:rsid w:val="00A86246"/>
    <w:rsid w:val="00A86282"/>
    <w:rsid w:val="00A8629F"/>
    <w:rsid w:val="00A863A8"/>
    <w:rsid w:val="00A865BD"/>
    <w:rsid w:val="00A868E5"/>
    <w:rsid w:val="00A8698B"/>
    <w:rsid w:val="00A86C3B"/>
    <w:rsid w:val="00A86D11"/>
    <w:rsid w:val="00A8721A"/>
    <w:rsid w:val="00A87269"/>
    <w:rsid w:val="00A87586"/>
    <w:rsid w:val="00A87724"/>
    <w:rsid w:val="00A8798F"/>
    <w:rsid w:val="00A87994"/>
    <w:rsid w:val="00A879EC"/>
    <w:rsid w:val="00A87D47"/>
    <w:rsid w:val="00A87E7E"/>
    <w:rsid w:val="00A87E8B"/>
    <w:rsid w:val="00A87EEE"/>
    <w:rsid w:val="00A87F57"/>
    <w:rsid w:val="00A900AF"/>
    <w:rsid w:val="00A90101"/>
    <w:rsid w:val="00A90885"/>
    <w:rsid w:val="00A90B71"/>
    <w:rsid w:val="00A90BEA"/>
    <w:rsid w:val="00A90C09"/>
    <w:rsid w:val="00A90CCB"/>
    <w:rsid w:val="00A90DB1"/>
    <w:rsid w:val="00A912AC"/>
    <w:rsid w:val="00A91637"/>
    <w:rsid w:val="00A91655"/>
    <w:rsid w:val="00A91B61"/>
    <w:rsid w:val="00A91BCA"/>
    <w:rsid w:val="00A91E49"/>
    <w:rsid w:val="00A91E55"/>
    <w:rsid w:val="00A91F96"/>
    <w:rsid w:val="00A9200B"/>
    <w:rsid w:val="00A9204B"/>
    <w:rsid w:val="00A92089"/>
    <w:rsid w:val="00A9217A"/>
    <w:rsid w:val="00A9255A"/>
    <w:rsid w:val="00A9278C"/>
    <w:rsid w:val="00A927EB"/>
    <w:rsid w:val="00A92BC4"/>
    <w:rsid w:val="00A92C1C"/>
    <w:rsid w:val="00A93138"/>
    <w:rsid w:val="00A93235"/>
    <w:rsid w:val="00A93366"/>
    <w:rsid w:val="00A93578"/>
    <w:rsid w:val="00A935B1"/>
    <w:rsid w:val="00A93AE2"/>
    <w:rsid w:val="00A93B73"/>
    <w:rsid w:val="00A93DE1"/>
    <w:rsid w:val="00A93E1C"/>
    <w:rsid w:val="00A941C6"/>
    <w:rsid w:val="00A94228"/>
    <w:rsid w:val="00A9431F"/>
    <w:rsid w:val="00A94426"/>
    <w:rsid w:val="00A94606"/>
    <w:rsid w:val="00A946E9"/>
    <w:rsid w:val="00A94786"/>
    <w:rsid w:val="00A94819"/>
    <w:rsid w:val="00A94B50"/>
    <w:rsid w:val="00A94CC7"/>
    <w:rsid w:val="00A94FAC"/>
    <w:rsid w:val="00A950F6"/>
    <w:rsid w:val="00A9518F"/>
    <w:rsid w:val="00A9519C"/>
    <w:rsid w:val="00A95762"/>
    <w:rsid w:val="00A95AEE"/>
    <w:rsid w:val="00A95B87"/>
    <w:rsid w:val="00A95D52"/>
    <w:rsid w:val="00A95FD5"/>
    <w:rsid w:val="00A960BF"/>
    <w:rsid w:val="00A962D7"/>
    <w:rsid w:val="00A96404"/>
    <w:rsid w:val="00A964A3"/>
    <w:rsid w:val="00A9662F"/>
    <w:rsid w:val="00A9676D"/>
    <w:rsid w:val="00A96B4F"/>
    <w:rsid w:val="00A96C82"/>
    <w:rsid w:val="00A96CC5"/>
    <w:rsid w:val="00A96D3F"/>
    <w:rsid w:val="00A96DB2"/>
    <w:rsid w:val="00A96E6A"/>
    <w:rsid w:val="00A96EB0"/>
    <w:rsid w:val="00A971C0"/>
    <w:rsid w:val="00A973E6"/>
    <w:rsid w:val="00A97474"/>
    <w:rsid w:val="00A976AD"/>
    <w:rsid w:val="00A977C3"/>
    <w:rsid w:val="00A9798D"/>
    <w:rsid w:val="00A97BEC"/>
    <w:rsid w:val="00A97CA8"/>
    <w:rsid w:val="00A97DCF"/>
    <w:rsid w:val="00A97EF8"/>
    <w:rsid w:val="00A97F56"/>
    <w:rsid w:val="00AA049C"/>
    <w:rsid w:val="00AA05D6"/>
    <w:rsid w:val="00AA0625"/>
    <w:rsid w:val="00AA067A"/>
    <w:rsid w:val="00AA0722"/>
    <w:rsid w:val="00AA0809"/>
    <w:rsid w:val="00AA0968"/>
    <w:rsid w:val="00AA0980"/>
    <w:rsid w:val="00AA0C11"/>
    <w:rsid w:val="00AA0F49"/>
    <w:rsid w:val="00AA0F64"/>
    <w:rsid w:val="00AA0FD9"/>
    <w:rsid w:val="00AA12DA"/>
    <w:rsid w:val="00AA1346"/>
    <w:rsid w:val="00AA15AF"/>
    <w:rsid w:val="00AA167A"/>
    <w:rsid w:val="00AA1D11"/>
    <w:rsid w:val="00AA1EA9"/>
    <w:rsid w:val="00AA2129"/>
    <w:rsid w:val="00AA219C"/>
    <w:rsid w:val="00AA2236"/>
    <w:rsid w:val="00AA24A9"/>
    <w:rsid w:val="00AA2586"/>
    <w:rsid w:val="00AA272D"/>
    <w:rsid w:val="00AA2774"/>
    <w:rsid w:val="00AA27F4"/>
    <w:rsid w:val="00AA2BFF"/>
    <w:rsid w:val="00AA2D32"/>
    <w:rsid w:val="00AA2D3E"/>
    <w:rsid w:val="00AA2FF6"/>
    <w:rsid w:val="00AA3195"/>
    <w:rsid w:val="00AA34EA"/>
    <w:rsid w:val="00AA34FC"/>
    <w:rsid w:val="00AA375D"/>
    <w:rsid w:val="00AA38D9"/>
    <w:rsid w:val="00AA3934"/>
    <w:rsid w:val="00AA3A52"/>
    <w:rsid w:val="00AA3AB3"/>
    <w:rsid w:val="00AA3E0C"/>
    <w:rsid w:val="00AA3E5E"/>
    <w:rsid w:val="00AA40FD"/>
    <w:rsid w:val="00AA476D"/>
    <w:rsid w:val="00AA489C"/>
    <w:rsid w:val="00AA4ACC"/>
    <w:rsid w:val="00AA4C00"/>
    <w:rsid w:val="00AA4E22"/>
    <w:rsid w:val="00AA5281"/>
    <w:rsid w:val="00AA544C"/>
    <w:rsid w:val="00AA554B"/>
    <w:rsid w:val="00AA56BD"/>
    <w:rsid w:val="00AA5708"/>
    <w:rsid w:val="00AA5B67"/>
    <w:rsid w:val="00AA5B9A"/>
    <w:rsid w:val="00AA5E2D"/>
    <w:rsid w:val="00AA5F42"/>
    <w:rsid w:val="00AA5F84"/>
    <w:rsid w:val="00AA5FFF"/>
    <w:rsid w:val="00AA632C"/>
    <w:rsid w:val="00AA656C"/>
    <w:rsid w:val="00AA6720"/>
    <w:rsid w:val="00AA67F1"/>
    <w:rsid w:val="00AA6832"/>
    <w:rsid w:val="00AA6A55"/>
    <w:rsid w:val="00AA6AD7"/>
    <w:rsid w:val="00AA6D36"/>
    <w:rsid w:val="00AA6DFB"/>
    <w:rsid w:val="00AA6F01"/>
    <w:rsid w:val="00AA702B"/>
    <w:rsid w:val="00AA70B2"/>
    <w:rsid w:val="00AA725A"/>
    <w:rsid w:val="00AA728A"/>
    <w:rsid w:val="00AA764B"/>
    <w:rsid w:val="00AA7B98"/>
    <w:rsid w:val="00AA7CDC"/>
    <w:rsid w:val="00AB0248"/>
    <w:rsid w:val="00AB02E2"/>
    <w:rsid w:val="00AB061C"/>
    <w:rsid w:val="00AB0670"/>
    <w:rsid w:val="00AB06C8"/>
    <w:rsid w:val="00AB083D"/>
    <w:rsid w:val="00AB09A5"/>
    <w:rsid w:val="00AB0A99"/>
    <w:rsid w:val="00AB0DB4"/>
    <w:rsid w:val="00AB0DDF"/>
    <w:rsid w:val="00AB10B5"/>
    <w:rsid w:val="00AB11C6"/>
    <w:rsid w:val="00AB1404"/>
    <w:rsid w:val="00AB148C"/>
    <w:rsid w:val="00AB149B"/>
    <w:rsid w:val="00AB1541"/>
    <w:rsid w:val="00AB157D"/>
    <w:rsid w:val="00AB1778"/>
    <w:rsid w:val="00AB1A67"/>
    <w:rsid w:val="00AB1A98"/>
    <w:rsid w:val="00AB1ACB"/>
    <w:rsid w:val="00AB1CBC"/>
    <w:rsid w:val="00AB1D44"/>
    <w:rsid w:val="00AB23A0"/>
    <w:rsid w:val="00AB2586"/>
    <w:rsid w:val="00AB27BA"/>
    <w:rsid w:val="00AB2932"/>
    <w:rsid w:val="00AB2AED"/>
    <w:rsid w:val="00AB2CBE"/>
    <w:rsid w:val="00AB2EE4"/>
    <w:rsid w:val="00AB300E"/>
    <w:rsid w:val="00AB3093"/>
    <w:rsid w:val="00AB321E"/>
    <w:rsid w:val="00AB3396"/>
    <w:rsid w:val="00AB3453"/>
    <w:rsid w:val="00AB3520"/>
    <w:rsid w:val="00AB3580"/>
    <w:rsid w:val="00AB369E"/>
    <w:rsid w:val="00AB39D5"/>
    <w:rsid w:val="00AB39E7"/>
    <w:rsid w:val="00AB3C7D"/>
    <w:rsid w:val="00AB3C84"/>
    <w:rsid w:val="00AB3D0D"/>
    <w:rsid w:val="00AB401C"/>
    <w:rsid w:val="00AB4525"/>
    <w:rsid w:val="00AB4C28"/>
    <w:rsid w:val="00AB4D31"/>
    <w:rsid w:val="00AB4DF8"/>
    <w:rsid w:val="00AB4FF7"/>
    <w:rsid w:val="00AB5024"/>
    <w:rsid w:val="00AB50B5"/>
    <w:rsid w:val="00AB514D"/>
    <w:rsid w:val="00AB5338"/>
    <w:rsid w:val="00AB5941"/>
    <w:rsid w:val="00AB5D9B"/>
    <w:rsid w:val="00AB5DA6"/>
    <w:rsid w:val="00AB5E4E"/>
    <w:rsid w:val="00AB5F5A"/>
    <w:rsid w:val="00AB6167"/>
    <w:rsid w:val="00AB618E"/>
    <w:rsid w:val="00AB619F"/>
    <w:rsid w:val="00AB629A"/>
    <w:rsid w:val="00AB62A5"/>
    <w:rsid w:val="00AB6344"/>
    <w:rsid w:val="00AB6352"/>
    <w:rsid w:val="00AB6496"/>
    <w:rsid w:val="00AB64EB"/>
    <w:rsid w:val="00AB69D3"/>
    <w:rsid w:val="00AB6A91"/>
    <w:rsid w:val="00AB6B9E"/>
    <w:rsid w:val="00AB6DC3"/>
    <w:rsid w:val="00AB6DCA"/>
    <w:rsid w:val="00AB6E69"/>
    <w:rsid w:val="00AB6EAB"/>
    <w:rsid w:val="00AB70F1"/>
    <w:rsid w:val="00AB71BF"/>
    <w:rsid w:val="00AB72A4"/>
    <w:rsid w:val="00AB7F01"/>
    <w:rsid w:val="00AC0297"/>
    <w:rsid w:val="00AC02AA"/>
    <w:rsid w:val="00AC0578"/>
    <w:rsid w:val="00AC0826"/>
    <w:rsid w:val="00AC0934"/>
    <w:rsid w:val="00AC0972"/>
    <w:rsid w:val="00AC097E"/>
    <w:rsid w:val="00AC0BE8"/>
    <w:rsid w:val="00AC0D54"/>
    <w:rsid w:val="00AC105A"/>
    <w:rsid w:val="00AC117E"/>
    <w:rsid w:val="00AC1402"/>
    <w:rsid w:val="00AC1437"/>
    <w:rsid w:val="00AC155E"/>
    <w:rsid w:val="00AC179C"/>
    <w:rsid w:val="00AC17ED"/>
    <w:rsid w:val="00AC1879"/>
    <w:rsid w:val="00AC1D2F"/>
    <w:rsid w:val="00AC1DAE"/>
    <w:rsid w:val="00AC1DE7"/>
    <w:rsid w:val="00AC2007"/>
    <w:rsid w:val="00AC2338"/>
    <w:rsid w:val="00AC2483"/>
    <w:rsid w:val="00AC2688"/>
    <w:rsid w:val="00AC268E"/>
    <w:rsid w:val="00AC28DA"/>
    <w:rsid w:val="00AC2C07"/>
    <w:rsid w:val="00AC2C12"/>
    <w:rsid w:val="00AC2CE0"/>
    <w:rsid w:val="00AC2E46"/>
    <w:rsid w:val="00AC2E50"/>
    <w:rsid w:val="00AC327E"/>
    <w:rsid w:val="00AC33B4"/>
    <w:rsid w:val="00AC3415"/>
    <w:rsid w:val="00AC36BE"/>
    <w:rsid w:val="00AC3706"/>
    <w:rsid w:val="00AC3720"/>
    <w:rsid w:val="00AC384A"/>
    <w:rsid w:val="00AC3D51"/>
    <w:rsid w:val="00AC3EA1"/>
    <w:rsid w:val="00AC4052"/>
    <w:rsid w:val="00AC4094"/>
    <w:rsid w:val="00AC41FA"/>
    <w:rsid w:val="00AC4A9B"/>
    <w:rsid w:val="00AC4AC1"/>
    <w:rsid w:val="00AC4DB5"/>
    <w:rsid w:val="00AC4EBC"/>
    <w:rsid w:val="00AC50CE"/>
    <w:rsid w:val="00AC52CD"/>
    <w:rsid w:val="00AC550E"/>
    <w:rsid w:val="00AC56B8"/>
    <w:rsid w:val="00AC5785"/>
    <w:rsid w:val="00AC5824"/>
    <w:rsid w:val="00AC5CB4"/>
    <w:rsid w:val="00AC5DD5"/>
    <w:rsid w:val="00AC60CA"/>
    <w:rsid w:val="00AC60E2"/>
    <w:rsid w:val="00AC60E7"/>
    <w:rsid w:val="00AC6457"/>
    <w:rsid w:val="00AC6757"/>
    <w:rsid w:val="00AC68B4"/>
    <w:rsid w:val="00AC68F6"/>
    <w:rsid w:val="00AC6C2D"/>
    <w:rsid w:val="00AC6C33"/>
    <w:rsid w:val="00AC6D8E"/>
    <w:rsid w:val="00AC6E59"/>
    <w:rsid w:val="00AC71AA"/>
    <w:rsid w:val="00AC71F3"/>
    <w:rsid w:val="00AC7329"/>
    <w:rsid w:val="00AC7799"/>
    <w:rsid w:val="00AC7B42"/>
    <w:rsid w:val="00AC7B8D"/>
    <w:rsid w:val="00AC7C15"/>
    <w:rsid w:val="00AC7D89"/>
    <w:rsid w:val="00AC7FD9"/>
    <w:rsid w:val="00AD0080"/>
    <w:rsid w:val="00AD0144"/>
    <w:rsid w:val="00AD04DC"/>
    <w:rsid w:val="00AD0541"/>
    <w:rsid w:val="00AD05C1"/>
    <w:rsid w:val="00AD05E8"/>
    <w:rsid w:val="00AD0AD7"/>
    <w:rsid w:val="00AD0BEC"/>
    <w:rsid w:val="00AD131A"/>
    <w:rsid w:val="00AD1541"/>
    <w:rsid w:val="00AD1719"/>
    <w:rsid w:val="00AD1806"/>
    <w:rsid w:val="00AD1812"/>
    <w:rsid w:val="00AD18E9"/>
    <w:rsid w:val="00AD1A47"/>
    <w:rsid w:val="00AD1AF7"/>
    <w:rsid w:val="00AD1BC6"/>
    <w:rsid w:val="00AD1C0C"/>
    <w:rsid w:val="00AD1CAC"/>
    <w:rsid w:val="00AD1EF6"/>
    <w:rsid w:val="00AD21A6"/>
    <w:rsid w:val="00AD21D3"/>
    <w:rsid w:val="00AD24BF"/>
    <w:rsid w:val="00AD2852"/>
    <w:rsid w:val="00AD2865"/>
    <w:rsid w:val="00AD2DB6"/>
    <w:rsid w:val="00AD2F18"/>
    <w:rsid w:val="00AD3175"/>
    <w:rsid w:val="00AD31A2"/>
    <w:rsid w:val="00AD31DD"/>
    <w:rsid w:val="00AD33A7"/>
    <w:rsid w:val="00AD37D7"/>
    <w:rsid w:val="00AD38BB"/>
    <w:rsid w:val="00AD38D6"/>
    <w:rsid w:val="00AD3A98"/>
    <w:rsid w:val="00AD3BB6"/>
    <w:rsid w:val="00AD4063"/>
    <w:rsid w:val="00AD45C7"/>
    <w:rsid w:val="00AD4652"/>
    <w:rsid w:val="00AD4FD1"/>
    <w:rsid w:val="00AD4FD9"/>
    <w:rsid w:val="00AD509D"/>
    <w:rsid w:val="00AD5205"/>
    <w:rsid w:val="00AD534C"/>
    <w:rsid w:val="00AD53DA"/>
    <w:rsid w:val="00AD53FE"/>
    <w:rsid w:val="00AD59BA"/>
    <w:rsid w:val="00AD5C53"/>
    <w:rsid w:val="00AD5D23"/>
    <w:rsid w:val="00AD5D50"/>
    <w:rsid w:val="00AD5ED3"/>
    <w:rsid w:val="00AD6007"/>
    <w:rsid w:val="00AD60D1"/>
    <w:rsid w:val="00AD62E6"/>
    <w:rsid w:val="00AD649D"/>
    <w:rsid w:val="00AD64B1"/>
    <w:rsid w:val="00AD64BA"/>
    <w:rsid w:val="00AD667C"/>
    <w:rsid w:val="00AD66CD"/>
    <w:rsid w:val="00AD6A5C"/>
    <w:rsid w:val="00AD6C6D"/>
    <w:rsid w:val="00AD6C78"/>
    <w:rsid w:val="00AD6FDB"/>
    <w:rsid w:val="00AD72E2"/>
    <w:rsid w:val="00AD732E"/>
    <w:rsid w:val="00AD7333"/>
    <w:rsid w:val="00AD7595"/>
    <w:rsid w:val="00AD75CA"/>
    <w:rsid w:val="00AD7687"/>
    <w:rsid w:val="00AD79BC"/>
    <w:rsid w:val="00AD7DE1"/>
    <w:rsid w:val="00AD7E9F"/>
    <w:rsid w:val="00AE0071"/>
    <w:rsid w:val="00AE0084"/>
    <w:rsid w:val="00AE00A1"/>
    <w:rsid w:val="00AE01E6"/>
    <w:rsid w:val="00AE0249"/>
    <w:rsid w:val="00AE0317"/>
    <w:rsid w:val="00AE071E"/>
    <w:rsid w:val="00AE082E"/>
    <w:rsid w:val="00AE08D2"/>
    <w:rsid w:val="00AE0A08"/>
    <w:rsid w:val="00AE0C25"/>
    <w:rsid w:val="00AE0C29"/>
    <w:rsid w:val="00AE0CB5"/>
    <w:rsid w:val="00AE0ED7"/>
    <w:rsid w:val="00AE1033"/>
    <w:rsid w:val="00AE113B"/>
    <w:rsid w:val="00AE11BD"/>
    <w:rsid w:val="00AE11C5"/>
    <w:rsid w:val="00AE11CA"/>
    <w:rsid w:val="00AE1800"/>
    <w:rsid w:val="00AE1CF6"/>
    <w:rsid w:val="00AE1F06"/>
    <w:rsid w:val="00AE2088"/>
    <w:rsid w:val="00AE208D"/>
    <w:rsid w:val="00AE24D0"/>
    <w:rsid w:val="00AE252B"/>
    <w:rsid w:val="00AE28B6"/>
    <w:rsid w:val="00AE28FF"/>
    <w:rsid w:val="00AE2C5F"/>
    <w:rsid w:val="00AE2F00"/>
    <w:rsid w:val="00AE307B"/>
    <w:rsid w:val="00AE33F2"/>
    <w:rsid w:val="00AE3481"/>
    <w:rsid w:val="00AE358B"/>
    <w:rsid w:val="00AE380F"/>
    <w:rsid w:val="00AE384D"/>
    <w:rsid w:val="00AE39EB"/>
    <w:rsid w:val="00AE3D56"/>
    <w:rsid w:val="00AE3D88"/>
    <w:rsid w:val="00AE3E29"/>
    <w:rsid w:val="00AE3E7D"/>
    <w:rsid w:val="00AE4036"/>
    <w:rsid w:val="00AE4602"/>
    <w:rsid w:val="00AE4A1F"/>
    <w:rsid w:val="00AE4A22"/>
    <w:rsid w:val="00AE4A3E"/>
    <w:rsid w:val="00AE4C62"/>
    <w:rsid w:val="00AE4DFA"/>
    <w:rsid w:val="00AE4F71"/>
    <w:rsid w:val="00AE50A2"/>
    <w:rsid w:val="00AE52B8"/>
    <w:rsid w:val="00AE555D"/>
    <w:rsid w:val="00AE5867"/>
    <w:rsid w:val="00AE58A7"/>
    <w:rsid w:val="00AE5B4E"/>
    <w:rsid w:val="00AE5EB9"/>
    <w:rsid w:val="00AE5F3B"/>
    <w:rsid w:val="00AE616B"/>
    <w:rsid w:val="00AE630F"/>
    <w:rsid w:val="00AE65DE"/>
    <w:rsid w:val="00AE69FF"/>
    <w:rsid w:val="00AE6F0A"/>
    <w:rsid w:val="00AE7120"/>
    <w:rsid w:val="00AE78D1"/>
    <w:rsid w:val="00AE7EE4"/>
    <w:rsid w:val="00AE7F98"/>
    <w:rsid w:val="00AF0158"/>
    <w:rsid w:val="00AF03DB"/>
    <w:rsid w:val="00AF058A"/>
    <w:rsid w:val="00AF0612"/>
    <w:rsid w:val="00AF067E"/>
    <w:rsid w:val="00AF081D"/>
    <w:rsid w:val="00AF09B4"/>
    <w:rsid w:val="00AF09E5"/>
    <w:rsid w:val="00AF09E6"/>
    <w:rsid w:val="00AF0A9E"/>
    <w:rsid w:val="00AF0BF4"/>
    <w:rsid w:val="00AF0EF3"/>
    <w:rsid w:val="00AF0FF8"/>
    <w:rsid w:val="00AF1079"/>
    <w:rsid w:val="00AF1314"/>
    <w:rsid w:val="00AF13F3"/>
    <w:rsid w:val="00AF14D8"/>
    <w:rsid w:val="00AF175C"/>
    <w:rsid w:val="00AF1947"/>
    <w:rsid w:val="00AF1AD0"/>
    <w:rsid w:val="00AF1C85"/>
    <w:rsid w:val="00AF1D32"/>
    <w:rsid w:val="00AF1F46"/>
    <w:rsid w:val="00AF1F6A"/>
    <w:rsid w:val="00AF242C"/>
    <w:rsid w:val="00AF250B"/>
    <w:rsid w:val="00AF258B"/>
    <w:rsid w:val="00AF2745"/>
    <w:rsid w:val="00AF2763"/>
    <w:rsid w:val="00AF2889"/>
    <w:rsid w:val="00AF2989"/>
    <w:rsid w:val="00AF2D77"/>
    <w:rsid w:val="00AF2D81"/>
    <w:rsid w:val="00AF2E6B"/>
    <w:rsid w:val="00AF31AB"/>
    <w:rsid w:val="00AF32FA"/>
    <w:rsid w:val="00AF36B0"/>
    <w:rsid w:val="00AF38F2"/>
    <w:rsid w:val="00AF3B97"/>
    <w:rsid w:val="00AF3BFA"/>
    <w:rsid w:val="00AF3E60"/>
    <w:rsid w:val="00AF3E9F"/>
    <w:rsid w:val="00AF4096"/>
    <w:rsid w:val="00AF409B"/>
    <w:rsid w:val="00AF40BD"/>
    <w:rsid w:val="00AF41AA"/>
    <w:rsid w:val="00AF41C8"/>
    <w:rsid w:val="00AF4277"/>
    <w:rsid w:val="00AF4578"/>
    <w:rsid w:val="00AF46BA"/>
    <w:rsid w:val="00AF47C8"/>
    <w:rsid w:val="00AF480C"/>
    <w:rsid w:val="00AF4929"/>
    <w:rsid w:val="00AF4B71"/>
    <w:rsid w:val="00AF4FB6"/>
    <w:rsid w:val="00AF50F1"/>
    <w:rsid w:val="00AF56CC"/>
    <w:rsid w:val="00AF57A4"/>
    <w:rsid w:val="00AF5AC7"/>
    <w:rsid w:val="00AF5B5F"/>
    <w:rsid w:val="00AF5B67"/>
    <w:rsid w:val="00AF5D33"/>
    <w:rsid w:val="00AF5D38"/>
    <w:rsid w:val="00AF5F34"/>
    <w:rsid w:val="00AF676E"/>
    <w:rsid w:val="00AF67AB"/>
    <w:rsid w:val="00AF690A"/>
    <w:rsid w:val="00AF6AE8"/>
    <w:rsid w:val="00AF6AFB"/>
    <w:rsid w:val="00AF6B65"/>
    <w:rsid w:val="00AF6D9B"/>
    <w:rsid w:val="00AF6EAF"/>
    <w:rsid w:val="00AF7133"/>
    <w:rsid w:val="00AF7250"/>
    <w:rsid w:val="00AF73AC"/>
    <w:rsid w:val="00AF76B0"/>
    <w:rsid w:val="00AF76D9"/>
    <w:rsid w:val="00AF792C"/>
    <w:rsid w:val="00AF7CF0"/>
    <w:rsid w:val="00AF7D13"/>
    <w:rsid w:val="00AF7F7B"/>
    <w:rsid w:val="00B00326"/>
    <w:rsid w:val="00B003C1"/>
    <w:rsid w:val="00B003E1"/>
    <w:rsid w:val="00B005E6"/>
    <w:rsid w:val="00B0063C"/>
    <w:rsid w:val="00B00710"/>
    <w:rsid w:val="00B00773"/>
    <w:rsid w:val="00B0088C"/>
    <w:rsid w:val="00B0092A"/>
    <w:rsid w:val="00B00E02"/>
    <w:rsid w:val="00B00E06"/>
    <w:rsid w:val="00B011FA"/>
    <w:rsid w:val="00B0162A"/>
    <w:rsid w:val="00B019AA"/>
    <w:rsid w:val="00B019EE"/>
    <w:rsid w:val="00B01EEB"/>
    <w:rsid w:val="00B02085"/>
    <w:rsid w:val="00B02127"/>
    <w:rsid w:val="00B0244D"/>
    <w:rsid w:val="00B02803"/>
    <w:rsid w:val="00B02C6E"/>
    <w:rsid w:val="00B02DE9"/>
    <w:rsid w:val="00B032DB"/>
    <w:rsid w:val="00B032F1"/>
    <w:rsid w:val="00B03312"/>
    <w:rsid w:val="00B033DD"/>
    <w:rsid w:val="00B034A4"/>
    <w:rsid w:val="00B03910"/>
    <w:rsid w:val="00B03AB8"/>
    <w:rsid w:val="00B03ACB"/>
    <w:rsid w:val="00B03EAC"/>
    <w:rsid w:val="00B03F66"/>
    <w:rsid w:val="00B041F4"/>
    <w:rsid w:val="00B043F4"/>
    <w:rsid w:val="00B049E1"/>
    <w:rsid w:val="00B04C63"/>
    <w:rsid w:val="00B04C66"/>
    <w:rsid w:val="00B04D77"/>
    <w:rsid w:val="00B04F61"/>
    <w:rsid w:val="00B04FAD"/>
    <w:rsid w:val="00B04FEE"/>
    <w:rsid w:val="00B0508D"/>
    <w:rsid w:val="00B0528B"/>
    <w:rsid w:val="00B0538B"/>
    <w:rsid w:val="00B0562E"/>
    <w:rsid w:val="00B05C04"/>
    <w:rsid w:val="00B05F1F"/>
    <w:rsid w:val="00B05F7C"/>
    <w:rsid w:val="00B06015"/>
    <w:rsid w:val="00B064DF"/>
    <w:rsid w:val="00B06FBE"/>
    <w:rsid w:val="00B072AB"/>
    <w:rsid w:val="00B074E1"/>
    <w:rsid w:val="00B07799"/>
    <w:rsid w:val="00B077E8"/>
    <w:rsid w:val="00B07AF0"/>
    <w:rsid w:val="00B07B44"/>
    <w:rsid w:val="00B07D49"/>
    <w:rsid w:val="00B07E34"/>
    <w:rsid w:val="00B10086"/>
    <w:rsid w:val="00B100DB"/>
    <w:rsid w:val="00B10227"/>
    <w:rsid w:val="00B10411"/>
    <w:rsid w:val="00B10835"/>
    <w:rsid w:val="00B1089B"/>
    <w:rsid w:val="00B109B1"/>
    <w:rsid w:val="00B109DF"/>
    <w:rsid w:val="00B10D76"/>
    <w:rsid w:val="00B10F3F"/>
    <w:rsid w:val="00B10FBE"/>
    <w:rsid w:val="00B1107D"/>
    <w:rsid w:val="00B11300"/>
    <w:rsid w:val="00B118B8"/>
    <w:rsid w:val="00B1198F"/>
    <w:rsid w:val="00B11A92"/>
    <w:rsid w:val="00B11E07"/>
    <w:rsid w:val="00B12033"/>
    <w:rsid w:val="00B1203B"/>
    <w:rsid w:val="00B125F2"/>
    <w:rsid w:val="00B125F7"/>
    <w:rsid w:val="00B12726"/>
    <w:rsid w:val="00B128FD"/>
    <w:rsid w:val="00B1297C"/>
    <w:rsid w:val="00B129DC"/>
    <w:rsid w:val="00B12A80"/>
    <w:rsid w:val="00B12BBB"/>
    <w:rsid w:val="00B13223"/>
    <w:rsid w:val="00B13304"/>
    <w:rsid w:val="00B13671"/>
    <w:rsid w:val="00B136E3"/>
    <w:rsid w:val="00B139EB"/>
    <w:rsid w:val="00B13D82"/>
    <w:rsid w:val="00B13DBD"/>
    <w:rsid w:val="00B13DCD"/>
    <w:rsid w:val="00B14076"/>
    <w:rsid w:val="00B14141"/>
    <w:rsid w:val="00B14292"/>
    <w:rsid w:val="00B142E4"/>
    <w:rsid w:val="00B1437F"/>
    <w:rsid w:val="00B1446B"/>
    <w:rsid w:val="00B14474"/>
    <w:rsid w:val="00B144A4"/>
    <w:rsid w:val="00B14580"/>
    <w:rsid w:val="00B145D0"/>
    <w:rsid w:val="00B1462B"/>
    <w:rsid w:val="00B146FD"/>
    <w:rsid w:val="00B147D5"/>
    <w:rsid w:val="00B14C28"/>
    <w:rsid w:val="00B14ED1"/>
    <w:rsid w:val="00B14FCE"/>
    <w:rsid w:val="00B1513B"/>
    <w:rsid w:val="00B1516C"/>
    <w:rsid w:val="00B151BD"/>
    <w:rsid w:val="00B15256"/>
    <w:rsid w:val="00B15672"/>
    <w:rsid w:val="00B156DB"/>
    <w:rsid w:val="00B1594D"/>
    <w:rsid w:val="00B1597B"/>
    <w:rsid w:val="00B15AF8"/>
    <w:rsid w:val="00B15E08"/>
    <w:rsid w:val="00B15E99"/>
    <w:rsid w:val="00B15F55"/>
    <w:rsid w:val="00B16145"/>
    <w:rsid w:val="00B164C9"/>
    <w:rsid w:val="00B16721"/>
    <w:rsid w:val="00B167FC"/>
    <w:rsid w:val="00B168D1"/>
    <w:rsid w:val="00B16925"/>
    <w:rsid w:val="00B16B78"/>
    <w:rsid w:val="00B16CC1"/>
    <w:rsid w:val="00B16EF7"/>
    <w:rsid w:val="00B17000"/>
    <w:rsid w:val="00B170AA"/>
    <w:rsid w:val="00B170F5"/>
    <w:rsid w:val="00B1737E"/>
    <w:rsid w:val="00B17385"/>
    <w:rsid w:val="00B17626"/>
    <w:rsid w:val="00B17662"/>
    <w:rsid w:val="00B176B3"/>
    <w:rsid w:val="00B17773"/>
    <w:rsid w:val="00B1789F"/>
    <w:rsid w:val="00B17B8E"/>
    <w:rsid w:val="00B17F93"/>
    <w:rsid w:val="00B200D1"/>
    <w:rsid w:val="00B20692"/>
    <w:rsid w:val="00B2076C"/>
    <w:rsid w:val="00B20852"/>
    <w:rsid w:val="00B2095E"/>
    <w:rsid w:val="00B209AE"/>
    <w:rsid w:val="00B211EA"/>
    <w:rsid w:val="00B21371"/>
    <w:rsid w:val="00B214BB"/>
    <w:rsid w:val="00B214D1"/>
    <w:rsid w:val="00B21B03"/>
    <w:rsid w:val="00B21B90"/>
    <w:rsid w:val="00B2208B"/>
    <w:rsid w:val="00B2211A"/>
    <w:rsid w:val="00B221DA"/>
    <w:rsid w:val="00B223A0"/>
    <w:rsid w:val="00B226C9"/>
    <w:rsid w:val="00B22C0D"/>
    <w:rsid w:val="00B22CB0"/>
    <w:rsid w:val="00B22D47"/>
    <w:rsid w:val="00B22DE6"/>
    <w:rsid w:val="00B23138"/>
    <w:rsid w:val="00B23195"/>
    <w:rsid w:val="00B2332D"/>
    <w:rsid w:val="00B23572"/>
    <w:rsid w:val="00B23C3D"/>
    <w:rsid w:val="00B23C66"/>
    <w:rsid w:val="00B23E64"/>
    <w:rsid w:val="00B23F74"/>
    <w:rsid w:val="00B2407C"/>
    <w:rsid w:val="00B244B1"/>
    <w:rsid w:val="00B246DD"/>
    <w:rsid w:val="00B24780"/>
    <w:rsid w:val="00B2481C"/>
    <w:rsid w:val="00B248DD"/>
    <w:rsid w:val="00B248F2"/>
    <w:rsid w:val="00B24A21"/>
    <w:rsid w:val="00B24A57"/>
    <w:rsid w:val="00B24C5D"/>
    <w:rsid w:val="00B24CB8"/>
    <w:rsid w:val="00B24D54"/>
    <w:rsid w:val="00B24F78"/>
    <w:rsid w:val="00B24FA3"/>
    <w:rsid w:val="00B25308"/>
    <w:rsid w:val="00B2538B"/>
    <w:rsid w:val="00B25406"/>
    <w:rsid w:val="00B25829"/>
    <w:rsid w:val="00B25895"/>
    <w:rsid w:val="00B258D7"/>
    <w:rsid w:val="00B25C0C"/>
    <w:rsid w:val="00B25D8C"/>
    <w:rsid w:val="00B25E1A"/>
    <w:rsid w:val="00B25EA5"/>
    <w:rsid w:val="00B25FC5"/>
    <w:rsid w:val="00B26012"/>
    <w:rsid w:val="00B26020"/>
    <w:rsid w:val="00B26069"/>
    <w:rsid w:val="00B261E6"/>
    <w:rsid w:val="00B264EF"/>
    <w:rsid w:val="00B267D0"/>
    <w:rsid w:val="00B268CD"/>
    <w:rsid w:val="00B26956"/>
    <w:rsid w:val="00B26D7D"/>
    <w:rsid w:val="00B26EFD"/>
    <w:rsid w:val="00B271E5"/>
    <w:rsid w:val="00B274F0"/>
    <w:rsid w:val="00B276CA"/>
    <w:rsid w:val="00B27852"/>
    <w:rsid w:val="00B278B7"/>
    <w:rsid w:val="00B27C6F"/>
    <w:rsid w:val="00B27C93"/>
    <w:rsid w:val="00B27ED7"/>
    <w:rsid w:val="00B27F6E"/>
    <w:rsid w:val="00B30165"/>
    <w:rsid w:val="00B30392"/>
    <w:rsid w:val="00B304A0"/>
    <w:rsid w:val="00B30C62"/>
    <w:rsid w:val="00B30F09"/>
    <w:rsid w:val="00B30FF9"/>
    <w:rsid w:val="00B3125F"/>
    <w:rsid w:val="00B31699"/>
    <w:rsid w:val="00B31ADF"/>
    <w:rsid w:val="00B31B29"/>
    <w:rsid w:val="00B31D34"/>
    <w:rsid w:val="00B32121"/>
    <w:rsid w:val="00B321A5"/>
    <w:rsid w:val="00B322A6"/>
    <w:rsid w:val="00B32773"/>
    <w:rsid w:val="00B3281A"/>
    <w:rsid w:val="00B32BDC"/>
    <w:rsid w:val="00B32DA1"/>
    <w:rsid w:val="00B33169"/>
    <w:rsid w:val="00B33252"/>
    <w:rsid w:val="00B332D5"/>
    <w:rsid w:val="00B3392B"/>
    <w:rsid w:val="00B3395B"/>
    <w:rsid w:val="00B339CC"/>
    <w:rsid w:val="00B33B66"/>
    <w:rsid w:val="00B33BBE"/>
    <w:rsid w:val="00B33DCC"/>
    <w:rsid w:val="00B33EA3"/>
    <w:rsid w:val="00B33EBB"/>
    <w:rsid w:val="00B34303"/>
    <w:rsid w:val="00B34487"/>
    <w:rsid w:val="00B344DE"/>
    <w:rsid w:val="00B3468F"/>
    <w:rsid w:val="00B346B2"/>
    <w:rsid w:val="00B34783"/>
    <w:rsid w:val="00B349F4"/>
    <w:rsid w:val="00B34BF7"/>
    <w:rsid w:val="00B34EB0"/>
    <w:rsid w:val="00B3545E"/>
    <w:rsid w:val="00B35528"/>
    <w:rsid w:val="00B3555A"/>
    <w:rsid w:val="00B359F1"/>
    <w:rsid w:val="00B35A19"/>
    <w:rsid w:val="00B35A2E"/>
    <w:rsid w:val="00B35EB5"/>
    <w:rsid w:val="00B363AB"/>
    <w:rsid w:val="00B36640"/>
    <w:rsid w:val="00B366AF"/>
    <w:rsid w:val="00B366ED"/>
    <w:rsid w:val="00B36A39"/>
    <w:rsid w:val="00B36B5B"/>
    <w:rsid w:val="00B36C6B"/>
    <w:rsid w:val="00B36DFE"/>
    <w:rsid w:val="00B370D3"/>
    <w:rsid w:val="00B37105"/>
    <w:rsid w:val="00B3714D"/>
    <w:rsid w:val="00B37172"/>
    <w:rsid w:val="00B37195"/>
    <w:rsid w:val="00B371B1"/>
    <w:rsid w:val="00B371C4"/>
    <w:rsid w:val="00B371D6"/>
    <w:rsid w:val="00B37323"/>
    <w:rsid w:val="00B373D4"/>
    <w:rsid w:val="00B37499"/>
    <w:rsid w:val="00B378B8"/>
    <w:rsid w:val="00B37C08"/>
    <w:rsid w:val="00B37C50"/>
    <w:rsid w:val="00B37D10"/>
    <w:rsid w:val="00B37D86"/>
    <w:rsid w:val="00B37F4E"/>
    <w:rsid w:val="00B40022"/>
    <w:rsid w:val="00B401EF"/>
    <w:rsid w:val="00B406A1"/>
    <w:rsid w:val="00B406F8"/>
    <w:rsid w:val="00B4075A"/>
    <w:rsid w:val="00B40B88"/>
    <w:rsid w:val="00B40EB9"/>
    <w:rsid w:val="00B410A8"/>
    <w:rsid w:val="00B410FC"/>
    <w:rsid w:val="00B41203"/>
    <w:rsid w:val="00B414E1"/>
    <w:rsid w:val="00B41569"/>
    <w:rsid w:val="00B41617"/>
    <w:rsid w:val="00B41892"/>
    <w:rsid w:val="00B41925"/>
    <w:rsid w:val="00B419E8"/>
    <w:rsid w:val="00B419FC"/>
    <w:rsid w:val="00B41A2D"/>
    <w:rsid w:val="00B41A63"/>
    <w:rsid w:val="00B41B3D"/>
    <w:rsid w:val="00B4209B"/>
    <w:rsid w:val="00B42107"/>
    <w:rsid w:val="00B42267"/>
    <w:rsid w:val="00B42294"/>
    <w:rsid w:val="00B42303"/>
    <w:rsid w:val="00B4237E"/>
    <w:rsid w:val="00B4253A"/>
    <w:rsid w:val="00B425D3"/>
    <w:rsid w:val="00B42799"/>
    <w:rsid w:val="00B4288A"/>
    <w:rsid w:val="00B428AB"/>
    <w:rsid w:val="00B42936"/>
    <w:rsid w:val="00B42A7B"/>
    <w:rsid w:val="00B42ABB"/>
    <w:rsid w:val="00B42C28"/>
    <w:rsid w:val="00B42C7E"/>
    <w:rsid w:val="00B42F94"/>
    <w:rsid w:val="00B42FDD"/>
    <w:rsid w:val="00B43074"/>
    <w:rsid w:val="00B4317D"/>
    <w:rsid w:val="00B431C8"/>
    <w:rsid w:val="00B43485"/>
    <w:rsid w:val="00B43736"/>
    <w:rsid w:val="00B43AFA"/>
    <w:rsid w:val="00B43D81"/>
    <w:rsid w:val="00B4423A"/>
    <w:rsid w:val="00B44270"/>
    <w:rsid w:val="00B444F2"/>
    <w:rsid w:val="00B44B0F"/>
    <w:rsid w:val="00B44CA4"/>
    <w:rsid w:val="00B45157"/>
    <w:rsid w:val="00B45381"/>
    <w:rsid w:val="00B45485"/>
    <w:rsid w:val="00B4583C"/>
    <w:rsid w:val="00B459AE"/>
    <w:rsid w:val="00B45B5A"/>
    <w:rsid w:val="00B45BDC"/>
    <w:rsid w:val="00B45C5D"/>
    <w:rsid w:val="00B45F1D"/>
    <w:rsid w:val="00B45F63"/>
    <w:rsid w:val="00B461DB"/>
    <w:rsid w:val="00B466C6"/>
    <w:rsid w:val="00B466F4"/>
    <w:rsid w:val="00B46B5F"/>
    <w:rsid w:val="00B46BCC"/>
    <w:rsid w:val="00B46E71"/>
    <w:rsid w:val="00B46ED3"/>
    <w:rsid w:val="00B470C2"/>
    <w:rsid w:val="00B47186"/>
    <w:rsid w:val="00B47452"/>
    <w:rsid w:val="00B47613"/>
    <w:rsid w:val="00B47646"/>
    <w:rsid w:val="00B4775E"/>
    <w:rsid w:val="00B478E3"/>
    <w:rsid w:val="00B47C00"/>
    <w:rsid w:val="00B47CA2"/>
    <w:rsid w:val="00B47E37"/>
    <w:rsid w:val="00B47F37"/>
    <w:rsid w:val="00B47FB4"/>
    <w:rsid w:val="00B50471"/>
    <w:rsid w:val="00B50609"/>
    <w:rsid w:val="00B507CA"/>
    <w:rsid w:val="00B50902"/>
    <w:rsid w:val="00B509B6"/>
    <w:rsid w:val="00B50A29"/>
    <w:rsid w:val="00B50AC2"/>
    <w:rsid w:val="00B50E78"/>
    <w:rsid w:val="00B50EB4"/>
    <w:rsid w:val="00B50F69"/>
    <w:rsid w:val="00B50F6A"/>
    <w:rsid w:val="00B50FAA"/>
    <w:rsid w:val="00B51039"/>
    <w:rsid w:val="00B512BD"/>
    <w:rsid w:val="00B5170B"/>
    <w:rsid w:val="00B5173A"/>
    <w:rsid w:val="00B5199C"/>
    <w:rsid w:val="00B51A62"/>
    <w:rsid w:val="00B51B04"/>
    <w:rsid w:val="00B51C3B"/>
    <w:rsid w:val="00B51C91"/>
    <w:rsid w:val="00B51D26"/>
    <w:rsid w:val="00B51EBA"/>
    <w:rsid w:val="00B51FD7"/>
    <w:rsid w:val="00B51FD9"/>
    <w:rsid w:val="00B521C6"/>
    <w:rsid w:val="00B52371"/>
    <w:rsid w:val="00B5260A"/>
    <w:rsid w:val="00B52A4E"/>
    <w:rsid w:val="00B52ACA"/>
    <w:rsid w:val="00B52F5C"/>
    <w:rsid w:val="00B53019"/>
    <w:rsid w:val="00B5301D"/>
    <w:rsid w:val="00B535A9"/>
    <w:rsid w:val="00B53AF9"/>
    <w:rsid w:val="00B53BBE"/>
    <w:rsid w:val="00B53BF1"/>
    <w:rsid w:val="00B53C36"/>
    <w:rsid w:val="00B53D42"/>
    <w:rsid w:val="00B53F04"/>
    <w:rsid w:val="00B53FB8"/>
    <w:rsid w:val="00B54038"/>
    <w:rsid w:val="00B540DD"/>
    <w:rsid w:val="00B541B2"/>
    <w:rsid w:val="00B5438C"/>
    <w:rsid w:val="00B54418"/>
    <w:rsid w:val="00B544C3"/>
    <w:rsid w:val="00B546A2"/>
    <w:rsid w:val="00B54A82"/>
    <w:rsid w:val="00B54ABA"/>
    <w:rsid w:val="00B54AF1"/>
    <w:rsid w:val="00B54E6E"/>
    <w:rsid w:val="00B54FAF"/>
    <w:rsid w:val="00B54FB7"/>
    <w:rsid w:val="00B5510B"/>
    <w:rsid w:val="00B55256"/>
    <w:rsid w:val="00B552CC"/>
    <w:rsid w:val="00B55311"/>
    <w:rsid w:val="00B5551A"/>
    <w:rsid w:val="00B5569C"/>
    <w:rsid w:val="00B5578D"/>
    <w:rsid w:val="00B5579C"/>
    <w:rsid w:val="00B558D2"/>
    <w:rsid w:val="00B55D73"/>
    <w:rsid w:val="00B55DF4"/>
    <w:rsid w:val="00B55F14"/>
    <w:rsid w:val="00B560E7"/>
    <w:rsid w:val="00B5617F"/>
    <w:rsid w:val="00B561A2"/>
    <w:rsid w:val="00B56486"/>
    <w:rsid w:val="00B565EB"/>
    <w:rsid w:val="00B56675"/>
    <w:rsid w:val="00B56C15"/>
    <w:rsid w:val="00B56E55"/>
    <w:rsid w:val="00B57221"/>
    <w:rsid w:val="00B572E1"/>
    <w:rsid w:val="00B575CF"/>
    <w:rsid w:val="00B57829"/>
    <w:rsid w:val="00B57A59"/>
    <w:rsid w:val="00B6000D"/>
    <w:rsid w:val="00B60147"/>
    <w:rsid w:val="00B602F9"/>
    <w:rsid w:val="00B60400"/>
    <w:rsid w:val="00B6040A"/>
    <w:rsid w:val="00B60579"/>
    <w:rsid w:val="00B605FF"/>
    <w:rsid w:val="00B60966"/>
    <w:rsid w:val="00B60AF4"/>
    <w:rsid w:val="00B60D40"/>
    <w:rsid w:val="00B6132C"/>
    <w:rsid w:val="00B6136D"/>
    <w:rsid w:val="00B6152D"/>
    <w:rsid w:val="00B615B6"/>
    <w:rsid w:val="00B6161F"/>
    <w:rsid w:val="00B61AF6"/>
    <w:rsid w:val="00B61BFD"/>
    <w:rsid w:val="00B61C37"/>
    <w:rsid w:val="00B61E67"/>
    <w:rsid w:val="00B61F11"/>
    <w:rsid w:val="00B61F43"/>
    <w:rsid w:val="00B624C8"/>
    <w:rsid w:val="00B624CD"/>
    <w:rsid w:val="00B626FA"/>
    <w:rsid w:val="00B62753"/>
    <w:rsid w:val="00B6288F"/>
    <w:rsid w:val="00B629CF"/>
    <w:rsid w:val="00B62AB2"/>
    <w:rsid w:val="00B62B02"/>
    <w:rsid w:val="00B631C9"/>
    <w:rsid w:val="00B63252"/>
    <w:rsid w:val="00B6330A"/>
    <w:rsid w:val="00B633C0"/>
    <w:rsid w:val="00B6353D"/>
    <w:rsid w:val="00B635DE"/>
    <w:rsid w:val="00B63759"/>
    <w:rsid w:val="00B637DE"/>
    <w:rsid w:val="00B63803"/>
    <w:rsid w:val="00B63A60"/>
    <w:rsid w:val="00B63F0D"/>
    <w:rsid w:val="00B641A7"/>
    <w:rsid w:val="00B64261"/>
    <w:rsid w:val="00B6449D"/>
    <w:rsid w:val="00B6457F"/>
    <w:rsid w:val="00B64721"/>
    <w:rsid w:val="00B64727"/>
    <w:rsid w:val="00B64811"/>
    <w:rsid w:val="00B6484E"/>
    <w:rsid w:val="00B6491E"/>
    <w:rsid w:val="00B64988"/>
    <w:rsid w:val="00B649F2"/>
    <w:rsid w:val="00B64AEC"/>
    <w:rsid w:val="00B64B81"/>
    <w:rsid w:val="00B64B8B"/>
    <w:rsid w:val="00B650A9"/>
    <w:rsid w:val="00B650DD"/>
    <w:rsid w:val="00B6539B"/>
    <w:rsid w:val="00B65586"/>
    <w:rsid w:val="00B6558C"/>
    <w:rsid w:val="00B6572E"/>
    <w:rsid w:val="00B658C8"/>
    <w:rsid w:val="00B65ADD"/>
    <w:rsid w:val="00B663D6"/>
    <w:rsid w:val="00B66569"/>
    <w:rsid w:val="00B66F32"/>
    <w:rsid w:val="00B670C4"/>
    <w:rsid w:val="00B6714B"/>
    <w:rsid w:val="00B67390"/>
    <w:rsid w:val="00B673E7"/>
    <w:rsid w:val="00B67538"/>
    <w:rsid w:val="00B67577"/>
    <w:rsid w:val="00B67694"/>
    <w:rsid w:val="00B677B1"/>
    <w:rsid w:val="00B67833"/>
    <w:rsid w:val="00B67AE5"/>
    <w:rsid w:val="00B67BBE"/>
    <w:rsid w:val="00B67BC9"/>
    <w:rsid w:val="00B67E93"/>
    <w:rsid w:val="00B700F0"/>
    <w:rsid w:val="00B70637"/>
    <w:rsid w:val="00B70852"/>
    <w:rsid w:val="00B70885"/>
    <w:rsid w:val="00B70B8B"/>
    <w:rsid w:val="00B70BD1"/>
    <w:rsid w:val="00B70C46"/>
    <w:rsid w:val="00B70C93"/>
    <w:rsid w:val="00B70D35"/>
    <w:rsid w:val="00B70D57"/>
    <w:rsid w:val="00B70DBE"/>
    <w:rsid w:val="00B70F1E"/>
    <w:rsid w:val="00B70F2D"/>
    <w:rsid w:val="00B70FB2"/>
    <w:rsid w:val="00B71058"/>
    <w:rsid w:val="00B71201"/>
    <w:rsid w:val="00B71476"/>
    <w:rsid w:val="00B71580"/>
    <w:rsid w:val="00B71608"/>
    <w:rsid w:val="00B71A8A"/>
    <w:rsid w:val="00B71CD5"/>
    <w:rsid w:val="00B71D1F"/>
    <w:rsid w:val="00B71E56"/>
    <w:rsid w:val="00B71F0D"/>
    <w:rsid w:val="00B71F2C"/>
    <w:rsid w:val="00B7222A"/>
    <w:rsid w:val="00B722FD"/>
    <w:rsid w:val="00B72349"/>
    <w:rsid w:val="00B72416"/>
    <w:rsid w:val="00B725F9"/>
    <w:rsid w:val="00B72623"/>
    <w:rsid w:val="00B727E6"/>
    <w:rsid w:val="00B72994"/>
    <w:rsid w:val="00B729D1"/>
    <w:rsid w:val="00B72C45"/>
    <w:rsid w:val="00B72EC9"/>
    <w:rsid w:val="00B7309F"/>
    <w:rsid w:val="00B7323C"/>
    <w:rsid w:val="00B733A3"/>
    <w:rsid w:val="00B734C2"/>
    <w:rsid w:val="00B735A5"/>
    <w:rsid w:val="00B736C8"/>
    <w:rsid w:val="00B73B30"/>
    <w:rsid w:val="00B73C74"/>
    <w:rsid w:val="00B73D73"/>
    <w:rsid w:val="00B73F05"/>
    <w:rsid w:val="00B73F84"/>
    <w:rsid w:val="00B7412F"/>
    <w:rsid w:val="00B74360"/>
    <w:rsid w:val="00B74A3F"/>
    <w:rsid w:val="00B74B75"/>
    <w:rsid w:val="00B74CC4"/>
    <w:rsid w:val="00B74E55"/>
    <w:rsid w:val="00B74F6F"/>
    <w:rsid w:val="00B750BA"/>
    <w:rsid w:val="00B751BF"/>
    <w:rsid w:val="00B75271"/>
    <w:rsid w:val="00B75367"/>
    <w:rsid w:val="00B758EF"/>
    <w:rsid w:val="00B75E44"/>
    <w:rsid w:val="00B75E53"/>
    <w:rsid w:val="00B76080"/>
    <w:rsid w:val="00B762CE"/>
    <w:rsid w:val="00B76A4A"/>
    <w:rsid w:val="00B76AA3"/>
    <w:rsid w:val="00B76AE2"/>
    <w:rsid w:val="00B76E38"/>
    <w:rsid w:val="00B77198"/>
    <w:rsid w:val="00B771AF"/>
    <w:rsid w:val="00B7731D"/>
    <w:rsid w:val="00B77756"/>
    <w:rsid w:val="00B77875"/>
    <w:rsid w:val="00B778D4"/>
    <w:rsid w:val="00B779B9"/>
    <w:rsid w:val="00B77AFC"/>
    <w:rsid w:val="00B77D2C"/>
    <w:rsid w:val="00B77D9F"/>
    <w:rsid w:val="00B8018B"/>
    <w:rsid w:val="00B801BB"/>
    <w:rsid w:val="00B8035E"/>
    <w:rsid w:val="00B8060C"/>
    <w:rsid w:val="00B806F3"/>
    <w:rsid w:val="00B808F2"/>
    <w:rsid w:val="00B80963"/>
    <w:rsid w:val="00B809B0"/>
    <w:rsid w:val="00B80A00"/>
    <w:rsid w:val="00B80A97"/>
    <w:rsid w:val="00B80C92"/>
    <w:rsid w:val="00B80D83"/>
    <w:rsid w:val="00B81310"/>
    <w:rsid w:val="00B8134B"/>
    <w:rsid w:val="00B81603"/>
    <w:rsid w:val="00B81890"/>
    <w:rsid w:val="00B81BD9"/>
    <w:rsid w:val="00B81C00"/>
    <w:rsid w:val="00B81FE8"/>
    <w:rsid w:val="00B81FF3"/>
    <w:rsid w:val="00B82037"/>
    <w:rsid w:val="00B82406"/>
    <w:rsid w:val="00B82486"/>
    <w:rsid w:val="00B824AB"/>
    <w:rsid w:val="00B825F7"/>
    <w:rsid w:val="00B8279D"/>
    <w:rsid w:val="00B828FC"/>
    <w:rsid w:val="00B8293D"/>
    <w:rsid w:val="00B829AF"/>
    <w:rsid w:val="00B82B10"/>
    <w:rsid w:val="00B82B47"/>
    <w:rsid w:val="00B82B97"/>
    <w:rsid w:val="00B82E21"/>
    <w:rsid w:val="00B82EB7"/>
    <w:rsid w:val="00B83028"/>
    <w:rsid w:val="00B831AB"/>
    <w:rsid w:val="00B8344A"/>
    <w:rsid w:val="00B83559"/>
    <w:rsid w:val="00B837B6"/>
    <w:rsid w:val="00B83817"/>
    <w:rsid w:val="00B83B84"/>
    <w:rsid w:val="00B83B98"/>
    <w:rsid w:val="00B83C22"/>
    <w:rsid w:val="00B83E4E"/>
    <w:rsid w:val="00B83F6D"/>
    <w:rsid w:val="00B83FA2"/>
    <w:rsid w:val="00B83FCD"/>
    <w:rsid w:val="00B84269"/>
    <w:rsid w:val="00B8428F"/>
    <w:rsid w:val="00B842F8"/>
    <w:rsid w:val="00B84344"/>
    <w:rsid w:val="00B843C8"/>
    <w:rsid w:val="00B84693"/>
    <w:rsid w:val="00B84883"/>
    <w:rsid w:val="00B849A0"/>
    <w:rsid w:val="00B84B16"/>
    <w:rsid w:val="00B84B37"/>
    <w:rsid w:val="00B84D24"/>
    <w:rsid w:val="00B84E5B"/>
    <w:rsid w:val="00B84EA5"/>
    <w:rsid w:val="00B84FA6"/>
    <w:rsid w:val="00B85033"/>
    <w:rsid w:val="00B852FD"/>
    <w:rsid w:val="00B8568F"/>
    <w:rsid w:val="00B85815"/>
    <w:rsid w:val="00B85A9F"/>
    <w:rsid w:val="00B85B77"/>
    <w:rsid w:val="00B85B82"/>
    <w:rsid w:val="00B85D38"/>
    <w:rsid w:val="00B86016"/>
    <w:rsid w:val="00B86044"/>
    <w:rsid w:val="00B8615B"/>
    <w:rsid w:val="00B861A2"/>
    <w:rsid w:val="00B861C2"/>
    <w:rsid w:val="00B861DC"/>
    <w:rsid w:val="00B862E6"/>
    <w:rsid w:val="00B863DD"/>
    <w:rsid w:val="00B864DD"/>
    <w:rsid w:val="00B86574"/>
    <w:rsid w:val="00B86889"/>
    <w:rsid w:val="00B86D29"/>
    <w:rsid w:val="00B86D84"/>
    <w:rsid w:val="00B86DB7"/>
    <w:rsid w:val="00B8713A"/>
    <w:rsid w:val="00B8739A"/>
    <w:rsid w:val="00B8750D"/>
    <w:rsid w:val="00B879F6"/>
    <w:rsid w:val="00B87B56"/>
    <w:rsid w:val="00B87B6D"/>
    <w:rsid w:val="00B87BF1"/>
    <w:rsid w:val="00B87CED"/>
    <w:rsid w:val="00B87EC5"/>
    <w:rsid w:val="00B901FA"/>
    <w:rsid w:val="00B90412"/>
    <w:rsid w:val="00B90481"/>
    <w:rsid w:val="00B904A1"/>
    <w:rsid w:val="00B90670"/>
    <w:rsid w:val="00B9073B"/>
    <w:rsid w:val="00B90858"/>
    <w:rsid w:val="00B90998"/>
    <w:rsid w:val="00B90A8A"/>
    <w:rsid w:val="00B90BCD"/>
    <w:rsid w:val="00B90C69"/>
    <w:rsid w:val="00B90DD8"/>
    <w:rsid w:val="00B9106B"/>
    <w:rsid w:val="00B91259"/>
    <w:rsid w:val="00B91426"/>
    <w:rsid w:val="00B9143D"/>
    <w:rsid w:val="00B9161D"/>
    <w:rsid w:val="00B91680"/>
    <w:rsid w:val="00B916B3"/>
    <w:rsid w:val="00B9190B"/>
    <w:rsid w:val="00B91920"/>
    <w:rsid w:val="00B9197A"/>
    <w:rsid w:val="00B91BD4"/>
    <w:rsid w:val="00B9201C"/>
    <w:rsid w:val="00B9225B"/>
    <w:rsid w:val="00B922B8"/>
    <w:rsid w:val="00B923E6"/>
    <w:rsid w:val="00B92503"/>
    <w:rsid w:val="00B92682"/>
    <w:rsid w:val="00B92AC8"/>
    <w:rsid w:val="00B92D44"/>
    <w:rsid w:val="00B92D9B"/>
    <w:rsid w:val="00B92EEA"/>
    <w:rsid w:val="00B92F4D"/>
    <w:rsid w:val="00B932F2"/>
    <w:rsid w:val="00B933C8"/>
    <w:rsid w:val="00B93480"/>
    <w:rsid w:val="00B935B9"/>
    <w:rsid w:val="00B9380C"/>
    <w:rsid w:val="00B9380F"/>
    <w:rsid w:val="00B93CA5"/>
    <w:rsid w:val="00B93D9C"/>
    <w:rsid w:val="00B93DA7"/>
    <w:rsid w:val="00B94248"/>
    <w:rsid w:val="00B94335"/>
    <w:rsid w:val="00B943A3"/>
    <w:rsid w:val="00B94719"/>
    <w:rsid w:val="00B9490A"/>
    <w:rsid w:val="00B94C8E"/>
    <w:rsid w:val="00B951AD"/>
    <w:rsid w:val="00B95246"/>
    <w:rsid w:val="00B952FE"/>
    <w:rsid w:val="00B95485"/>
    <w:rsid w:val="00B95677"/>
    <w:rsid w:val="00B95680"/>
    <w:rsid w:val="00B958E4"/>
    <w:rsid w:val="00B95B1A"/>
    <w:rsid w:val="00B95BAA"/>
    <w:rsid w:val="00B95BCA"/>
    <w:rsid w:val="00B95CDF"/>
    <w:rsid w:val="00B95F2D"/>
    <w:rsid w:val="00B96131"/>
    <w:rsid w:val="00B96193"/>
    <w:rsid w:val="00B962F6"/>
    <w:rsid w:val="00B96BF1"/>
    <w:rsid w:val="00B96CD2"/>
    <w:rsid w:val="00B96E22"/>
    <w:rsid w:val="00B96E65"/>
    <w:rsid w:val="00B973B9"/>
    <w:rsid w:val="00B9740E"/>
    <w:rsid w:val="00B9762C"/>
    <w:rsid w:val="00B97676"/>
    <w:rsid w:val="00B97C82"/>
    <w:rsid w:val="00B97EA2"/>
    <w:rsid w:val="00B97EC1"/>
    <w:rsid w:val="00BA0235"/>
    <w:rsid w:val="00BA033B"/>
    <w:rsid w:val="00BA0405"/>
    <w:rsid w:val="00BA0452"/>
    <w:rsid w:val="00BA054C"/>
    <w:rsid w:val="00BA05FB"/>
    <w:rsid w:val="00BA0716"/>
    <w:rsid w:val="00BA072C"/>
    <w:rsid w:val="00BA08E4"/>
    <w:rsid w:val="00BA0A42"/>
    <w:rsid w:val="00BA12D1"/>
    <w:rsid w:val="00BA13AA"/>
    <w:rsid w:val="00BA13D8"/>
    <w:rsid w:val="00BA15A8"/>
    <w:rsid w:val="00BA166B"/>
    <w:rsid w:val="00BA16C8"/>
    <w:rsid w:val="00BA16DC"/>
    <w:rsid w:val="00BA1947"/>
    <w:rsid w:val="00BA1D4E"/>
    <w:rsid w:val="00BA1D94"/>
    <w:rsid w:val="00BA1F1A"/>
    <w:rsid w:val="00BA1FBB"/>
    <w:rsid w:val="00BA203D"/>
    <w:rsid w:val="00BA2348"/>
    <w:rsid w:val="00BA2361"/>
    <w:rsid w:val="00BA23DA"/>
    <w:rsid w:val="00BA24BE"/>
    <w:rsid w:val="00BA2658"/>
    <w:rsid w:val="00BA280D"/>
    <w:rsid w:val="00BA287A"/>
    <w:rsid w:val="00BA28C4"/>
    <w:rsid w:val="00BA2972"/>
    <w:rsid w:val="00BA330E"/>
    <w:rsid w:val="00BA3413"/>
    <w:rsid w:val="00BA3567"/>
    <w:rsid w:val="00BA3820"/>
    <w:rsid w:val="00BA38BD"/>
    <w:rsid w:val="00BA3A6E"/>
    <w:rsid w:val="00BA3AFF"/>
    <w:rsid w:val="00BA3B4D"/>
    <w:rsid w:val="00BA3C76"/>
    <w:rsid w:val="00BA3C98"/>
    <w:rsid w:val="00BA3FDA"/>
    <w:rsid w:val="00BA4026"/>
    <w:rsid w:val="00BA42A6"/>
    <w:rsid w:val="00BA43B7"/>
    <w:rsid w:val="00BA4554"/>
    <w:rsid w:val="00BA4573"/>
    <w:rsid w:val="00BA459F"/>
    <w:rsid w:val="00BA4607"/>
    <w:rsid w:val="00BA463E"/>
    <w:rsid w:val="00BA4853"/>
    <w:rsid w:val="00BA495E"/>
    <w:rsid w:val="00BA4BB0"/>
    <w:rsid w:val="00BA4C72"/>
    <w:rsid w:val="00BA4CC9"/>
    <w:rsid w:val="00BA4DFD"/>
    <w:rsid w:val="00BA5084"/>
    <w:rsid w:val="00BA537A"/>
    <w:rsid w:val="00BA548D"/>
    <w:rsid w:val="00BA5645"/>
    <w:rsid w:val="00BA5978"/>
    <w:rsid w:val="00BA5AC6"/>
    <w:rsid w:val="00BA5C2F"/>
    <w:rsid w:val="00BA5D1B"/>
    <w:rsid w:val="00BA5D42"/>
    <w:rsid w:val="00BA5D72"/>
    <w:rsid w:val="00BA5DA3"/>
    <w:rsid w:val="00BA5F38"/>
    <w:rsid w:val="00BA6047"/>
    <w:rsid w:val="00BA623C"/>
    <w:rsid w:val="00BA62FD"/>
    <w:rsid w:val="00BA632E"/>
    <w:rsid w:val="00BA63A0"/>
    <w:rsid w:val="00BA6479"/>
    <w:rsid w:val="00BA6AEE"/>
    <w:rsid w:val="00BA6B65"/>
    <w:rsid w:val="00BA6B8B"/>
    <w:rsid w:val="00BA6FB6"/>
    <w:rsid w:val="00BA7066"/>
    <w:rsid w:val="00BA71A5"/>
    <w:rsid w:val="00BA736F"/>
    <w:rsid w:val="00BA7451"/>
    <w:rsid w:val="00BA74D8"/>
    <w:rsid w:val="00BA7727"/>
    <w:rsid w:val="00BA77CC"/>
    <w:rsid w:val="00BA77D9"/>
    <w:rsid w:val="00BA7A7D"/>
    <w:rsid w:val="00BA7AEC"/>
    <w:rsid w:val="00BA7E39"/>
    <w:rsid w:val="00BA7E89"/>
    <w:rsid w:val="00BA7F1F"/>
    <w:rsid w:val="00BA7F41"/>
    <w:rsid w:val="00BB0162"/>
    <w:rsid w:val="00BB0168"/>
    <w:rsid w:val="00BB033F"/>
    <w:rsid w:val="00BB067E"/>
    <w:rsid w:val="00BB080F"/>
    <w:rsid w:val="00BB092B"/>
    <w:rsid w:val="00BB0936"/>
    <w:rsid w:val="00BB0C66"/>
    <w:rsid w:val="00BB0CC2"/>
    <w:rsid w:val="00BB0DFE"/>
    <w:rsid w:val="00BB0EF7"/>
    <w:rsid w:val="00BB0F2D"/>
    <w:rsid w:val="00BB106B"/>
    <w:rsid w:val="00BB1137"/>
    <w:rsid w:val="00BB12E8"/>
    <w:rsid w:val="00BB1341"/>
    <w:rsid w:val="00BB135F"/>
    <w:rsid w:val="00BB1655"/>
    <w:rsid w:val="00BB173F"/>
    <w:rsid w:val="00BB1785"/>
    <w:rsid w:val="00BB194E"/>
    <w:rsid w:val="00BB1D73"/>
    <w:rsid w:val="00BB1E46"/>
    <w:rsid w:val="00BB1F80"/>
    <w:rsid w:val="00BB200B"/>
    <w:rsid w:val="00BB22D7"/>
    <w:rsid w:val="00BB2608"/>
    <w:rsid w:val="00BB2859"/>
    <w:rsid w:val="00BB29B7"/>
    <w:rsid w:val="00BB2A4B"/>
    <w:rsid w:val="00BB2E2B"/>
    <w:rsid w:val="00BB2EE4"/>
    <w:rsid w:val="00BB33A4"/>
    <w:rsid w:val="00BB3500"/>
    <w:rsid w:val="00BB35F0"/>
    <w:rsid w:val="00BB36CE"/>
    <w:rsid w:val="00BB3922"/>
    <w:rsid w:val="00BB3A54"/>
    <w:rsid w:val="00BB3BA0"/>
    <w:rsid w:val="00BB3C18"/>
    <w:rsid w:val="00BB3CBB"/>
    <w:rsid w:val="00BB3D4D"/>
    <w:rsid w:val="00BB3EAB"/>
    <w:rsid w:val="00BB3F08"/>
    <w:rsid w:val="00BB424F"/>
    <w:rsid w:val="00BB441B"/>
    <w:rsid w:val="00BB44E0"/>
    <w:rsid w:val="00BB46A0"/>
    <w:rsid w:val="00BB4D24"/>
    <w:rsid w:val="00BB4DDC"/>
    <w:rsid w:val="00BB5520"/>
    <w:rsid w:val="00BB55AE"/>
    <w:rsid w:val="00BB576A"/>
    <w:rsid w:val="00BB5888"/>
    <w:rsid w:val="00BB5A2C"/>
    <w:rsid w:val="00BB5B29"/>
    <w:rsid w:val="00BB5BF4"/>
    <w:rsid w:val="00BB5D3E"/>
    <w:rsid w:val="00BB5FB3"/>
    <w:rsid w:val="00BB6245"/>
    <w:rsid w:val="00BB6339"/>
    <w:rsid w:val="00BB6597"/>
    <w:rsid w:val="00BB6A38"/>
    <w:rsid w:val="00BB6ACD"/>
    <w:rsid w:val="00BB6FD6"/>
    <w:rsid w:val="00BB730F"/>
    <w:rsid w:val="00BB7342"/>
    <w:rsid w:val="00BB7350"/>
    <w:rsid w:val="00BB7389"/>
    <w:rsid w:val="00BB73D6"/>
    <w:rsid w:val="00BB7411"/>
    <w:rsid w:val="00BB764F"/>
    <w:rsid w:val="00BB76F8"/>
    <w:rsid w:val="00BB78EB"/>
    <w:rsid w:val="00BB7C13"/>
    <w:rsid w:val="00BB7D5F"/>
    <w:rsid w:val="00BC0246"/>
    <w:rsid w:val="00BC0588"/>
    <w:rsid w:val="00BC084D"/>
    <w:rsid w:val="00BC0AF2"/>
    <w:rsid w:val="00BC0C54"/>
    <w:rsid w:val="00BC0D15"/>
    <w:rsid w:val="00BC0DE0"/>
    <w:rsid w:val="00BC1260"/>
    <w:rsid w:val="00BC14C4"/>
    <w:rsid w:val="00BC1558"/>
    <w:rsid w:val="00BC16D1"/>
    <w:rsid w:val="00BC1865"/>
    <w:rsid w:val="00BC196C"/>
    <w:rsid w:val="00BC1BF9"/>
    <w:rsid w:val="00BC1D1A"/>
    <w:rsid w:val="00BC1FE6"/>
    <w:rsid w:val="00BC2101"/>
    <w:rsid w:val="00BC22B7"/>
    <w:rsid w:val="00BC2352"/>
    <w:rsid w:val="00BC2544"/>
    <w:rsid w:val="00BC2677"/>
    <w:rsid w:val="00BC290D"/>
    <w:rsid w:val="00BC299A"/>
    <w:rsid w:val="00BC2A47"/>
    <w:rsid w:val="00BC2B57"/>
    <w:rsid w:val="00BC2C75"/>
    <w:rsid w:val="00BC2DB6"/>
    <w:rsid w:val="00BC2EA3"/>
    <w:rsid w:val="00BC3239"/>
    <w:rsid w:val="00BC3296"/>
    <w:rsid w:val="00BC33C1"/>
    <w:rsid w:val="00BC35E6"/>
    <w:rsid w:val="00BC3896"/>
    <w:rsid w:val="00BC38D3"/>
    <w:rsid w:val="00BC38DA"/>
    <w:rsid w:val="00BC3C54"/>
    <w:rsid w:val="00BC3FFC"/>
    <w:rsid w:val="00BC405C"/>
    <w:rsid w:val="00BC40CB"/>
    <w:rsid w:val="00BC46D7"/>
    <w:rsid w:val="00BC48AF"/>
    <w:rsid w:val="00BC49E7"/>
    <w:rsid w:val="00BC4A7E"/>
    <w:rsid w:val="00BC4AF6"/>
    <w:rsid w:val="00BC4C15"/>
    <w:rsid w:val="00BC4C90"/>
    <w:rsid w:val="00BC4F0A"/>
    <w:rsid w:val="00BC5078"/>
    <w:rsid w:val="00BC5138"/>
    <w:rsid w:val="00BC51C8"/>
    <w:rsid w:val="00BC5210"/>
    <w:rsid w:val="00BC5322"/>
    <w:rsid w:val="00BC544A"/>
    <w:rsid w:val="00BC561A"/>
    <w:rsid w:val="00BC5872"/>
    <w:rsid w:val="00BC5BF9"/>
    <w:rsid w:val="00BC5C6A"/>
    <w:rsid w:val="00BC5DCB"/>
    <w:rsid w:val="00BC6012"/>
    <w:rsid w:val="00BC60E5"/>
    <w:rsid w:val="00BC6177"/>
    <w:rsid w:val="00BC66FA"/>
    <w:rsid w:val="00BC6723"/>
    <w:rsid w:val="00BC67DC"/>
    <w:rsid w:val="00BC684F"/>
    <w:rsid w:val="00BC68B0"/>
    <w:rsid w:val="00BC695E"/>
    <w:rsid w:val="00BC6C7E"/>
    <w:rsid w:val="00BC6C93"/>
    <w:rsid w:val="00BC6C9A"/>
    <w:rsid w:val="00BC6CEB"/>
    <w:rsid w:val="00BC6D87"/>
    <w:rsid w:val="00BC6E7C"/>
    <w:rsid w:val="00BC6FE1"/>
    <w:rsid w:val="00BC6FF2"/>
    <w:rsid w:val="00BC704F"/>
    <w:rsid w:val="00BC7175"/>
    <w:rsid w:val="00BC76A8"/>
    <w:rsid w:val="00BC778D"/>
    <w:rsid w:val="00BC78BE"/>
    <w:rsid w:val="00BC7AD4"/>
    <w:rsid w:val="00BC7ADD"/>
    <w:rsid w:val="00BC7B66"/>
    <w:rsid w:val="00BD003D"/>
    <w:rsid w:val="00BD0132"/>
    <w:rsid w:val="00BD01B2"/>
    <w:rsid w:val="00BD01F1"/>
    <w:rsid w:val="00BD037E"/>
    <w:rsid w:val="00BD038D"/>
    <w:rsid w:val="00BD03AA"/>
    <w:rsid w:val="00BD049E"/>
    <w:rsid w:val="00BD04D4"/>
    <w:rsid w:val="00BD066F"/>
    <w:rsid w:val="00BD0832"/>
    <w:rsid w:val="00BD0ABA"/>
    <w:rsid w:val="00BD0B43"/>
    <w:rsid w:val="00BD0C1A"/>
    <w:rsid w:val="00BD0C82"/>
    <w:rsid w:val="00BD0F63"/>
    <w:rsid w:val="00BD1484"/>
    <w:rsid w:val="00BD14D1"/>
    <w:rsid w:val="00BD1567"/>
    <w:rsid w:val="00BD1570"/>
    <w:rsid w:val="00BD16EA"/>
    <w:rsid w:val="00BD1782"/>
    <w:rsid w:val="00BD1D47"/>
    <w:rsid w:val="00BD212E"/>
    <w:rsid w:val="00BD2200"/>
    <w:rsid w:val="00BD25C6"/>
    <w:rsid w:val="00BD28DC"/>
    <w:rsid w:val="00BD2AEB"/>
    <w:rsid w:val="00BD2BAF"/>
    <w:rsid w:val="00BD2CAA"/>
    <w:rsid w:val="00BD30C2"/>
    <w:rsid w:val="00BD3186"/>
    <w:rsid w:val="00BD3344"/>
    <w:rsid w:val="00BD3371"/>
    <w:rsid w:val="00BD36E5"/>
    <w:rsid w:val="00BD36F1"/>
    <w:rsid w:val="00BD3AAF"/>
    <w:rsid w:val="00BD3AC4"/>
    <w:rsid w:val="00BD3D56"/>
    <w:rsid w:val="00BD3E03"/>
    <w:rsid w:val="00BD3E84"/>
    <w:rsid w:val="00BD3EEF"/>
    <w:rsid w:val="00BD40DB"/>
    <w:rsid w:val="00BD40FD"/>
    <w:rsid w:val="00BD4168"/>
    <w:rsid w:val="00BD425E"/>
    <w:rsid w:val="00BD441F"/>
    <w:rsid w:val="00BD4555"/>
    <w:rsid w:val="00BD45EF"/>
    <w:rsid w:val="00BD4AFA"/>
    <w:rsid w:val="00BD4B65"/>
    <w:rsid w:val="00BD4BEE"/>
    <w:rsid w:val="00BD4D7B"/>
    <w:rsid w:val="00BD5394"/>
    <w:rsid w:val="00BD5407"/>
    <w:rsid w:val="00BD56DC"/>
    <w:rsid w:val="00BD5919"/>
    <w:rsid w:val="00BD59F0"/>
    <w:rsid w:val="00BD5A38"/>
    <w:rsid w:val="00BD5D0F"/>
    <w:rsid w:val="00BD5FBB"/>
    <w:rsid w:val="00BD609B"/>
    <w:rsid w:val="00BD633F"/>
    <w:rsid w:val="00BD650A"/>
    <w:rsid w:val="00BD65F0"/>
    <w:rsid w:val="00BD674D"/>
    <w:rsid w:val="00BD6775"/>
    <w:rsid w:val="00BD6B7B"/>
    <w:rsid w:val="00BD6CC3"/>
    <w:rsid w:val="00BD6D48"/>
    <w:rsid w:val="00BD6EEB"/>
    <w:rsid w:val="00BD6F88"/>
    <w:rsid w:val="00BD7094"/>
    <w:rsid w:val="00BD7168"/>
    <w:rsid w:val="00BD780D"/>
    <w:rsid w:val="00BD7951"/>
    <w:rsid w:val="00BD7AAE"/>
    <w:rsid w:val="00BD7CA3"/>
    <w:rsid w:val="00BD7CC6"/>
    <w:rsid w:val="00BD7EF0"/>
    <w:rsid w:val="00BD7FE8"/>
    <w:rsid w:val="00BE005A"/>
    <w:rsid w:val="00BE02ED"/>
    <w:rsid w:val="00BE052D"/>
    <w:rsid w:val="00BE05F0"/>
    <w:rsid w:val="00BE06C6"/>
    <w:rsid w:val="00BE091F"/>
    <w:rsid w:val="00BE0996"/>
    <w:rsid w:val="00BE0CD2"/>
    <w:rsid w:val="00BE0D4B"/>
    <w:rsid w:val="00BE0E74"/>
    <w:rsid w:val="00BE10EB"/>
    <w:rsid w:val="00BE1350"/>
    <w:rsid w:val="00BE140B"/>
    <w:rsid w:val="00BE1429"/>
    <w:rsid w:val="00BE1554"/>
    <w:rsid w:val="00BE1556"/>
    <w:rsid w:val="00BE1561"/>
    <w:rsid w:val="00BE16E6"/>
    <w:rsid w:val="00BE1843"/>
    <w:rsid w:val="00BE199B"/>
    <w:rsid w:val="00BE1BDD"/>
    <w:rsid w:val="00BE1C2D"/>
    <w:rsid w:val="00BE1C78"/>
    <w:rsid w:val="00BE1E1F"/>
    <w:rsid w:val="00BE2003"/>
    <w:rsid w:val="00BE2015"/>
    <w:rsid w:val="00BE21AD"/>
    <w:rsid w:val="00BE27B5"/>
    <w:rsid w:val="00BE28B9"/>
    <w:rsid w:val="00BE28FA"/>
    <w:rsid w:val="00BE28FB"/>
    <w:rsid w:val="00BE2BCC"/>
    <w:rsid w:val="00BE2DD6"/>
    <w:rsid w:val="00BE2E5A"/>
    <w:rsid w:val="00BE319C"/>
    <w:rsid w:val="00BE31D5"/>
    <w:rsid w:val="00BE3245"/>
    <w:rsid w:val="00BE335A"/>
    <w:rsid w:val="00BE366B"/>
    <w:rsid w:val="00BE3F4A"/>
    <w:rsid w:val="00BE4113"/>
    <w:rsid w:val="00BE431B"/>
    <w:rsid w:val="00BE4377"/>
    <w:rsid w:val="00BE4708"/>
    <w:rsid w:val="00BE476F"/>
    <w:rsid w:val="00BE495A"/>
    <w:rsid w:val="00BE4B41"/>
    <w:rsid w:val="00BE4C7C"/>
    <w:rsid w:val="00BE4D98"/>
    <w:rsid w:val="00BE4EC0"/>
    <w:rsid w:val="00BE5343"/>
    <w:rsid w:val="00BE53C3"/>
    <w:rsid w:val="00BE540D"/>
    <w:rsid w:val="00BE544E"/>
    <w:rsid w:val="00BE54CD"/>
    <w:rsid w:val="00BE557C"/>
    <w:rsid w:val="00BE55E0"/>
    <w:rsid w:val="00BE59D4"/>
    <w:rsid w:val="00BE59E7"/>
    <w:rsid w:val="00BE5AA2"/>
    <w:rsid w:val="00BE5AB6"/>
    <w:rsid w:val="00BE5F2A"/>
    <w:rsid w:val="00BE5F5D"/>
    <w:rsid w:val="00BE5F64"/>
    <w:rsid w:val="00BE6026"/>
    <w:rsid w:val="00BE6059"/>
    <w:rsid w:val="00BE60C8"/>
    <w:rsid w:val="00BE6146"/>
    <w:rsid w:val="00BE62D6"/>
    <w:rsid w:val="00BE64EB"/>
    <w:rsid w:val="00BE65D6"/>
    <w:rsid w:val="00BE65EC"/>
    <w:rsid w:val="00BE67E2"/>
    <w:rsid w:val="00BE68C7"/>
    <w:rsid w:val="00BE69D1"/>
    <w:rsid w:val="00BE6A1E"/>
    <w:rsid w:val="00BE6B49"/>
    <w:rsid w:val="00BE7240"/>
    <w:rsid w:val="00BE732B"/>
    <w:rsid w:val="00BE74EE"/>
    <w:rsid w:val="00BE774D"/>
    <w:rsid w:val="00BE7902"/>
    <w:rsid w:val="00BE7921"/>
    <w:rsid w:val="00BE7C4C"/>
    <w:rsid w:val="00BE7CCE"/>
    <w:rsid w:val="00BE7CF2"/>
    <w:rsid w:val="00BE7D0F"/>
    <w:rsid w:val="00BE7DA1"/>
    <w:rsid w:val="00BE7DE3"/>
    <w:rsid w:val="00BF01E2"/>
    <w:rsid w:val="00BF025A"/>
    <w:rsid w:val="00BF0298"/>
    <w:rsid w:val="00BF0468"/>
    <w:rsid w:val="00BF05D1"/>
    <w:rsid w:val="00BF0BFE"/>
    <w:rsid w:val="00BF0C61"/>
    <w:rsid w:val="00BF114B"/>
    <w:rsid w:val="00BF1425"/>
    <w:rsid w:val="00BF149E"/>
    <w:rsid w:val="00BF17BE"/>
    <w:rsid w:val="00BF1856"/>
    <w:rsid w:val="00BF18FF"/>
    <w:rsid w:val="00BF192E"/>
    <w:rsid w:val="00BF1AAC"/>
    <w:rsid w:val="00BF1AD4"/>
    <w:rsid w:val="00BF1B27"/>
    <w:rsid w:val="00BF1BCC"/>
    <w:rsid w:val="00BF1C99"/>
    <w:rsid w:val="00BF1D40"/>
    <w:rsid w:val="00BF1DB5"/>
    <w:rsid w:val="00BF1E0F"/>
    <w:rsid w:val="00BF1EB0"/>
    <w:rsid w:val="00BF2380"/>
    <w:rsid w:val="00BF2386"/>
    <w:rsid w:val="00BF24AC"/>
    <w:rsid w:val="00BF250E"/>
    <w:rsid w:val="00BF2805"/>
    <w:rsid w:val="00BF2FB4"/>
    <w:rsid w:val="00BF3397"/>
    <w:rsid w:val="00BF33CE"/>
    <w:rsid w:val="00BF35B5"/>
    <w:rsid w:val="00BF38F9"/>
    <w:rsid w:val="00BF3A41"/>
    <w:rsid w:val="00BF3A81"/>
    <w:rsid w:val="00BF3B40"/>
    <w:rsid w:val="00BF3C29"/>
    <w:rsid w:val="00BF3C67"/>
    <w:rsid w:val="00BF3DE5"/>
    <w:rsid w:val="00BF4076"/>
    <w:rsid w:val="00BF4317"/>
    <w:rsid w:val="00BF4395"/>
    <w:rsid w:val="00BF43EB"/>
    <w:rsid w:val="00BF440E"/>
    <w:rsid w:val="00BF463D"/>
    <w:rsid w:val="00BF46B7"/>
    <w:rsid w:val="00BF472F"/>
    <w:rsid w:val="00BF482C"/>
    <w:rsid w:val="00BF4952"/>
    <w:rsid w:val="00BF4966"/>
    <w:rsid w:val="00BF4BE9"/>
    <w:rsid w:val="00BF4C17"/>
    <w:rsid w:val="00BF4C61"/>
    <w:rsid w:val="00BF4F5D"/>
    <w:rsid w:val="00BF4FC9"/>
    <w:rsid w:val="00BF511A"/>
    <w:rsid w:val="00BF536D"/>
    <w:rsid w:val="00BF5373"/>
    <w:rsid w:val="00BF53A1"/>
    <w:rsid w:val="00BF540C"/>
    <w:rsid w:val="00BF566B"/>
    <w:rsid w:val="00BF5805"/>
    <w:rsid w:val="00BF5BEE"/>
    <w:rsid w:val="00BF5C28"/>
    <w:rsid w:val="00BF5DCA"/>
    <w:rsid w:val="00BF5FAD"/>
    <w:rsid w:val="00BF6025"/>
    <w:rsid w:val="00BF6132"/>
    <w:rsid w:val="00BF62AF"/>
    <w:rsid w:val="00BF6790"/>
    <w:rsid w:val="00BF6A92"/>
    <w:rsid w:val="00BF6BF7"/>
    <w:rsid w:val="00BF6F05"/>
    <w:rsid w:val="00BF7081"/>
    <w:rsid w:val="00BF71C8"/>
    <w:rsid w:val="00BF7223"/>
    <w:rsid w:val="00BF722B"/>
    <w:rsid w:val="00BF747A"/>
    <w:rsid w:val="00BF7818"/>
    <w:rsid w:val="00BF7968"/>
    <w:rsid w:val="00BF7A37"/>
    <w:rsid w:val="00BF7B57"/>
    <w:rsid w:val="00BF7E6D"/>
    <w:rsid w:val="00C0016E"/>
    <w:rsid w:val="00C006D1"/>
    <w:rsid w:val="00C00B14"/>
    <w:rsid w:val="00C00B85"/>
    <w:rsid w:val="00C00C3E"/>
    <w:rsid w:val="00C00C49"/>
    <w:rsid w:val="00C01302"/>
    <w:rsid w:val="00C01426"/>
    <w:rsid w:val="00C01483"/>
    <w:rsid w:val="00C0197D"/>
    <w:rsid w:val="00C019A9"/>
    <w:rsid w:val="00C019D7"/>
    <w:rsid w:val="00C01AC0"/>
    <w:rsid w:val="00C01BCE"/>
    <w:rsid w:val="00C01EC2"/>
    <w:rsid w:val="00C02062"/>
    <w:rsid w:val="00C02139"/>
    <w:rsid w:val="00C0248C"/>
    <w:rsid w:val="00C027A7"/>
    <w:rsid w:val="00C02840"/>
    <w:rsid w:val="00C029F5"/>
    <w:rsid w:val="00C02C4E"/>
    <w:rsid w:val="00C02CEF"/>
    <w:rsid w:val="00C02D73"/>
    <w:rsid w:val="00C0314D"/>
    <w:rsid w:val="00C035D5"/>
    <w:rsid w:val="00C03690"/>
    <w:rsid w:val="00C0375D"/>
    <w:rsid w:val="00C037DB"/>
    <w:rsid w:val="00C03DAC"/>
    <w:rsid w:val="00C03E36"/>
    <w:rsid w:val="00C03EBC"/>
    <w:rsid w:val="00C03F29"/>
    <w:rsid w:val="00C040AB"/>
    <w:rsid w:val="00C042EA"/>
    <w:rsid w:val="00C04528"/>
    <w:rsid w:val="00C046CE"/>
    <w:rsid w:val="00C0495B"/>
    <w:rsid w:val="00C04A2E"/>
    <w:rsid w:val="00C04B4D"/>
    <w:rsid w:val="00C05295"/>
    <w:rsid w:val="00C055C9"/>
    <w:rsid w:val="00C055D8"/>
    <w:rsid w:val="00C0566D"/>
    <w:rsid w:val="00C05691"/>
    <w:rsid w:val="00C05747"/>
    <w:rsid w:val="00C058BA"/>
    <w:rsid w:val="00C058E7"/>
    <w:rsid w:val="00C0591D"/>
    <w:rsid w:val="00C05980"/>
    <w:rsid w:val="00C05BE4"/>
    <w:rsid w:val="00C06284"/>
    <w:rsid w:val="00C06306"/>
    <w:rsid w:val="00C067DF"/>
    <w:rsid w:val="00C06AB4"/>
    <w:rsid w:val="00C073AA"/>
    <w:rsid w:val="00C07433"/>
    <w:rsid w:val="00C07444"/>
    <w:rsid w:val="00C07450"/>
    <w:rsid w:val="00C075EB"/>
    <w:rsid w:val="00C07701"/>
    <w:rsid w:val="00C077F0"/>
    <w:rsid w:val="00C07A7C"/>
    <w:rsid w:val="00C07B8B"/>
    <w:rsid w:val="00C07BD5"/>
    <w:rsid w:val="00C07E35"/>
    <w:rsid w:val="00C10063"/>
    <w:rsid w:val="00C10093"/>
    <w:rsid w:val="00C10237"/>
    <w:rsid w:val="00C103C6"/>
    <w:rsid w:val="00C104FA"/>
    <w:rsid w:val="00C10766"/>
    <w:rsid w:val="00C10B07"/>
    <w:rsid w:val="00C10B3D"/>
    <w:rsid w:val="00C10B75"/>
    <w:rsid w:val="00C11465"/>
    <w:rsid w:val="00C1147B"/>
    <w:rsid w:val="00C1178B"/>
    <w:rsid w:val="00C11DE1"/>
    <w:rsid w:val="00C11E76"/>
    <w:rsid w:val="00C11FC0"/>
    <w:rsid w:val="00C120A6"/>
    <w:rsid w:val="00C12127"/>
    <w:rsid w:val="00C12406"/>
    <w:rsid w:val="00C125DA"/>
    <w:rsid w:val="00C12A7A"/>
    <w:rsid w:val="00C12AB4"/>
    <w:rsid w:val="00C12C3E"/>
    <w:rsid w:val="00C12CE8"/>
    <w:rsid w:val="00C12F36"/>
    <w:rsid w:val="00C12F63"/>
    <w:rsid w:val="00C1357C"/>
    <w:rsid w:val="00C138AA"/>
    <w:rsid w:val="00C1391F"/>
    <w:rsid w:val="00C13B4E"/>
    <w:rsid w:val="00C13F7C"/>
    <w:rsid w:val="00C14016"/>
    <w:rsid w:val="00C1413B"/>
    <w:rsid w:val="00C141FE"/>
    <w:rsid w:val="00C14240"/>
    <w:rsid w:val="00C142B5"/>
    <w:rsid w:val="00C14435"/>
    <w:rsid w:val="00C1489C"/>
    <w:rsid w:val="00C148F8"/>
    <w:rsid w:val="00C14A83"/>
    <w:rsid w:val="00C14ADC"/>
    <w:rsid w:val="00C14AFD"/>
    <w:rsid w:val="00C14BB9"/>
    <w:rsid w:val="00C14CBB"/>
    <w:rsid w:val="00C14D48"/>
    <w:rsid w:val="00C14EC5"/>
    <w:rsid w:val="00C15086"/>
    <w:rsid w:val="00C1522D"/>
    <w:rsid w:val="00C158A8"/>
    <w:rsid w:val="00C15944"/>
    <w:rsid w:val="00C15A0B"/>
    <w:rsid w:val="00C15DA7"/>
    <w:rsid w:val="00C15DB3"/>
    <w:rsid w:val="00C15EFD"/>
    <w:rsid w:val="00C161A0"/>
    <w:rsid w:val="00C1640F"/>
    <w:rsid w:val="00C1648B"/>
    <w:rsid w:val="00C16606"/>
    <w:rsid w:val="00C168B1"/>
    <w:rsid w:val="00C168BF"/>
    <w:rsid w:val="00C16C57"/>
    <w:rsid w:val="00C16CF3"/>
    <w:rsid w:val="00C16DF5"/>
    <w:rsid w:val="00C16DFB"/>
    <w:rsid w:val="00C16EE7"/>
    <w:rsid w:val="00C17033"/>
    <w:rsid w:val="00C17151"/>
    <w:rsid w:val="00C17155"/>
    <w:rsid w:val="00C171F5"/>
    <w:rsid w:val="00C1737E"/>
    <w:rsid w:val="00C17637"/>
    <w:rsid w:val="00C17C27"/>
    <w:rsid w:val="00C17D24"/>
    <w:rsid w:val="00C17E03"/>
    <w:rsid w:val="00C17E24"/>
    <w:rsid w:val="00C200F4"/>
    <w:rsid w:val="00C200F7"/>
    <w:rsid w:val="00C2029F"/>
    <w:rsid w:val="00C20381"/>
    <w:rsid w:val="00C20635"/>
    <w:rsid w:val="00C2080A"/>
    <w:rsid w:val="00C20850"/>
    <w:rsid w:val="00C20920"/>
    <w:rsid w:val="00C20AA8"/>
    <w:rsid w:val="00C20AC1"/>
    <w:rsid w:val="00C20E76"/>
    <w:rsid w:val="00C21767"/>
    <w:rsid w:val="00C218CB"/>
    <w:rsid w:val="00C21A44"/>
    <w:rsid w:val="00C21A5D"/>
    <w:rsid w:val="00C21D59"/>
    <w:rsid w:val="00C21EC9"/>
    <w:rsid w:val="00C2211A"/>
    <w:rsid w:val="00C22151"/>
    <w:rsid w:val="00C2218F"/>
    <w:rsid w:val="00C22317"/>
    <w:rsid w:val="00C2235D"/>
    <w:rsid w:val="00C2242B"/>
    <w:rsid w:val="00C22692"/>
    <w:rsid w:val="00C22A32"/>
    <w:rsid w:val="00C22ACB"/>
    <w:rsid w:val="00C22C1B"/>
    <w:rsid w:val="00C22ED5"/>
    <w:rsid w:val="00C22F21"/>
    <w:rsid w:val="00C22F41"/>
    <w:rsid w:val="00C230DA"/>
    <w:rsid w:val="00C23149"/>
    <w:rsid w:val="00C232C2"/>
    <w:rsid w:val="00C233E3"/>
    <w:rsid w:val="00C23496"/>
    <w:rsid w:val="00C2355A"/>
    <w:rsid w:val="00C2366D"/>
    <w:rsid w:val="00C23CF2"/>
    <w:rsid w:val="00C23DEC"/>
    <w:rsid w:val="00C23F36"/>
    <w:rsid w:val="00C24468"/>
    <w:rsid w:val="00C24839"/>
    <w:rsid w:val="00C24A2E"/>
    <w:rsid w:val="00C24AA4"/>
    <w:rsid w:val="00C24B45"/>
    <w:rsid w:val="00C24C51"/>
    <w:rsid w:val="00C24DB2"/>
    <w:rsid w:val="00C24DD2"/>
    <w:rsid w:val="00C24E43"/>
    <w:rsid w:val="00C2502C"/>
    <w:rsid w:val="00C2538E"/>
    <w:rsid w:val="00C255D8"/>
    <w:rsid w:val="00C2562A"/>
    <w:rsid w:val="00C2587C"/>
    <w:rsid w:val="00C2592D"/>
    <w:rsid w:val="00C25932"/>
    <w:rsid w:val="00C259DA"/>
    <w:rsid w:val="00C25B73"/>
    <w:rsid w:val="00C25C4A"/>
    <w:rsid w:val="00C262D5"/>
    <w:rsid w:val="00C26342"/>
    <w:rsid w:val="00C26501"/>
    <w:rsid w:val="00C2664B"/>
    <w:rsid w:val="00C267BD"/>
    <w:rsid w:val="00C26903"/>
    <w:rsid w:val="00C26C95"/>
    <w:rsid w:val="00C26D55"/>
    <w:rsid w:val="00C26E7F"/>
    <w:rsid w:val="00C26F88"/>
    <w:rsid w:val="00C27043"/>
    <w:rsid w:val="00C27134"/>
    <w:rsid w:val="00C271AB"/>
    <w:rsid w:val="00C274B6"/>
    <w:rsid w:val="00C2750F"/>
    <w:rsid w:val="00C2768E"/>
    <w:rsid w:val="00C27914"/>
    <w:rsid w:val="00C279E3"/>
    <w:rsid w:val="00C27A0E"/>
    <w:rsid w:val="00C27A40"/>
    <w:rsid w:val="00C27E48"/>
    <w:rsid w:val="00C27EB7"/>
    <w:rsid w:val="00C27F00"/>
    <w:rsid w:val="00C27F1C"/>
    <w:rsid w:val="00C3008D"/>
    <w:rsid w:val="00C30195"/>
    <w:rsid w:val="00C302E8"/>
    <w:rsid w:val="00C3084E"/>
    <w:rsid w:val="00C309AF"/>
    <w:rsid w:val="00C30AB5"/>
    <w:rsid w:val="00C30ADE"/>
    <w:rsid w:val="00C30AF5"/>
    <w:rsid w:val="00C30B89"/>
    <w:rsid w:val="00C30CC5"/>
    <w:rsid w:val="00C310E3"/>
    <w:rsid w:val="00C3113D"/>
    <w:rsid w:val="00C3123F"/>
    <w:rsid w:val="00C3177E"/>
    <w:rsid w:val="00C318A1"/>
    <w:rsid w:val="00C3190B"/>
    <w:rsid w:val="00C31BC7"/>
    <w:rsid w:val="00C31DB6"/>
    <w:rsid w:val="00C31DBA"/>
    <w:rsid w:val="00C31E19"/>
    <w:rsid w:val="00C31F81"/>
    <w:rsid w:val="00C31FB3"/>
    <w:rsid w:val="00C31FF1"/>
    <w:rsid w:val="00C32076"/>
    <w:rsid w:val="00C32806"/>
    <w:rsid w:val="00C3297F"/>
    <w:rsid w:val="00C329ED"/>
    <w:rsid w:val="00C32B84"/>
    <w:rsid w:val="00C32E2F"/>
    <w:rsid w:val="00C330A6"/>
    <w:rsid w:val="00C33142"/>
    <w:rsid w:val="00C33222"/>
    <w:rsid w:val="00C33388"/>
    <w:rsid w:val="00C33707"/>
    <w:rsid w:val="00C33972"/>
    <w:rsid w:val="00C33A33"/>
    <w:rsid w:val="00C33A80"/>
    <w:rsid w:val="00C33CCB"/>
    <w:rsid w:val="00C33E99"/>
    <w:rsid w:val="00C34081"/>
    <w:rsid w:val="00C3421A"/>
    <w:rsid w:val="00C346A4"/>
    <w:rsid w:val="00C346CC"/>
    <w:rsid w:val="00C34884"/>
    <w:rsid w:val="00C34926"/>
    <w:rsid w:val="00C34928"/>
    <w:rsid w:val="00C34A85"/>
    <w:rsid w:val="00C34CA9"/>
    <w:rsid w:val="00C34D32"/>
    <w:rsid w:val="00C34FB3"/>
    <w:rsid w:val="00C3504D"/>
    <w:rsid w:val="00C350BD"/>
    <w:rsid w:val="00C35123"/>
    <w:rsid w:val="00C352A9"/>
    <w:rsid w:val="00C352DB"/>
    <w:rsid w:val="00C3545E"/>
    <w:rsid w:val="00C3550B"/>
    <w:rsid w:val="00C3583B"/>
    <w:rsid w:val="00C35914"/>
    <w:rsid w:val="00C35ABC"/>
    <w:rsid w:val="00C35B50"/>
    <w:rsid w:val="00C35C0B"/>
    <w:rsid w:val="00C35E10"/>
    <w:rsid w:val="00C360BF"/>
    <w:rsid w:val="00C3622D"/>
    <w:rsid w:val="00C3650E"/>
    <w:rsid w:val="00C36D66"/>
    <w:rsid w:val="00C3707A"/>
    <w:rsid w:val="00C37209"/>
    <w:rsid w:val="00C37418"/>
    <w:rsid w:val="00C374B0"/>
    <w:rsid w:val="00C377F0"/>
    <w:rsid w:val="00C3785D"/>
    <w:rsid w:val="00C37D03"/>
    <w:rsid w:val="00C37F41"/>
    <w:rsid w:val="00C401C6"/>
    <w:rsid w:val="00C40200"/>
    <w:rsid w:val="00C4039B"/>
    <w:rsid w:val="00C40400"/>
    <w:rsid w:val="00C40636"/>
    <w:rsid w:val="00C40651"/>
    <w:rsid w:val="00C4085F"/>
    <w:rsid w:val="00C408A3"/>
    <w:rsid w:val="00C40AAE"/>
    <w:rsid w:val="00C40E14"/>
    <w:rsid w:val="00C40F3C"/>
    <w:rsid w:val="00C4106C"/>
    <w:rsid w:val="00C4124D"/>
    <w:rsid w:val="00C41269"/>
    <w:rsid w:val="00C4150D"/>
    <w:rsid w:val="00C419BB"/>
    <w:rsid w:val="00C420B4"/>
    <w:rsid w:val="00C42577"/>
    <w:rsid w:val="00C42855"/>
    <w:rsid w:val="00C42A93"/>
    <w:rsid w:val="00C42D25"/>
    <w:rsid w:val="00C42F09"/>
    <w:rsid w:val="00C4307B"/>
    <w:rsid w:val="00C430DB"/>
    <w:rsid w:val="00C43217"/>
    <w:rsid w:val="00C43236"/>
    <w:rsid w:val="00C433F8"/>
    <w:rsid w:val="00C43569"/>
    <w:rsid w:val="00C43A28"/>
    <w:rsid w:val="00C44065"/>
    <w:rsid w:val="00C440DB"/>
    <w:rsid w:val="00C441E3"/>
    <w:rsid w:val="00C44274"/>
    <w:rsid w:val="00C442ED"/>
    <w:rsid w:val="00C444D8"/>
    <w:rsid w:val="00C446D3"/>
    <w:rsid w:val="00C44A4E"/>
    <w:rsid w:val="00C44B18"/>
    <w:rsid w:val="00C44D3E"/>
    <w:rsid w:val="00C44DA2"/>
    <w:rsid w:val="00C44E49"/>
    <w:rsid w:val="00C45246"/>
    <w:rsid w:val="00C4529C"/>
    <w:rsid w:val="00C454B1"/>
    <w:rsid w:val="00C4569A"/>
    <w:rsid w:val="00C45908"/>
    <w:rsid w:val="00C459AB"/>
    <w:rsid w:val="00C45CFC"/>
    <w:rsid w:val="00C45D23"/>
    <w:rsid w:val="00C45D6D"/>
    <w:rsid w:val="00C45DF7"/>
    <w:rsid w:val="00C462D2"/>
    <w:rsid w:val="00C462DB"/>
    <w:rsid w:val="00C46406"/>
    <w:rsid w:val="00C46430"/>
    <w:rsid w:val="00C46552"/>
    <w:rsid w:val="00C46714"/>
    <w:rsid w:val="00C46792"/>
    <w:rsid w:val="00C467DF"/>
    <w:rsid w:val="00C4682A"/>
    <w:rsid w:val="00C4689B"/>
    <w:rsid w:val="00C46A35"/>
    <w:rsid w:val="00C46B39"/>
    <w:rsid w:val="00C46CD0"/>
    <w:rsid w:val="00C46EAD"/>
    <w:rsid w:val="00C46F15"/>
    <w:rsid w:val="00C4767C"/>
    <w:rsid w:val="00C47886"/>
    <w:rsid w:val="00C479C1"/>
    <w:rsid w:val="00C47A56"/>
    <w:rsid w:val="00C47A88"/>
    <w:rsid w:val="00C47B53"/>
    <w:rsid w:val="00C47C13"/>
    <w:rsid w:val="00C50184"/>
    <w:rsid w:val="00C502BF"/>
    <w:rsid w:val="00C5037E"/>
    <w:rsid w:val="00C5078C"/>
    <w:rsid w:val="00C5089E"/>
    <w:rsid w:val="00C50988"/>
    <w:rsid w:val="00C511E4"/>
    <w:rsid w:val="00C5121C"/>
    <w:rsid w:val="00C51576"/>
    <w:rsid w:val="00C515CF"/>
    <w:rsid w:val="00C51616"/>
    <w:rsid w:val="00C51BA5"/>
    <w:rsid w:val="00C51BBA"/>
    <w:rsid w:val="00C51DD4"/>
    <w:rsid w:val="00C5213A"/>
    <w:rsid w:val="00C522EB"/>
    <w:rsid w:val="00C525B6"/>
    <w:rsid w:val="00C52671"/>
    <w:rsid w:val="00C52884"/>
    <w:rsid w:val="00C52B00"/>
    <w:rsid w:val="00C52C0B"/>
    <w:rsid w:val="00C52CC1"/>
    <w:rsid w:val="00C52E89"/>
    <w:rsid w:val="00C52F2A"/>
    <w:rsid w:val="00C52F4D"/>
    <w:rsid w:val="00C53193"/>
    <w:rsid w:val="00C53313"/>
    <w:rsid w:val="00C53507"/>
    <w:rsid w:val="00C536E0"/>
    <w:rsid w:val="00C5370E"/>
    <w:rsid w:val="00C53754"/>
    <w:rsid w:val="00C53781"/>
    <w:rsid w:val="00C53928"/>
    <w:rsid w:val="00C53962"/>
    <w:rsid w:val="00C53A5D"/>
    <w:rsid w:val="00C53B39"/>
    <w:rsid w:val="00C53BF9"/>
    <w:rsid w:val="00C53C29"/>
    <w:rsid w:val="00C5423B"/>
    <w:rsid w:val="00C54277"/>
    <w:rsid w:val="00C5438C"/>
    <w:rsid w:val="00C544D0"/>
    <w:rsid w:val="00C54617"/>
    <w:rsid w:val="00C54669"/>
    <w:rsid w:val="00C5475E"/>
    <w:rsid w:val="00C54839"/>
    <w:rsid w:val="00C54AD7"/>
    <w:rsid w:val="00C54C1E"/>
    <w:rsid w:val="00C551F9"/>
    <w:rsid w:val="00C55390"/>
    <w:rsid w:val="00C553A7"/>
    <w:rsid w:val="00C5560A"/>
    <w:rsid w:val="00C5571E"/>
    <w:rsid w:val="00C55809"/>
    <w:rsid w:val="00C55D0F"/>
    <w:rsid w:val="00C56198"/>
    <w:rsid w:val="00C56609"/>
    <w:rsid w:val="00C566B8"/>
    <w:rsid w:val="00C56858"/>
    <w:rsid w:val="00C568DD"/>
    <w:rsid w:val="00C569F3"/>
    <w:rsid w:val="00C56B72"/>
    <w:rsid w:val="00C570BA"/>
    <w:rsid w:val="00C570C7"/>
    <w:rsid w:val="00C5731F"/>
    <w:rsid w:val="00C576FF"/>
    <w:rsid w:val="00C57A7C"/>
    <w:rsid w:val="00C57AD2"/>
    <w:rsid w:val="00C57D37"/>
    <w:rsid w:val="00C57EFF"/>
    <w:rsid w:val="00C57F0E"/>
    <w:rsid w:val="00C57FA5"/>
    <w:rsid w:val="00C57FCF"/>
    <w:rsid w:val="00C57FE4"/>
    <w:rsid w:val="00C600E9"/>
    <w:rsid w:val="00C6026E"/>
    <w:rsid w:val="00C6067D"/>
    <w:rsid w:val="00C606DF"/>
    <w:rsid w:val="00C60784"/>
    <w:rsid w:val="00C60819"/>
    <w:rsid w:val="00C60935"/>
    <w:rsid w:val="00C60C3E"/>
    <w:rsid w:val="00C60E83"/>
    <w:rsid w:val="00C6101F"/>
    <w:rsid w:val="00C61146"/>
    <w:rsid w:val="00C611CD"/>
    <w:rsid w:val="00C611F5"/>
    <w:rsid w:val="00C612DE"/>
    <w:rsid w:val="00C61593"/>
    <w:rsid w:val="00C61957"/>
    <w:rsid w:val="00C6198B"/>
    <w:rsid w:val="00C61BB2"/>
    <w:rsid w:val="00C61D9E"/>
    <w:rsid w:val="00C61F3C"/>
    <w:rsid w:val="00C620B2"/>
    <w:rsid w:val="00C620BA"/>
    <w:rsid w:val="00C620F3"/>
    <w:rsid w:val="00C622F1"/>
    <w:rsid w:val="00C624B5"/>
    <w:rsid w:val="00C6263A"/>
    <w:rsid w:val="00C62710"/>
    <w:rsid w:val="00C629ED"/>
    <w:rsid w:val="00C62D0A"/>
    <w:rsid w:val="00C62FE3"/>
    <w:rsid w:val="00C6369C"/>
    <w:rsid w:val="00C638BB"/>
    <w:rsid w:val="00C639CA"/>
    <w:rsid w:val="00C639EF"/>
    <w:rsid w:val="00C63AEB"/>
    <w:rsid w:val="00C63B10"/>
    <w:rsid w:val="00C63B3B"/>
    <w:rsid w:val="00C63C63"/>
    <w:rsid w:val="00C63F31"/>
    <w:rsid w:val="00C640A5"/>
    <w:rsid w:val="00C641A8"/>
    <w:rsid w:val="00C64207"/>
    <w:rsid w:val="00C64427"/>
    <w:rsid w:val="00C64435"/>
    <w:rsid w:val="00C64443"/>
    <w:rsid w:val="00C64593"/>
    <w:rsid w:val="00C64671"/>
    <w:rsid w:val="00C64917"/>
    <w:rsid w:val="00C64990"/>
    <w:rsid w:val="00C649BE"/>
    <w:rsid w:val="00C649CD"/>
    <w:rsid w:val="00C64ACD"/>
    <w:rsid w:val="00C64C43"/>
    <w:rsid w:val="00C64C5F"/>
    <w:rsid w:val="00C64CD0"/>
    <w:rsid w:val="00C64F44"/>
    <w:rsid w:val="00C65011"/>
    <w:rsid w:val="00C65056"/>
    <w:rsid w:val="00C65062"/>
    <w:rsid w:val="00C65181"/>
    <w:rsid w:val="00C6518A"/>
    <w:rsid w:val="00C653FF"/>
    <w:rsid w:val="00C65762"/>
    <w:rsid w:val="00C65B90"/>
    <w:rsid w:val="00C65C37"/>
    <w:rsid w:val="00C65E91"/>
    <w:rsid w:val="00C66202"/>
    <w:rsid w:val="00C66299"/>
    <w:rsid w:val="00C662BB"/>
    <w:rsid w:val="00C6637E"/>
    <w:rsid w:val="00C66491"/>
    <w:rsid w:val="00C665B2"/>
    <w:rsid w:val="00C66665"/>
    <w:rsid w:val="00C66832"/>
    <w:rsid w:val="00C668E3"/>
    <w:rsid w:val="00C66932"/>
    <w:rsid w:val="00C66AD2"/>
    <w:rsid w:val="00C66BDF"/>
    <w:rsid w:val="00C670AE"/>
    <w:rsid w:val="00C671D9"/>
    <w:rsid w:val="00C672E2"/>
    <w:rsid w:val="00C67392"/>
    <w:rsid w:val="00C674BC"/>
    <w:rsid w:val="00C67750"/>
    <w:rsid w:val="00C678FF"/>
    <w:rsid w:val="00C6799C"/>
    <w:rsid w:val="00C67DBA"/>
    <w:rsid w:val="00C70036"/>
    <w:rsid w:val="00C700BD"/>
    <w:rsid w:val="00C703AB"/>
    <w:rsid w:val="00C706D1"/>
    <w:rsid w:val="00C7086A"/>
    <w:rsid w:val="00C70A5A"/>
    <w:rsid w:val="00C71035"/>
    <w:rsid w:val="00C71159"/>
    <w:rsid w:val="00C71331"/>
    <w:rsid w:val="00C714E0"/>
    <w:rsid w:val="00C71726"/>
    <w:rsid w:val="00C71727"/>
    <w:rsid w:val="00C71782"/>
    <w:rsid w:val="00C722A7"/>
    <w:rsid w:val="00C72471"/>
    <w:rsid w:val="00C72537"/>
    <w:rsid w:val="00C726A5"/>
    <w:rsid w:val="00C72AFF"/>
    <w:rsid w:val="00C72D5C"/>
    <w:rsid w:val="00C73145"/>
    <w:rsid w:val="00C731A1"/>
    <w:rsid w:val="00C73430"/>
    <w:rsid w:val="00C734A9"/>
    <w:rsid w:val="00C736BC"/>
    <w:rsid w:val="00C736F8"/>
    <w:rsid w:val="00C73D02"/>
    <w:rsid w:val="00C74172"/>
    <w:rsid w:val="00C7424A"/>
    <w:rsid w:val="00C743E6"/>
    <w:rsid w:val="00C746A9"/>
    <w:rsid w:val="00C74712"/>
    <w:rsid w:val="00C7496E"/>
    <w:rsid w:val="00C74AE8"/>
    <w:rsid w:val="00C74BAE"/>
    <w:rsid w:val="00C74BEF"/>
    <w:rsid w:val="00C74D82"/>
    <w:rsid w:val="00C74D9B"/>
    <w:rsid w:val="00C75089"/>
    <w:rsid w:val="00C750EB"/>
    <w:rsid w:val="00C7511F"/>
    <w:rsid w:val="00C7552E"/>
    <w:rsid w:val="00C757FC"/>
    <w:rsid w:val="00C7580B"/>
    <w:rsid w:val="00C75D00"/>
    <w:rsid w:val="00C75E60"/>
    <w:rsid w:val="00C75ECC"/>
    <w:rsid w:val="00C76077"/>
    <w:rsid w:val="00C76652"/>
    <w:rsid w:val="00C769F4"/>
    <w:rsid w:val="00C76A5A"/>
    <w:rsid w:val="00C76A74"/>
    <w:rsid w:val="00C76B3F"/>
    <w:rsid w:val="00C76B52"/>
    <w:rsid w:val="00C76BAD"/>
    <w:rsid w:val="00C76CF0"/>
    <w:rsid w:val="00C76D61"/>
    <w:rsid w:val="00C76DE3"/>
    <w:rsid w:val="00C770F5"/>
    <w:rsid w:val="00C771CE"/>
    <w:rsid w:val="00C773F4"/>
    <w:rsid w:val="00C77442"/>
    <w:rsid w:val="00C774D2"/>
    <w:rsid w:val="00C77557"/>
    <w:rsid w:val="00C77ECB"/>
    <w:rsid w:val="00C80025"/>
    <w:rsid w:val="00C80543"/>
    <w:rsid w:val="00C80625"/>
    <w:rsid w:val="00C80652"/>
    <w:rsid w:val="00C80673"/>
    <w:rsid w:val="00C808D4"/>
    <w:rsid w:val="00C8096E"/>
    <w:rsid w:val="00C80A19"/>
    <w:rsid w:val="00C80A8A"/>
    <w:rsid w:val="00C80B98"/>
    <w:rsid w:val="00C80BB3"/>
    <w:rsid w:val="00C80C2A"/>
    <w:rsid w:val="00C80CC7"/>
    <w:rsid w:val="00C80ECB"/>
    <w:rsid w:val="00C80F83"/>
    <w:rsid w:val="00C813B4"/>
    <w:rsid w:val="00C8141F"/>
    <w:rsid w:val="00C81765"/>
    <w:rsid w:val="00C81800"/>
    <w:rsid w:val="00C81938"/>
    <w:rsid w:val="00C81F85"/>
    <w:rsid w:val="00C81FEB"/>
    <w:rsid w:val="00C82039"/>
    <w:rsid w:val="00C82089"/>
    <w:rsid w:val="00C820B1"/>
    <w:rsid w:val="00C82206"/>
    <w:rsid w:val="00C82209"/>
    <w:rsid w:val="00C824AB"/>
    <w:rsid w:val="00C82C32"/>
    <w:rsid w:val="00C82CC2"/>
    <w:rsid w:val="00C82EB3"/>
    <w:rsid w:val="00C82F00"/>
    <w:rsid w:val="00C82F5C"/>
    <w:rsid w:val="00C83013"/>
    <w:rsid w:val="00C8309B"/>
    <w:rsid w:val="00C837ED"/>
    <w:rsid w:val="00C837F3"/>
    <w:rsid w:val="00C83898"/>
    <w:rsid w:val="00C83D46"/>
    <w:rsid w:val="00C83D86"/>
    <w:rsid w:val="00C84095"/>
    <w:rsid w:val="00C84300"/>
    <w:rsid w:val="00C84555"/>
    <w:rsid w:val="00C84706"/>
    <w:rsid w:val="00C84A1B"/>
    <w:rsid w:val="00C84AA4"/>
    <w:rsid w:val="00C84E59"/>
    <w:rsid w:val="00C84E75"/>
    <w:rsid w:val="00C84E9D"/>
    <w:rsid w:val="00C84F28"/>
    <w:rsid w:val="00C8526F"/>
    <w:rsid w:val="00C85366"/>
    <w:rsid w:val="00C854D0"/>
    <w:rsid w:val="00C85638"/>
    <w:rsid w:val="00C85864"/>
    <w:rsid w:val="00C8597D"/>
    <w:rsid w:val="00C85A92"/>
    <w:rsid w:val="00C85D79"/>
    <w:rsid w:val="00C86064"/>
    <w:rsid w:val="00C860F8"/>
    <w:rsid w:val="00C861BB"/>
    <w:rsid w:val="00C863E4"/>
    <w:rsid w:val="00C86544"/>
    <w:rsid w:val="00C866CB"/>
    <w:rsid w:val="00C86E3C"/>
    <w:rsid w:val="00C87060"/>
    <w:rsid w:val="00C8708F"/>
    <w:rsid w:val="00C87171"/>
    <w:rsid w:val="00C87354"/>
    <w:rsid w:val="00C87607"/>
    <w:rsid w:val="00C877E9"/>
    <w:rsid w:val="00C87821"/>
    <w:rsid w:val="00C87B05"/>
    <w:rsid w:val="00C87B99"/>
    <w:rsid w:val="00C87C62"/>
    <w:rsid w:val="00C87CDD"/>
    <w:rsid w:val="00C904AE"/>
    <w:rsid w:val="00C9064D"/>
    <w:rsid w:val="00C9066E"/>
    <w:rsid w:val="00C908DD"/>
    <w:rsid w:val="00C90922"/>
    <w:rsid w:val="00C90AA9"/>
    <w:rsid w:val="00C90D5A"/>
    <w:rsid w:val="00C90D8F"/>
    <w:rsid w:val="00C90DDF"/>
    <w:rsid w:val="00C90F70"/>
    <w:rsid w:val="00C910A2"/>
    <w:rsid w:val="00C914DD"/>
    <w:rsid w:val="00C91629"/>
    <w:rsid w:val="00C9173F"/>
    <w:rsid w:val="00C9180B"/>
    <w:rsid w:val="00C918A2"/>
    <w:rsid w:val="00C919B1"/>
    <w:rsid w:val="00C91A78"/>
    <w:rsid w:val="00C91B17"/>
    <w:rsid w:val="00C91CEE"/>
    <w:rsid w:val="00C91D24"/>
    <w:rsid w:val="00C92127"/>
    <w:rsid w:val="00C92233"/>
    <w:rsid w:val="00C922CD"/>
    <w:rsid w:val="00C922FB"/>
    <w:rsid w:val="00C9250D"/>
    <w:rsid w:val="00C9257F"/>
    <w:rsid w:val="00C9270F"/>
    <w:rsid w:val="00C92A04"/>
    <w:rsid w:val="00C92A0E"/>
    <w:rsid w:val="00C92AAD"/>
    <w:rsid w:val="00C92D58"/>
    <w:rsid w:val="00C92D80"/>
    <w:rsid w:val="00C92E22"/>
    <w:rsid w:val="00C92E26"/>
    <w:rsid w:val="00C93123"/>
    <w:rsid w:val="00C93253"/>
    <w:rsid w:val="00C93348"/>
    <w:rsid w:val="00C935A5"/>
    <w:rsid w:val="00C93BB0"/>
    <w:rsid w:val="00C93F21"/>
    <w:rsid w:val="00C9403C"/>
    <w:rsid w:val="00C9407B"/>
    <w:rsid w:val="00C9427E"/>
    <w:rsid w:val="00C94408"/>
    <w:rsid w:val="00C947AE"/>
    <w:rsid w:val="00C94A10"/>
    <w:rsid w:val="00C94AC1"/>
    <w:rsid w:val="00C94B2C"/>
    <w:rsid w:val="00C94D4E"/>
    <w:rsid w:val="00C94D78"/>
    <w:rsid w:val="00C9506A"/>
    <w:rsid w:val="00C951B7"/>
    <w:rsid w:val="00C95294"/>
    <w:rsid w:val="00C9556F"/>
    <w:rsid w:val="00C957FC"/>
    <w:rsid w:val="00C9588B"/>
    <w:rsid w:val="00C959E8"/>
    <w:rsid w:val="00C95B05"/>
    <w:rsid w:val="00C95BA3"/>
    <w:rsid w:val="00C95E84"/>
    <w:rsid w:val="00C96026"/>
    <w:rsid w:val="00C960DB"/>
    <w:rsid w:val="00C96133"/>
    <w:rsid w:val="00C961BD"/>
    <w:rsid w:val="00C962AF"/>
    <w:rsid w:val="00C96333"/>
    <w:rsid w:val="00C96414"/>
    <w:rsid w:val="00C9658A"/>
    <w:rsid w:val="00C9664C"/>
    <w:rsid w:val="00C967B6"/>
    <w:rsid w:val="00C96C80"/>
    <w:rsid w:val="00C96CDE"/>
    <w:rsid w:val="00C96DE8"/>
    <w:rsid w:val="00C96FA6"/>
    <w:rsid w:val="00C97017"/>
    <w:rsid w:val="00C9717A"/>
    <w:rsid w:val="00C9719E"/>
    <w:rsid w:val="00C9742F"/>
    <w:rsid w:val="00C97546"/>
    <w:rsid w:val="00C977F1"/>
    <w:rsid w:val="00C978B4"/>
    <w:rsid w:val="00C978C8"/>
    <w:rsid w:val="00C97946"/>
    <w:rsid w:val="00C97974"/>
    <w:rsid w:val="00C97E31"/>
    <w:rsid w:val="00C97E5B"/>
    <w:rsid w:val="00CA0036"/>
    <w:rsid w:val="00CA00E0"/>
    <w:rsid w:val="00CA0229"/>
    <w:rsid w:val="00CA0234"/>
    <w:rsid w:val="00CA0810"/>
    <w:rsid w:val="00CA090A"/>
    <w:rsid w:val="00CA0C2E"/>
    <w:rsid w:val="00CA0D35"/>
    <w:rsid w:val="00CA0D67"/>
    <w:rsid w:val="00CA0DFA"/>
    <w:rsid w:val="00CA0E16"/>
    <w:rsid w:val="00CA106B"/>
    <w:rsid w:val="00CA1077"/>
    <w:rsid w:val="00CA11D5"/>
    <w:rsid w:val="00CA1309"/>
    <w:rsid w:val="00CA13D9"/>
    <w:rsid w:val="00CA14AE"/>
    <w:rsid w:val="00CA1B80"/>
    <w:rsid w:val="00CA1B8D"/>
    <w:rsid w:val="00CA1BFE"/>
    <w:rsid w:val="00CA1C20"/>
    <w:rsid w:val="00CA1DB5"/>
    <w:rsid w:val="00CA1DCB"/>
    <w:rsid w:val="00CA1ECB"/>
    <w:rsid w:val="00CA1F75"/>
    <w:rsid w:val="00CA231E"/>
    <w:rsid w:val="00CA2464"/>
    <w:rsid w:val="00CA256E"/>
    <w:rsid w:val="00CA2781"/>
    <w:rsid w:val="00CA2821"/>
    <w:rsid w:val="00CA29DF"/>
    <w:rsid w:val="00CA2A13"/>
    <w:rsid w:val="00CA3227"/>
    <w:rsid w:val="00CA337B"/>
    <w:rsid w:val="00CA3461"/>
    <w:rsid w:val="00CA35E4"/>
    <w:rsid w:val="00CA36E1"/>
    <w:rsid w:val="00CA3859"/>
    <w:rsid w:val="00CA3A87"/>
    <w:rsid w:val="00CA3D12"/>
    <w:rsid w:val="00CA3D61"/>
    <w:rsid w:val="00CA3D9D"/>
    <w:rsid w:val="00CA3E25"/>
    <w:rsid w:val="00CA40B8"/>
    <w:rsid w:val="00CA40FA"/>
    <w:rsid w:val="00CA47AF"/>
    <w:rsid w:val="00CA4980"/>
    <w:rsid w:val="00CA4B60"/>
    <w:rsid w:val="00CA4C07"/>
    <w:rsid w:val="00CA4C09"/>
    <w:rsid w:val="00CA4C34"/>
    <w:rsid w:val="00CA4D5D"/>
    <w:rsid w:val="00CA5227"/>
    <w:rsid w:val="00CA531A"/>
    <w:rsid w:val="00CA5504"/>
    <w:rsid w:val="00CA5685"/>
    <w:rsid w:val="00CA5753"/>
    <w:rsid w:val="00CA57A5"/>
    <w:rsid w:val="00CA5A3B"/>
    <w:rsid w:val="00CA5A69"/>
    <w:rsid w:val="00CA5ADC"/>
    <w:rsid w:val="00CA5ADE"/>
    <w:rsid w:val="00CA5CA3"/>
    <w:rsid w:val="00CA5EF2"/>
    <w:rsid w:val="00CA6087"/>
    <w:rsid w:val="00CA60B5"/>
    <w:rsid w:val="00CA6312"/>
    <w:rsid w:val="00CA64ED"/>
    <w:rsid w:val="00CA676E"/>
    <w:rsid w:val="00CA6805"/>
    <w:rsid w:val="00CA69E1"/>
    <w:rsid w:val="00CA6ACA"/>
    <w:rsid w:val="00CA6DBE"/>
    <w:rsid w:val="00CA6FC1"/>
    <w:rsid w:val="00CA742B"/>
    <w:rsid w:val="00CA784A"/>
    <w:rsid w:val="00CA79D9"/>
    <w:rsid w:val="00CB01F0"/>
    <w:rsid w:val="00CB038B"/>
    <w:rsid w:val="00CB04B1"/>
    <w:rsid w:val="00CB05D3"/>
    <w:rsid w:val="00CB0727"/>
    <w:rsid w:val="00CB073A"/>
    <w:rsid w:val="00CB079F"/>
    <w:rsid w:val="00CB07EE"/>
    <w:rsid w:val="00CB0893"/>
    <w:rsid w:val="00CB0A93"/>
    <w:rsid w:val="00CB0D2E"/>
    <w:rsid w:val="00CB0E22"/>
    <w:rsid w:val="00CB0E9D"/>
    <w:rsid w:val="00CB0F41"/>
    <w:rsid w:val="00CB11BE"/>
    <w:rsid w:val="00CB11CD"/>
    <w:rsid w:val="00CB1283"/>
    <w:rsid w:val="00CB1475"/>
    <w:rsid w:val="00CB14C9"/>
    <w:rsid w:val="00CB1578"/>
    <w:rsid w:val="00CB1997"/>
    <w:rsid w:val="00CB1B0A"/>
    <w:rsid w:val="00CB1B55"/>
    <w:rsid w:val="00CB1C44"/>
    <w:rsid w:val="00CB1C96"/>
    <w:rsid w:val="00CB1E3C"/>
    <w:rsid w:val="00CB1E84"/>
    <w:rsid w:val="00CB2051"/>
    <w:rsid w:val="00CB2234"/>
    <w:rsid w:val="00CB2237"/>
    <w:rsid w:val="00CB228E"/>
    <w:rsid w:val="00CB239F"/>
    <w:rsid w:val="00CB2428"/>
    <w:rsid w:val="00CB2499"/>
    <w:rsid w:val="00CB24A9"/>
    <w:rsid w:val="00CB2580"/>
    <w:rsid w:val="00CB25C4"/>
    <w:rsid w:val="00CB272A"/>
    <w:rsid w:val="00CB2A48"/>
    <w:rsid w:val="00CB2A53"/>
    <w:rsid w:val="00CB2D8C"/>
    <w:rsid w:val="00CB2E6D"/>
    <w:rsid w:val="00CB3165"/>
    <w:rsid w:val="00CB3527"/>
    <w:rsid w:val="00CB3623"/>
    <w:rsid w:val="00CB37AA"/>
    <w:rsid w:val="00CB3A62"/>
    <w:rsid w:val="00CB3D54"/>
    <w:rsid w:val="00CB4260"/>
    <w:rsid w:val="00CB4357"/>
    <w:rsid w:val="00CB44F9"/>
    <w:rsid w:val="00CB45D3"/>
    <w:rsid w:val="00CB467F"/>
    <w:rsid w:val="00CB4790"/>
    <w:rsid w:val="00CB47B5"/>
    <w:rsid w:val="00CB4B50"/>
    <w:rsid w:val="00CB4DF9"/>
    <w:rsid w:val="00CB5258"/>
    <w:rsid w:val="00CB5325"/>
    <w:rsid w:val="00CB5452"/>
    <w:rsid w:val="00CB5453"/>
    <w:rsid w:val="00CB557C"/>
    <w:rsid w:val="00CB55A6"/>
    <w:rsid w:val="00CB5724"/>
    <w:rsid w:val="00CB5BF6"/>
    <w:rsid w:val="00CB5CB6"/>
    <w:rsid w:val="00CB5DFF"/>
    <w:rsid w:val="00CB5FA0"/>
    <w:rsid w:val="00CB5FAF"/>
    <w:rsid w:val="00CB5FE2"/>
    <w:rsid w:val="00CB601C"/>
    <w:rsid w:val="00CB64DB"/>
    <w:rsid w:val="00CB658B"/>
    <w:rsid w:val="00CB66EF"/>
    <w:rsid w:val="00CB679C"/>
    <w:rsid w:val="00CB67CF"/>
    <w:rsid w:val="00CB69AA"/>
    <w:rsid w:val="00CB6AAF"/>
    <w:rsid w:val="00CB6B5D"/>
    <w:rsid w:val="00CB6CC5"/>
    <w:rsid w:val="00CB6E60"/>
    <w:rsid w:val="00CB703C"/>
    <w:rsid w:val="00CB7050"/>
    <w:rsid w:val="00CB70EB"/>
    <w:rsid w:val="00CB711F"/>
    <w:rsid w:val="00CB7134"/>
    <w:rsid w:val="00CB716C"/>
    <w:rsid w:val="00CB7345"/>
    <w:rsid w:val="00CB7605"/>
    <w:rsid w:val="00CB761E"/>
    <w:rsid w:val="00CB7A46"/>
    <w:rsid w:val="00CB7B05"/>
    <w:rsid w:val="00CB7B46"/>
    <w:rsid w:val="00CB7E5C"/>
    <w:rsid w:val="00CC00ED"/>
    <w:rsid w:val="00CC012B"/>
    <w:rsid w:val="00CC01AC"/>
    <w:rsid w:val="00CC023E"/>
    <w:rsid w:val="00CC0368"/>
    <w:rsid w:val="00CC0781"/>
    <w:rsid w:val="00CC0793"/>
    <w:rsid w:val="00CC07D1"/>
    <w:rsid w:val="00CC086B"/>
    <w:rsid w:val="00CC0B6B"/>
    <w:rsid w:val="00CC0D12"/>
    <w:rsid w:val="00CC0E41"/>
    <w:rsid w:val="00CC1068"/>
    <w:rsid w:val="00CC1430"/>
    <w:rsid w:val="00CC1435"/>
    <w:rsid w:val="00CC1567"/>
    <w:rsid w:val="00CC19B1"/>
    <w:rsid w:val="00CC19FD"/>
    <w:rsid w:val="00CC1F32"/>
    <w:rsid w:val="00CC1FD0"/>
    <w:rsid w:val="00CC2544"/>
    <w:rsid w:val="00CC2971"/>
    <w:rsid w:val="00CC2A28"/>
    <w:rsid w:val="00CC2B5F"/>
    <w:rsid w:val="00CC2CE6"/>
    <w:rsid w:val="00CC2D17"/>
    <w:rsid w:val="00CC2E0C"/>
    <w:rsid w:val="00CC2FCD"/>
    <w:rsid w:val="00CC2FE8"/>
    <w:rsid w:val="00CC3271"/>
    <w:rsid w:val="00CC3670"/>
    <w:rsid w:val="00CC38E9"/>
    <w:rsid w:val="00CC3A65"/>
    <w:rsid w:val="00CC3AA3"/>
    <w:rsid w:val="00CC40F6"/>
    <w:rsid w:val="00CC41C5"/>
    <w:rsid w:val="00CC454B"/>
    <w:rsid w:val="00CC4593"/>
    <w:rsid w:val="00CC46B4"/>
    <w:rsid w:val="00CC4F34"/>
    <w:rsid w:val="00CC4FE3"/>
    <w:rsid w:val="00CC52A1"/>
    <w:rsid w:val="00CC598E"/>
    <w:rsid w:val="00CC5B0A"/>
    <w:rsid w:val="00CC5DEF"/>
    <w:rsid w:val="00CC5E5C"/>
    <w:rsid w:val="00CC60C8"/>
    <w:rsid w:val="00CC650B"/>
    <w:rsid w:val="00CC658E"/>
    <w:rsid w:val="00CC689E"/>
    <w:rsid w:val="00CC68B5"/>
    <w:rsid w:val="00CC6B63"/>
    <w:rsid w:val="00CC6BA6"/>
    <w:rsid w:val="00CC6D0C"/>
    <w:rsid w:val="00CC701C"/>
    <w:rsid w:val="00CC72C6"/>
    <w:rsid w:val="00CC7511"/>
    <w:rsid w:val="00CC756B"/>
    <w:rsid w:val="00CC7630"/>
    <w:rsid w:val="00CC76B3"/>
    <w:rsid w:val="00CC77D6"/>
    <w:rsid w:val="00CC7862"/>
    <w:rsid w:val="00CC7A6A"/>
    <w:rsid w:val="00CC7D47"/>
    <w:rsid w:val="00CC7E84"/>
    <w:rsid w:val="00CD028D"/>
    <w:rsid w:val="00CD0376"/>
    <w:rsid w:val="00CD0379"/>
    <w:rsid w:val="00CD03FD"/>
    <w:rsid w:val="00CD0443"/>
    <w:rsid w:val="00CD0583"/>
    <w:rsid w:val="00CD0593"/>
    <w:rsid w:val="00CD08B7"/>
    <w:rsid w:val="00CD0A19"/>
    <w:rsid w:val="00CD0BE8"/>
    <w:rsid w:val="00CD0C1B"/>
    <w:rsid w:val="00CD0C22"/>
    <w:rsid w:val="00CD13B6"/>
    <w:rsid w:val="00CD142C"/>
    <w:rsid w:val="00CD156B"/>
    <w:rsid w:val="00CD1668"/>
    <w:rsid w:val="00CD19A6"/>
    <w:rsid w:val="00CD1A11"/>
    <w:rsid w:val="00CD1E74"/>
    <w:rsid w:val="00CD1F18"/>
    <w:rsid w:val="00CD21B3"/>
    <w:rsid w:val="00CD2521"/>
    <w:rsid w:val="00CD288A"/>
    <w:rsid w:val="00CD2A84"/>
    <w:rsid w:val="00CD2D10"/>
    <w:rsid w:val="00CD2D4F"/>
    <w:rsid w:val="00CD2F86"/>
    <w:rsid w:val="00CD2FF4"/>
    <w:rsid w:val="00CD32ED"/>
    <w:rsid w:val="00CD33EE"/>
    <w:rsid w:val="00CD3A1A"/>
    <w:rsid w:val="00CD3D6F"/>
    <w:rsid w:val="00CD3E33"/>
    <w:rsid w:val="00CD40D0"/>
    <w:rsid w:val="00CD42D4"/>
    <w:rsid w:val="00CD46F1"/>
    <w:rsid w:val="00CD4A28"/>
    <w:rsid w:val="00CD4BD1"/>
    <w:rsid w:val="00CD4D95"/>
    <w:rsid w:val="00CD4DA8"/>
    <w:rsid w:val="00CD4E50"/>
    <w:rsid w:val="00CD4FAC"/>
    <w:rsid w:val="00CD504F"/>
    <w:rsid w:val="00CD51BA"/>
    <w:rsid w:val="00CD522D"/>
    <w:rsid w:val="00CD52D5"/>
    <w:rsid w:val="00CD55C3"/>
    <w:rsid w:val="00CD56AD"/>
    <w:rsid w:val="00CD56E3"/>
    <w:rsid w:val="00CD5870"/>
    <w:rsid w:val="00CD5B41"/>
    <w:rsid w:val="00CD5C5C"/>
    <w:rsid w:val="00CD5C6C"/>
    <w:rsid w:val="00CD5C6E"/>
    <w:rsid w:val="00CD5CB1"/>
    <w:rsid w:val="00CD5DB0"/>
    <w:rsid w:val="00CD608C"/>
    <w:rsid w:val="00CD6241"/>
    <w:rsid w:val="00CD6350"/>
    <w:rsid w:val="00CD67ED"/>
    <w:rsid w:val="00CD6A2F"/>
    <w:rsid w:val="00CD6AA0"/>
    <w:rsid w:val="00CD6E59"/>
    <w:rsid w:val="00CD6E7B"/>
    <w:rsid w:val="00CD6F9F"/>
    <w:rsid w:val="00CD72D3"/>
    <w:rsid w:val="00CD73BD"/>
    <w:rsid w:val="00CD7466"/>
    <w:rsid w:val="00CD751C"/>
    <w:rsid w:val="00CD76AD"/>
    <w:rsid w:val="00CD7906"/>
    <w:rsid w:val="00CD7B36"/>
    <w:rsid w:val="00CD7C2E"/>
    <w:rsid w:val="00CD7F35"/>
    <w:rsid w:val="00CE00FC"/>
    <w:rsid w:val="00CE013E"/>
    <w:rsid w:val="00CE0152"/>
    <w:rsid w:val="00CE017C"/>
    <w:rsid w:val="00CE0417"/>
    <w:rsid w:val="00CE045E"/>
    <w:rsid w:val="00CE0502"/>
    <w:rsid w:val="00CE051D"/>
    <w:rsid w:val="00CE06DD"/>
    <w:rsid w:val="00CE06FB"/>
    <w:rsid w:val="00CE0B04"/>
    <w:rsid w:val="00CE0B6A"/>
    <w:rsid w:val="00CE0BA1"/>
    <w:rsid w:val="00CE0C44"/>
    <w:rsid w:val="00CE0D63"/>
    <w:rsid w:val="00CE0D87"/>
    <w:rsid w:val="00CE0DD2"/>
    <w:rsid w:val="00CE0EA8"/>
    <w:rsid w:val="00CE1065"/>
    <w:rsid w:val="00CE10C2"/>
    <w:rsid w:val="00CE12F6"/>
    <w:rsid w:val="00CE135C"/>
    <w:rsid w:val="00CE16A6"/>
    <w:rsid w:val="00CE1A2B"/>
    <w:rsid w:val="00CE1ADC"/>
    <w:rsid w:val="00CE1B0B"/>
    <w:rsid w:val="00CE1C80"/>
    <w:rsid w:val="00CE1C8A"/>
    <w:rsid w:val="00CE1DA3"/>
    <w:rsid w:val="00CE2037"/>
    <w:rsid w:val="00CE2106"/>
    <w:rsid w:val="00CE21FC"/>
    <w:rsid w:val="00CE24B0"/>
    <w:rsid w:val="00CE24B7"/>
    <w:rsid w:val="00CE2A8A"/>
    <w:rsid w:val="00CE2B8A"/>
    <w:rsid w:val="00CE2F96"/>
    <w:rsid w:val="00CE3028"/>
    <w:rsid w:val="00CE31F1"/>
    <w:rsid w:val="00CE3258"/>
    <w:rsid w:val="00CE35FB"/>
    <w:rsid w:val="00CE380A"/>
    <w:rsid w:val="00CE38B0"/>
    <w:rsid w:val="00CE39FE"/>
    <w:rsid w:val="00CE3CA4"/>
    <w:rsid w:val="00CE3E81"/>
    <w:rsid w:val="00CE3EA5"/>
    <w:rsid w:val="00CE415D"/>
    <w:rsid w:val="00CE41FD"/>
    <w:rsid w:val="00CE42B7"/>
    <w:rsid w:val="00CE43CC"/>
    <w:rsid w:val="00CE4696"/>
    <w:rsid w:val="00CE4991"/>
    <w:rsid w:val="00CE4A7A"/>
    <w:rsid w:val="00CE4B68"/>
    <w:rsid w:val="00CE519C"/>
    <w:rsid w:val="00CE527D"/>
    <w:rsid w:val="00CE54EC"/>
    <w:rsid w:val="00CE577E"/>
    <w:rsid w:val="00CE57D3"/>
    <w:rsid w:val="00CE5845"/>
    <w:rsid w:val="00CE5ACD"/>
    <w:rsid w:val="00CE5AED"/>
    <w:rsid w:val="00CE5B7F"/>
    <w:rsid w:val="00CE5BA9"/>
    <w:rsid w:val="00CE5BAB"/>
    <w:rsid w:val="00CE5EC1"/>
    <w:rsid w:val="00CE60C4"/>
    <w:rsid w:val="00CE628A"/>
    <w:rsid w:val="00CE6378"/>
    <w:rsid w:val="00CE6490"/>
    <w:rsid w:val="00CE67F8"/>
    <w:rsid w:val="00CE683F"/>
    <w:rsid w:val="00CE689A"/>
    <w:rsid w:val="00CE699D"/>
    <w:rsid w:val="00CE6AFD"/>
    <w:rsid w:val="00CE6CCD"/>
    <w:rsid w:val="00CE6D0A"/>
    <w:rsid w:val="00CE6D27"/>
    <w:rsid w:val="00CE6D46"/>
    <w:rsid w:val="00CE70C7"/>
    <w:rsid w:val="00CE719D"/>
    <w:rsid w:val="00CE71F3"/>
    <w:rsid w:val="00CE7295"/>
    <w:rsid w:val="00CE756B"/>
    <w:rsid w:val="00CE7662"/>
    <w:rsid w:val="00CE76AD"/>
    <w:rsid w:val="00CE76EB"/>
    <w:rsid w:val="00CE797A"/>
    <w:rsid w:val="00CE79D4"/>
    <w:rsid w:val="00CE7DB5"/>
    <w:rsid w:val="00CF043E"/>
    <w:rsid w:val="00CF0454"/>
    <w:rsid w:val="00CF05ED"/>
    <w:rsid w:val="00CF08EE"/>
    <w:rsid w:val="00CF0905"/>
    <w:rsid w:val="00CF092C"/>
    <w:rsid w:val="00CF0A1A"/>
    <w:rsid w:val="00CF0AC8"/>
    <w:rsid w:val="00CF0C5A"/>
    <w:rsid w:val="00CF0D04"/>
    <w:rsid w:val="00CF1480"/>
    <w:rsid w:val="00CF1AAE"/>
    <w:rsid w:val="00CF1AFB"/>
    <w:rsid w:val="00CF1BC4"/>
    <w:rsid w:val="00CF1C0C"/>
    <w:rsid w:val="00CF1C7A"/>
    <w:rsid w:val="00CF1D17"/>
    <w:rsid w:val="00CF200A"/>
    <w:rsid w:val="00CF208A"/>
    <w:rsid w:val="00CF20B1"/>
    <w:rsid w:val="00CF2396"/>
    <w:rsid w:val="00CF25F1"/>
    <w:rsid w:val="00CF2637"/>
    <w:rsid w:val="00CF27BE"/>
    <w:rsid w:val="00CF280A"/>
    <w:rsid w:val="00CF296E"/>
    <w:rsid w:val="00CF2CA4"/>
    <w:rsid w:val="00CF2DB6"/>
    <w:rsid w:val="00CF30A3"/>
    <w:rsid w:val="00CF31AB"/>
    <w:rsid w:val="00CF31DA"/>
    <w:rsid w:val="00CF3354"/>
    <w:rsid w:val="00CF363E"/>
    <w:rsid w:val="00CF3962"/>
    <w:rsid w:val="00CF3B17"/>
    <w:rsid w:val="00CF4565"/>
    <w:rsid w:val="00CF46CE"/>
    <w:rsid w:val="00CF4716"/>
    <w:rsid w:val="00CF488B"/>
    <w:rsid w:val="00CF497C"/>
    <w:rsid w:val="00CF4C37"/>
    <w:rsid w:val="00CF4D33"/>
    <w:rsid w:val="00CF4FBF"/>
    <w:rsid w:val="00CF5006"/>
    <w:rsid w:val="00CF50AA"/>
    <w:rsid w:val="00CF5398"/>
    <w:rsid w:val="00CF53E6"/>
    <w:rsid w:val="00CF5706"/>
    <w:rsid w:val="00CF58EF"/>
    <w:rsid w:val="00CF5A8E"/>
    <w:rsid w:val="00CF5BED"/>
    <w:rsid w:val="00CF5C1C"/>
    <w:rsid w:val="00CF6275"/>
    <w:rsid w:val="00CF6586"/>
    <w:rsid w:val="00CF6822"/>
    <w:rsid w:val="00CF685F"/>
    <w:rsid w:val="00CF68D2"/>
    <w:rsid w:val="00CF69B3"/>
    <w:rsid w:val="00CF69DD"/>
    <w:rsid w:val="00CF6A62"/>
    <w:rsid w:val="00CF6BAF"/>
    <w:rsid w:val="00CF6BCA"/>
    <w:rsid w:val="00CF6E05"/>
    <w:rsid w:val="00CF6F17"/>
    <w:rsid w:val="00CF7008"/>
    <w:rsid w:val="00CF7133"/>
    <w:rsid w:val="00CF715C"/>
    <w:rsid w:val="00CF729B"/>
    <w:rsid w:val="00CF73A6"/>
    <w:rsid w:val="00CF741E"/>
    <w:rsid w:val="00CF75BC"/>
    <w:rsid w:val="00CF7827"/>
    <w:rsid w:val="00CF7B34"/>
    <w:rsid w:val="00CF7FE1"/>
    <w:rsid w:val="00D0016A"/>
    <w:rsid w:val="00D00462"/>
    <w:rsid w:val="00D00502"/>
    <w:rsid w:val="00D008E6"/>
    <w:rsid w:val="00D00A8B"/>
    <w:rsid w:val="00D00B7C"/>
    <w:rsid w:val="00D00D33"/>
    <w:rsid w:val="00D011C5"/>
    <w:rsid w:val="00D014DD"/>
    <w:rsid w:val="00D0156F"/>
    <w:rsid w:val="00D016E0"/>
    <w:rsid w:val="00D01882"/>
    <w:rsid w:val="00D01BAD"/>
    <w:rsid w:val="00D01C32"/>
    <w:rsid w:val="00D01EE3"/>
    <w:rsid w:val="00D01F05"/>
    <w:rsid w:val="00D0237C"/>
    <w:rsid w:val="00D0244F"/>
    <w:rsid w:val="00D02A57"/>
    <w:rsid w:val="00D02C38"/>
    <w:rsid w:val="00D02D2C"/>
    <w:rsid w:val="00D02F12"/>
    <w:rsid w:val="00D02F4F"/>
    <w:rsid w:val="00D03203"/>
    <w:rsid w:val="00D03270"/>
    <w:rsid w:val="00D032F8"/>
    <w:rsid w:val="00D034C0"/>
    <w:rsid w:val="00D0355E"/>
    <w:rsid w:val="00D03612"/>
    <w:rsid w:val="00D0365B"/>
    <w:rsid w:val="00D036A5"/>
    <w:rsid w:val="00D038E4"/>
    <w:rsid w:val="00D03971"/>
    <w:rsid w:val="00D03B16"/>
    <w:rsid w:val="00D03CFA"/>
    <w:rsid w:val="00D03F8F"/>
    <w:rsid w:val="00D0423B"/>
    <w:rsid w:val="00D04BC1"/>
    <w:rsid w:val="00D0548C"/>
    <w:rsid w:val="00D0549D"/>
    <w:rsid w:val="00D054FB"/>
    <w:rsid w:val="00D05579"/>
    <w:rsid w:val="00D05611"/>
    <w:rsid w:val="00D05615"/>
    <w:rsid w:val="00D0565B"/>
    <w:rsid w:val="00D0566D"/>
    <w:rsid w:val="00D0593A"/>
    <w:rsid w:val="00D05959"/>
    <w:rsid w:val="00D05AD6"/>
    <w:rsid w:val="00D05CB1"/>
    <w:rsid w:val="00D05F0B"/>
    <w:rsid w:val="00D06202"/>
    <w:rsid w:val="00D062F4"/>
    <w:rsid w:val="00D064AB"/>
    <w:rsid w:val="00D064F7"/>
    <w:rsid w:val="00D06532"/>
    <w:rsid w:val="00D065E2"/>
    <w:rsid w:val="00D0663A"/>
    <w:rsid w:val="00D06689"/>
    <w:rsid w:val="00D0672B"/>
    <w:rsid w:val="00D06844"/>
    <w:rsid w:val="00D06A55"/>
    <w:rsid w:val="00D06ADF"/>
    <w:rsid w:val="00D06DAA"/>
    <w:rsid w:val="00D06DFA"/>
    <w:rsid w:val="00D06EAB"/>
    <w:rsid w:val="00D06F51"/>
    <w:rsid w:val="00D07108"/>
    <w:rsid w:val="00D07392"/>
    <w:rsid w:val="00D073F0"/>
    <w:rsid w:val="00D079A2"/>
    <w:rsid w:val="00D07B14"/>
    <w:rsid w:val="00D07C19"/>
    <w:rsid w:val="00D07CC2"/>
    <w:rsid w:val="00D07D6C"/>
    <w:rsid w:val="00D07FAD"/>
    <w:rsid w:val="00D10047"/>
    <w:rsid w:val="00D10223"/>
    <w:rsid w:val="00D1053A"/>
    <w:rsid w:val="00D10C36"/>
    <w:rsid w:val="00D10D76"/>
    <w:rsid w:val="00D1104B"/>
    <w:rsid w:val="00D114EB"/>
    <w:rsid w:val="00D115C6"/>
    <w:rsid w:val="00D1177F"/>
    <w:rsid w:val="00D1188D"/>
    <w:rsid w:val="00D11E0B"/>
    <w:rsid w:val="00D120CD"/>
    <w:rsid w:val="00D123AC"/>
    <w:rsid w:val="00D12485"/>
    <w:rsid w:val="00D12B99"/>
    <w:rsid w:val="00D12DB3"/>
    <w:rsid w:val="00D12FDA"/>
    <w:rsid w:val="00D13196"/>
    <w:rsid w:val="00D13322"/>
    <w:rsid w:val="00D136A3"/>
    <w:rsid w:val="00D1380C"/>
    <w:rsid w:val="00D138AB"/>
    <w:rsid w:val="00D1393E"/>
    <w:rsid w:val="00D13AEE"/>
    <w:rsid w:val="00D13B3A"/>
    <w:rsid w:val="00D140B6"/>
    <w:rsid w:val="00D14193"/>
    <w:rsid w:val="00D14281"/>
    <w:rsid w:val="00D142DC"/>
    <w:rsid w:val="00D142F1"/>
    <w:rsid w:val="00D144AA"/>
    <w:rsid w:val="00D14728"/>
    <w:rsid w:val="00D14C9A"/>
    <w:rsid w:val="00D15041"/>
    <w:rsid w:val="00D150AC"/>
    <w:rsid w:val="00D1533D"/>
    <w:rsid w:val="00D15370"/>
    <w:rsid w:val="00D153D9"/>
    <w:rsid w:val="00D1542A"/>
    <w:rsid w:val="00D154E6"/>
    <w:rsid w:val="00D1558F"/>
    <w:rsid w:val="00D15600"/>
    <w:rsid w:val="00D157E1"/>
    <w:rsid w:val="00D15985"/>
    <w:rsid w:val="00D15D22"/>
    <w:rsid w:val="00D15D31"/>
    <w:rsid w:val="00D15FFF"/>
    <w:rsid w:val="00D161DD"/>
    <w:rsid w:val="00D16250"/>
    <w:rsid w:val="00D162E4"/>
    <w:rsid w:val="00D1635B"/>
    <w:rsid w:val="00D1659C"/>
    <w:rsid w:val="00D16712"/>
    <w:rsid w:val="00D1674A"/>
    <w:rsid w:val="00D16CD5"/>
    <w:rsid w:val="00D16CE7"/>
    <w:rsid w:val="00D16F6A"/>
    <w:rsid w:val="00D17001"/>
    <w:rsid w:val="00D171D9"/>
    <w:rsid w:val="00D1758D"/>
    <w:rsid w:val="00D177B2"/>
    <w:rsid w:val="00D17B2E"/>
    <w:rsid w:val="00D2008B"/>
    <w:rsid w:val="00D200C7"/>
    <w:rsid w:val="00D2010A"/>
    <w:rsid w:val="00D2018E"/>
    <w:rsid w:val="00D2022E"/>
    <w:rsid w:val="00D202C8"/>
    <w:rsid w:val="00D2041E"/>
    <w:rsid w:val="00D204D2"/>
    <w:rsid w:val="00D20588"/>
    <w:rsid w:val="00D205E2"/>
    <w:rsid w:val="00D20972"/>
    <w:rsid w:val="00D20D66"/>
    <w:rsid w:val="00D21004"/>
    <w:rsid w:val="00D217F2"/>
    <w:rsid w:val="00D2181A"/>
    <w:rsid w:val="00D21AB3"/>
    <w:rsid w:val="00D21AB8"/>
    <w:rsid w:val="00D22041"/>
    <w:rsid w:val="00D22326"/>
    <w:rsid w:val="00D225AB"/>
    <w:rsid w:val="00D227D7"/>
    <w:rsid w:val="00D228EB"/>
    <w:rsid w:val="00D22A3C"/>
    <w:rsid w:val="00D22D8B"/>
    <w:rsid w:val="00D230AB"/>
    <w:rsid w:val="00D2323A"/>
    <w:rsid w:val="00D23369"/>
    <w:rsid w:val="00D23436"/>
    <w:rsid w:val="00D23459"/>
    <w:rsid w:val="00D23956"/>
    <w:rsid w:val="00D23B76"/>
    <w:rsid w:val="00D23C12"/>
    <w:rsid w:val="00D23D51"/>
    <w:rsid w:val="00D24081"/>
    <w:rsid w:val="00D24138"/>
    <w:rsid w:val="00D24152"/>
    <w:rsid w:val="00D2435C"/>
    <w:rsid w:val="00D2454A"/>
    <w:rsid w:val="00D24A56"/>
    <w:rsid w:val="00D24AF0"/>
    <w:rsid w:val="00D24C5D"/>
    <w:rsid w:val="00D24CAA"/>
    <w:rsid w:val="00D24E43"/>
    <w:rsid w:val="00D24E49"/>
    <w:rsid w:val="00D24E57"/>
    <w:rsid w:val="00D24FBD"/>
    <w:rsid w:val="00D251E1"/>
    <w:rsid w:val="00D25494"/>
    <w:rsid w:val="00D2559B"/>
    <w:rsid w:val="00D25630"/>
    <w:rsid w:val="00D256F0"/>
    <w:rsid w:val="00D25763"/>
    <w:rsid w:val="00D257CD"/>
    <w:rsid w:val="00D257DF"/>
    <w:rsid w:val="00D259A2"/>
    <w:rsid w:val="00D25AE6"/>
    <w:rsid w:val="00D25C40"/>
    <w:rsid w:val="00D25D20"/>
    <w:rsid w:val="00D25E05"/>
    <w:rsid w:val="00D25E69"/>
    <w:rsid w:val="00D26052"/>
    <w:rsid w:val="00D26084"/>
    <w:rsid w:val="00D26177"/>
    <w:rsid w:val="00D26213"/>
    <w:rsid w:val="00D262E7"/>
    <w:rsid w:val="00D26304"/>
    <w:rsid w:val="00D2642F"/>
    <w:rsid w:val="00D265D4"/>
    <w:rsid w:val="00D269CA"/>
    <w:rsid w:val="00D26B13"/>
    <w:rsid w:val="00D26BE7"/>
    <w:rsid w:val="00D27296"/>
    <w:rsid w:val="00D2729D"/>
    <w:rsid w:val="00D27587"/>
    <w:rsid w:val="00D27621"/>
    <w:rsid w:val="00D27C22"/>
    <w:rsid w:val="00D27C66"/>
    <w:rsid w:val="00D27CBC"/>
    <w:rsid w:val="00D27E5A"/>
    <w:rsid w:val="00D30159"/>
    <w:rsid w:val="00D3028A"/>
    <w:rsid w:val="00D3029A"/>
    <w:rsid w:val="00D302B7"/>
    <w:rsid w:val="00D304AE"/>
    <w:rsid w:val="00D304E2"/>
    <w:rsid w:val="00D305A6"/>
    <w:rsid w:val="00D3066B"/>
    <w:rsid w:val="00D308DC"/>
    <w:rsid w:val="00D30BF6"/>
    <w:rsid w:val="00D30DC9"/>
    <w:rsid w:val="00D30E5D"/>
    <w:rsid w:val="00D30E87"/>
    <w:rsid w:val="00D30F39"/>
    <w:rsid w:val="00D30FBA"/>
    <w:rsid w:val="00D31006"/>
    <w:rsid w:val="00D310A9"/>
    <w:rsid w:val="00D31295"/>
    <w:rsid w:val="00D314A9"/>
    <w:rsid w:val="00D31504"/>
    <w:rsid w:val="00D3154C"/>
    <w:rsid w:val="00D317A1"/>
    <w:rsid w:val="00D31806"/>
    <w:rsid w:val="00D31B30"/>
    <w:rsid w:val="00D31C4D"/>
    <w:rsid w:val="00D31CA2"/>
    <w:rsid w:val="00D31DB0"/>
    <w:rsid w:val="00D31E08"/>
    <w:rsid w:val="00D31F31"/>
    <w:rsid w:val="00D3212E"/>
    <w:rsid w:val="00D322DE"/>
    <w:rsid w:val="00D323CE"/>
    <w:rsid w:val="00D32485"/>
    <w:rsid w:val="00D324D2"/>
    <w:rsid w:val="00D32510"/>
    <w:rsid w:val="00D32754"/>
    <w:rsid w:val="00D32C1D"/>
    <w:rsid w:val="00D32CA0"/>
    <w:rsid w:val="00D32DE0"/>
    <w:rsid w:val="00D331D5"/>
    <w:rsid w:val="00D33250"/>
    <w:rsid w:val="00D3335C"/>
    <w:rsid w:val="00D334D4"/>
    <w:rsid w:val="00D336E8"/>
    <w:rsid w:val="00D33763"/>
    <w:rsid w:val="00D3386C"/>
    <w:rsid w:val="00D338C3"/>
    <w:rsid w:val="00D3394D"/>
    <w:rsid w:val="00D339EB"/>
    <w:rsid w:val="00D33ADB"/>
    <w:rsid w:val="00D33B7D"/>
    <w:rsid w:val="00D33D19"/>
    <w:rsid w:val="00D33E18"/>
    <w:rsid w:val="00D33E3E"/>
    <w:rsid w:val="00D33EF7"/>
    <w:rsid w:val="00D3443E"/>
    <w:rsid w:val="00D34648"/>
    <w:rsid w:val="00D3465D"/>
    <w:rsid w:val="00D347D8"/>
    <w:rsid w:val="00D348AB"/>
    <w:rsid w:val="00D34B24"/>
    <w:rsid w:val="00D34D06"/>
    <w:rsid w:val="00D34ED4"/>
    <w:rsid w:val="00D3522C"/>
    <w:rsid w:val="00D3526E"/>
    <w:rsid w:val="00D3529E"/>
    <w:rsid w:val="00D35731"/>
    <w:rsid w:val="00D35A46"/>
    <w:rsid w:val="00D35B7A"/>
    <w:rsid w:val="00D35C51"/>
    <w:rsid w:val="00D35CA4"/>
    <w:rsid w:val="00D35F94"/>
    <w:rsid w:val="00D361C1"/>
    <w:rsid w:val="00D364F3"/>
    <w:rsid w:val="00D365DE"/>
    <w:rsid w:val="00D366E2"/>
    <w:rsid w:val="00D36A77"/>
    <w:rsid w:val="00D36B36"/>
    <w:rsid w:val="00D36B66"/>
    <w:rsid w:val="00D36C86"/>
    <w:rsid w:val="00D36CDA"/>
    <w:rsid w:val="00D36D3D"/>
    <w:rsid w:val="00D36D46"/>
    <w:rsid w:val="00D36E94"/>
    <w:rsid w:val="00D36F6E"/>
    <w:rsid w:val="00D37550"/>
    <w:rsid w:val="00D3787F"/>
    <w:rsid w:val="00D3793F"/>
    <w:rsid w:val="00D37B73"/>
    <w:rsid w:val="00D37C3A"/>
    <w:rsid w:val="00D37F28"/>
    <w:rsid w:val="00D40198"/>
    <w:rsid w:val="00D40385"/>
    <w:rsid w:val="00D40456"/>
    <w:rsid w:val="00D40886"/>
    <w:rsid w:val="00D40CB2"/>
    <w:rsid w:val="00D40F58"/>
    <w:rsid w:val="00D41479"/>
    <w:rsid w:val="00D416CD"/>
    <w:rsid w:val="00D41B07"/>
    <w:rsid w:val="00D41BFA"/>
    <w:rsid w:val="00D41C03"/>
    <w:rsid w:val="00D41D7B"/>
    <w:rsid w:val="00D41E02"/>
    <w:rsid w:val="00D41FAD"/>
    <w:rsid w:val="00D41FFC"/>
    <w:rsid w:val="00D4209B"/>
    <w:rsid w:val="00D420A4"/>
    <w:rsid w:val="00D4213A"/>
    <w:rsid w:val="00D42183"/>
    <w:rsid w:val="00D421BC"/>
    <w:rsid w:val="00D42458"/>
    <w:rsid w:val="00D424BB"/>
    <w:rsid w:val="00D42504"/>
    <w:rsid w:val="00D4279F"/>
    <w:rsid w:val="00D42E79"/>
    <w:rsid w:val="00D43012"/>
    <w:rsid w:val="00D43300"/>
    <w:rsid w:val="00D4335B"/>
    <w:rsid w:val="00D433B6"/>
    <w:rsid w:val="00D43427"/>
    <w:rsid w:val="00D436B7"/>
    <w:rsid w:val="00D436F1"/>
    <w:rsid w:val="00D43A26"/>
    <w:rsid w:val="00D43D31"/>
    <w:rsid w:val="00D44012"/>
    <w:rsid w:val="00D44271"/>
    <w:rsid w:val="00D445F0"/>
    <w:rsid w:val="00D4483F"/>
    <w:rsid w:val="00D449EA"/>
    <w:rsid w:val="00D44AF9"/>
    <w:rsid w:val="00D44CE4"/>
    <w:rsid w:val="00D44D41"/>
    <w:rsid w:val="00D44E32"/>
    <w:rsid w:val="00D44EDE"/>
    <w:rsid w:val="00D4502E"/>
    <w:rsid w:val="00D45367"/>
    <w:rsid w:val="00D45453"/>
    <w:rsid w:val="00D4545C"/>
    <w:rsid w:val="00D456C4"/>
    <w:rsid w:val="00D45711"/>
    <w:rsid w:val="00D45ABD"/>
    <w:rsid w:val="00D45AE8"/>
    <w:rsid w:val="00D45EBC"/>
    <w:rsid w:val="00D45F43"/>
    <w:rsid w:val="00D460D0"/>
    <w:rsid w:val="00D464E9"/>
    <w:rsid w:val="00D4686E"/>
    <w:rsid w:val="00D46D86"/>
    <w:rsid w:val="00D4715E"/>
    <w:rsid w:val="00D471B4"/>
    <w:rsid w:val="00D472F9"/>
    <w:rsid w:val="00D474B2"/>
    <w:rsid w:val="00D4750D"/>
    <w:rsid w:val="00D47547"/>
    <w:rsid w:val="00D477EB"/>
    <w:rsid w:val="00D478C9"/>
    <w:rsid w:val="00D4794E"/>
    <w:rsid w:val="00D47971"/>
    <w:rsid w:val="00D47DB6"/>
    <w:rsid w:val="00D47E26"/>
    <w:rsid w:val="00D503E2"/>
    <w:rsid w:val="00D509EA"/>
    <w:rsid w:val="00D50A0B"/>
    <w:rsid w:val="00D50D3A"/>
    <w:rsid w:val="00D50E42"/>
    <w:rsid w:val="00D51148"/>
    <w:rsid w:val="00D5114D"/>
    <w:rsid w:val="00D513A0"/>
    <w:rsid w:val="00D516A4"/>
    <w:rsid w:val="00D516AB"/>
    <w:rsid w:val="00D5179F"/>
    <w:rsid w:val="00D51C3E"/>
    <w:rsid w:val="00D52022"/>
    <w:rsid w:val="00D5234D"/>
    <w:rsid w:val="00D5271B"/>
    <w:rsid w:val="00D5277E"/>
    <w:rsid w:val="00D52784"/>
    <w:rsid w:val="00D52A28"/>
    <w:rsid w:val="00D52ADF"/>
    <w:rsid w:val="00D52B65"/>
    <w:rsid w:val="00D52C86"/>
    <w:rsid w:val="00D532BE"/>
    <w:rsid w:val="00D53465"/>
    <w:rsid w:val="00D535C8"/>
    <w:rsid w:val="00D53668"/>
    <w:rsid w:val="00D5383D"/>
    <w:rsid w:val="00D539EF"/>
    <w:rsid w:val="00D53A35"/>
    <w:rsid w:val="00D53A55"/>
    <w:rsid w:val="00D53A83"/>
    <w:rsid w:val="00D53B33"/>
    <w:rsid w:val="00D53CAE"/>
    <w:rsid w:val="00D53DD5"/>
    <w:rsid w:val="00D54064"/>
    <w:rsid w:val="00D541B2"/>
    <w:rsid w:val="00D54370"/>
    <w:rsid w:val="00D5457A"/>
    <w:rsid w:val="00D545A6"/>
    <w:rsid w:val="00D548C5"/>
    <w:rsid w:val="00D54FA1"/>
    <w:rsid w:val="00D54FF8"/>
    <w:rsid w:val="00D55154"/>
    <w:rsid w:val="00D551C8"/>
    <w:rsid w:val="00D552D8"/>
    <w:rsid w:val="00D552E8"/>
    <w:rsid w:val="00D55555"/>
    <w:rsid w:val="00D555F0"/>
    <w:rsid w:val="00D55A82"/>
    <w:rsid w:val="00D55BE7"/>
    <w:rsid w:val="00D55CA2"/>
    <w:rsid w:val="00D56081"/>
    <w:rsid w:val="00D56154"/>
    <w:rsid w:val="00D5627F"/>
    <w:rsid w:val="00D56281"/>
    <w:rsid w:val="00D56630"/>
    <w:rsid w:val="00D566E8"/>
    <w:rsid w:val="00D56814"/>
    <w:rsid w:val="00D568EA"/>
    <w:rsid w:val="00D56C12"/>
    <w:rsid w:val="00D56C57"/>
    <w:rsid w:val="00D56C7B"/>
    <w:rsid w:val="00D56CD8"/>
    <w:rsid w:val="00D56E47"/>
    <w:rsid w:val="00D57016"/>
    <w:rsid w:val="00D570C1"/>
    <w:rsid w:val="00D57178"/>
    <w:rsid w:val="00D571EB"/>
    <w:rsid w:val="00D57348"/>
    <w:rsid w:val="00D573BB"/>
    <w:rsid w:val="00D574F7"/>
    <w:rsid w:val="00D575A7"/>
    <w:rsid w:val="00D575DD"/>
    <w:rsid w:val="00D575EC"/>
    <w:rsid w:val="00D57664"/>
    <w:rsid w:val="00D5768D"/>
    <w:rsid w:val="00D5772E"/>
    <w:rsid w:val="00D5782F"/>
    <w:rsid w:val="00D579B6"/>
    <w:rsid w:val="00D579EA"/>
    <w:rsid w:val="00D57CC0"/>
    <w:rsid w:val="00D57FA0"/>
    <w:rsid w:val="00D600FD"/>
    <w:rsid w:val="00D602CF"/>
    <w:rsid w:val="00D60573"/>
    <w:rsid w:val="00D6057A"/>
    <w:rsid w:val="00D60979"/>
    <w:rsid w:val="00D60A6D"/>
    <w:rsid w:val="00D60A7D"/>
    <w:rsid w:val="00D60A9A"/>
    <w:rsid w:val="00D60B3C"/>
    <w:rsid w:val="00D60F83"/>
    <w:rsid w:val="00D6108E"/>
    <w:rsid w:val="00D61215"/>
    <w:rsid w:val="00D6122D"/>
    <w:rsid w:val="00D61418"/>
    <w:rsid w:val="00D618CF"/>
    <w:rsid w:val="00D61984"/>
    <w:rsid w:val="00D6198F"/>
    <w:rsid w:val="00D61A14"/>
    <w:rsid w:val="00D61A37"/>
    <w:rsid w:val="00D61AC6"/>
    <w:rsid w:val="00D61D5D"/>
    <w:rsid w:val="00D61FEB"/>
    <w:rsid w:val="00D6228C"/>
    <w:rsid w:val="00D6233C"/>
    <w:rsid w:val="00D6270D"/>
    <w:rsid w:val="00D629B9"/>
    <w:rsid w:val="00D62BD7"/>
    <w:rsid w:val="00D63047"/>
    <w:rsid w:val="00D63049"/>
    <w:rsid w:val="00D63202"/>
    <w:rsid w:val="00D6371D"/>
    <w:rsid w:val="00D63764"/>
    <w:rsid w:val="00D6384F"/>
    <w:rsid w:val="00D638DC"/>
    <w:rsid w:val="00D638F7"/>
    <w:rsid w:val="00D63C29"/>
    <w:rsid w:val="00D63D23"/>
    <w:rsid w:val="00D63E7F"/>
    <w:rsid w:val="00D642DC"/>
    <w:rsid w:val="00D643AA"/>
    <w:rsid w:val="00D6450F"/>
    <w:rsid w:val="00D64854"/>
    <w:rsid w:val="00D64962"/>
    <w:rsid w:val="00D64FB8"/>
    <w:rsid w:val="00D6503F"/>
    <w:rsid w:val="00D65115"/>
    <w:rsid w:val="00D65496"/>
    <w:rsid w:val="00D656F2"/>
    <w:rsid w:val="00D6595C"/>
    <w:rsid w:val="00D659CD"/>
    <w:rsid w:val="00D65B57"/>
    <w:rsid w:val="00D65B7E"/>
    <w:rsid w:val="00D65C1C"/>
    <w:rsid w:val="00D660A7"/>
    <w:rsid w:val="00D66110"/>
    <w:rsid w:val="00D662BA"/>
    <w:rsid w:val="00D66498"/>
    <w:rsid w:val="00D669B7"/>
    <w:rsid w:val="00D66ABA"/>
    <w:rsid w:val="00D66AE7"/>
    <w:rsid w:val="00D66DC7"/>
    <w:rsid w:val="00D67348"/>
    <w:rsid w:val="00D67888"/>
    <w:rsid w:val="00D67AC4"/>
    <w:rsid w:val="00D67C6A"/>
    <w:rsid w:val="00D67E48"/>
    <w:rsid w:val="00D67F2A"/>
    <w:rsid w:val="00D70159"/>
    <w:rsid w:val="00D70186"/>
    <w:rsid w:val="00D7030F"/>
    <w:rsid w:val="00D70A2E"/>
    <w:rsid w:val="00D70A5A"/>
    <w:rsid w:val="00D70BA2"/>
    <w:rsid w:val="00D70E79"/>
    <w:rsid w:val="00D7120B"/>
    <w:rsid w:val="00D7137D"/>
    <w:rsid w:val="00D71529"/>
    <w:rsid w:val="00D71D4F"/>
    <w:rsid w:val="00D726CB"/>
    <w:rsid w:val="00D726CF"/>
    <w:rsid w:val="00D72ACF"/>
    <w:rsid w:val="00D72B7C"/>
    <w:rsid w:val="00D72C88"/>
    <w:rsid w:val="00D72FF8"/>
    <w:rsid w:val="00D73119"/>
    <w:rsid w:val="00D7355F"/>
    <w:rsid w:val="00D7373C"/>
    <w:rsid w:val="00D73799"/>
    <w:rsid w:val="00D737BC"/>
    <w:rsid w:val="00D73855"/>
    <w:rsid w:val="00D73938"/>
    <w:rsid w:val="00D73BC1"/>
    <w:rsid w:val="00D73EB7"/>
    <w:rsid w:val="00D74121"/>
    <w:rsid w:val="00D74228"/>
    <w:rsid w:val="00D7447E"/>
    <w:rsid w:val="00D7483E"/>
    <w:rsid w:val="00D749F1"/>
    <w:rsid w:val="00D74F63"/>
    <w:rsid w:val="00D750C8"/>
    <w:rsid w:val="00D750FC"/>
    <w:rsid w:val="00D75211"/>
    <w:rsid w:val="00D75262"/>
    <w:rsid w:val="00D75443"/>
    <w:rsid w:val="00D75449"/>
    <w:rsid w:val="00D754B2"/>
    <w:rsid w:val="00D754BE"/>
    <w:rsid w:val="00D75AEC"/>
    <w:rsid w:val="00D75D39"/>
    <w:rsid w:val="00D75E23"/>
    <w:rsid w:val="00D76328"/>
    <w:rsid w:val="00D765EE"/>
    <w:rsid w:val="00D7660D"/>
    <w:rsid w:val="00D76661"/>
    <w:rsid w:val="00D76702"/>
    <w:rsid w:val="00D7680A"/>
    <w:rsid w:val="00D76892"/>
    <w:rsid w:val="00D76CC8"/>
    <w:rsid w:val="00D76E33"/>
    <w:rsid w:val="00D76ECD"/>
    <w:rsid w:val="00D7701E"/>
    <w:rsid w:val="00D770BD"/>
    <w:rsid w:val="00D770D2"/>
    <w:rsid w:val="00D77272"/>
    <w:rsid w:val="00D77309"/>
    <w:rsid w:val="00D7742D"/>
    <w:rsid w:val="00D7785B"/>
    <w:rsid w:val="00D77BD8"/>
    <w:rsid w:val="00D77D94"/>
    <w:rsid w:val="00D77F2A"/>
    <w:rsid w:val="00D77F6E"/>
    <w:rsid w:val="00D80134"/>
    <w:rsid w:val="00D80634"/>
    <w:rsid w:val="00D806C6"/>
    <w:rsid w:val="00D808EC"/>
    <w:rsid w:val="00D809F9"/>
    <w:rsid w:val="00D80D78"/>
    <w:rsid w:val="00D80E3E"/>
    <w:rsid w:val="00D80F55"/>
    <w:rsid w:val="00D80FA9"/>
    <w:rsid w:val="00D811AF"/>
    <w:rsid w:val="00D81910"/>
    <w:rsid w:val="00D819C4"/>
    <w:rsid w:val="00D819E9"/>
    <w:rsid w:val="00D81B57"/>
    <w:rsid w:val="00D81B72"/>
    <w:rsid w:val="00D81F9D"/>
    <w:rsid w:val="00D81FAF"/>
    <w:rsid w:val="00D81FF3"/>
    <w:rsid w:val="00D82046"/>
    <w:rsid w:val="00D82067"/>
    <w:rsid w:val="00D82229"/>
    <w:rsid w:val="00D82364"/>
    <w:rsid w:val="00D8273F"/>
    <w:rsid w:val="00D82A9A"/>
    <w:rsid w:val="00D82E7B"/>
    <w:rsid w:val="00D83412"/>
    <w:rsid w:val="00D8367D"/>
    <w:rsid w:val="00D837AB"/>
    <w:rsid w:val="00D839FE"/>
    <w:rsid w:val="00D83A4B"/>
    <w:rsid w:val="00D83E52"/>
    <w:rsid w:val="00D83FC4"/>
    <w:rsid w:val="00D83FDF"/>
    <w:rsid w:val="00D8404E"/>
    <w:rsid w:val="00D84267"/>
    <w:rsid w:val="00D843A5"/>
    <w:rsid w:val="00D84511"/>
    <w:rsid w:val="00D8479F"/>
    <w:rsid w:val="00D847AE"/>
    <w:rsid w:val="00D847D7"/>
    <w:rsid w:val="00D848E5"/>
    <w:rsid w:val="00D84999"/>
    <w:rsid w:val="00D84B1B"/>
    <w:rsid w:val="00D84C16"/>
    <w:rsid w:val="00D84C79"/>
    <w:rsid w:val="00D853D0"/>
    <w:rsid w:val="00D853DA"/>
    <w:rsid w:val="00D8577A"/>
    <w:rsid w:val="00D85843"/>
    <w:rsid w:val="00D8585D"/>
    <w:rsid w:val="00D85B09"/>
    <w:rsid w:val="00D85E53"/>
    <w:rsid w:val="00D85F12"/>
    <w:rsid w:val="00D86152"/>
    <w:rsid w:val="00D86222"/>
    <w:rsid w:val="00D8653B"/>
    <w:rsid w:val="00D86799"/>
    <w:rsid w:val="00D868C9"/>
    <w:rsid w:val="00D86B54"/>
    <w:rsid w:val="00D86F80"/>
    <w:rsid w:val="00D87071"/>
    <w:rsid w:val="00D870C0"/>
    <w:rsid w:val="00D8711F"/>
    <w:rsid w:val="00D87235"/>
    <w:rsid w:val="00D872F0"/>
    <w:rsid w:val="00D87404"/>
    <w:rsid w:val="00D87553"/>
    <w:rsid w:val="00D87629"/>
    <w:rsid w:val="00D87A73"/>
    <w:rsid w:val="00D87A8D"/>
    <w:rsid w:val="00D87A95"/>
    <w:rsid w:val="00D87B5C"/>
    <w:rsid w:val="00D87F96"/>
    <w:rsid w:val="00D90257"/>
    <w:rsid w:val="00D902E9"/>
    <w:rsid w:val="00D90426"/>
    <w:rsid w:val="00D9056C"/>
    <w:rsid w:val="00D905BA"/>
    <w:rsid w:val="00D90664"/>
    <w:rsid w:val="00D906CC"/>
    <w:rsid w:val="00D90725"/>
    <w:rsid w:val="00D907D6"/>
    <w:rsid w:val="00D90911"/>
    <w:rsid w:val="00D90964"/>
    <w:rsid w:val="00D90A7E"/>
    <w:rsid w:val="00D90BAC"/>
    <w:rsid w:val="00D90D4B"/>
    <w:rsid w:val="00D910F1"/>
    <w:rsid w:val="00D9140E"/>
    <w:rsid w:val="00D9142D"/>
    <w:rsid w:val="00D9144D"/>
    <w:rsid w:val="00D918CE"/>
    <w:rsid w:val="00D918F0"/>
    <w:rsid w:val="00D9194D"/>
    <w:rsid w:val="00D919CA"/>
    <w:rsid w:val="00D91A51"/>
    <w:rsid w:val="00D91AA7"/>
    <w:rsid w:val="00D91EA4"/>
    <w:rsid w:val="00D91F1F"/>
    <w:rsid w:val="00D91F42"/>
    <w:rsid w:val="00D920F1"/>
    <w:rsid w:val="00D9217D"/>
    <w:rsid w:val="00D922A0"/>
    <w:rsid w:val="00D923C9"/>
    <w:rsid w:val="00D92473"/>
    <w:rsid w:val="00D924DD"/>
    <w:rsid w:val="00D925AF"/>
    <w:rsid w:val="00D926E5"/>
    <w:rsid w:val="00D92700"/>
    <w:rsid w:val="00D92F18"/>
    <w:rsid w:val="00D92F1C"/>
    <w:rsid w:val="00D930AF"/>
    <w:rsid w:val="00D93142"/>
    <w:rsid w:val="00D93195"/>
    <w:rsid w:val="00D9340C"/>
    <w:rsid w:val="00D93783"/>
    <w:rsid w:val="00D937F2"/>
    <w:rsid w:val="00D93A1A"/>
    <w:rsid w:val="00D93C60"/>
    <w:rsid w:val="00D93E32"/>
    <w:rsid w:val="00D93F2F"/>
    <w:rsid w:val="00D941D8"/>
    <w:rsid w:val="00D94438"/>
    <w:rsid w:val="00D9449E"/>
    <w:rsid w:val="00D944B1"/>
    <w:rsid w:val="00D94860"/>
    <w:rsid w:val="00D949A2"/>
    <w:rsid w:val="00D949F7"/>
    <w:rsid w:val="00D94C18"/>
    <w:rsid w:val="00D94C43"/>
    <w:rsid w:val="00D950A6"/>
    <w:rsid w:val="00D950C7"/>
    <w:rsid w:val="00D9548A"/>
    <w:rsid w:val="00D955D9"/>
    <w:rsid w:val="00D9562A"/>
    <w:rsid w:val="00D95674"/>
    <w:rsid w:val="00D9576C"/>
    <w:rsid w:val="00D95891"/>
    <w:rsid w:val="00D95956"/>
    <w:rsid w:val="00D9596A"/>
    <w:rsid w:val="00D959B6"/>
    <w:rsid w:val="00D95B9D"/>
    <w:rsid w:val="00D95C1A"/>
    <w:rsid w:val="00D95CA3"/>
    <w:rsid w:val="00D95F0E"/>
    <w:rsid w:val="00D95F5C"/>
    <w:rsid w:val="00D95F82"/>
    <w:rsid w:val="00D96216"/>
    <w:rsid w:val="00D96324"/>
    <w:rsid w:val="00D9634B"/>
    <w:rsid w:val="00D9649B"/>
    <w:rsid w:val="00D9651A"/>
    <w:rsid w:val="00D9670F"/>
    <w:rsid w:val="00D9688F"/>
    <w:rsid w:val="00D96B85"/>
    <w:rsid w:val="00D96C1A"/>
    <w:rsid w:val="00D96E2A"/>
    <w:rsid w:val="00D96F70"/>
    <w:rsid w:val="00D970EE"/>
    <w:rsid w:val="00D977D5"/>
    <w:rsid w:val="00D9781C"/>
    <w:rsid w:val="00D97A14"/>
    <w:rsid w:val="00D97AA4"/>
    <w:rsid w:val="00D97EEF"/>
    <w:rsid w:val="00DA039D"/>
    <w:rsid w:val="00DA0581"/>
    <w:rsid w:val="00DA0646"/>
    <w:rsid w:val="00DA0AB9"/>
    <w:rsid w:val="00DA0BDE"/>
    <w:rsid w:val="00DA0E93"/>
    <w:rsid w:val="00DA127A"/>
    <w:rsid w:val="00DA141E"/>
    <w:rsid w:val="00DA15E5"/>
    <w:rsid w:val="00DA160B"/>
    <w:rsid w:val="00DA1AF6"/>
    <w:rsid w:val="00DA1DBF"/>
    <w:rsid w:val="00DA1F01"/>
    <w:rsid w:val="00DA1F2B"/>
    <w:rsid w:val="00DA1FD7"/>
    <w:rsid w:val="00DA202A"/>
    <w:rsid w:val="00DA22DE"/>
    <w:rsid w:val="00DA2345"/>
    <w:rsid w:val="00DA2767"/>
    <w:rsid w:val="00DA2C49"/>
    <w:rsid w:val="00DA2D73"/>
    <w:rsid w:val="00DA2EA3"/>
    <w:rsid w:val="00DA3231"/>
    <w:rsid w:val="00DA3252"/>
    <w:rsid w:val="00DA353B"/>
    <w:rsid w:val="00DA364E"/>
    <w:rsid w:val="00DA3728"/>
    <w:rsid w:val="00DA380D"/>
    <w:rsid w:val="00DA381A"/>
    <w:rsid w:val="00DA38C6"/>
    <w:rsid w:val="00DA3A34"/>
    <w:rsid w:val="00DA3B3B"/>
    <w:rsid w:val="00DA3D91"/>
    <w:rsid w:val="00DA4251"/>
    <w:rsid w:val="00DA42B5"/>
    <w:rsid w:val="00DA45BD"/>
    <w:rsid w:val="00DA46E0"/>
    <w:rsid w:val="00DA4922"/>
    <w:rsid w:val="00DA4977"/>
    <w:rsid w:val="00DA4B71"/>
    <w:rsid w:val="00DA4C55"/>
    <w:rsid w:val="00DA50FC"/>
    <w:rsid w:val="00DA52C7"/>
    <w:rsid w:val="00DA5401"/>
    <w:rsid w:val="00DA5554"/>
    <w:rsid w:val="00DA5683"/>
    <w:rsid w:val="00DA569E"/>
    <w:rsid w:val="00DA5CAC"/>
    <w:rsid w:val="00DA5E61"/>
    <w:rsid w:val="00DA5EC2"/>
    <w:rsid w:val="00DA6051"/>
    <w:rsid w:val="00DA6541"/>
    <w:rsid w:val="00DA66FE"/>
    <w:rsid w:val="00DA68B0"/>
    <w:rsid w:val="00DA6986"/>
    <w:rsid w:val="00DA69E4"/>
    <w:rsid w:val="00DA6AD0"/>
    <w:rsid w:val="00DA7200"/>
    <w:rsid w:val="00DA7212"/>
    <w:rsid w:val="00DA72FD"/>
    <w:rsid w:val="00DA7355"/>
    <w:rsid w:val="00DA7420"/>
    <w:rsid w:val="00DA76C7"/>
    <w:rsid w:val="00DA7917"/>
    <w:rsid w:val="00DA7B59"/>
    <w:rsid w:val="00DA7C45"/>
    <w:rsid w:val="00DA7D2B"/>
    <w:rsid w:val="00DB00B9"/>
    <w:rsid w:val="00DB01E1"/>
    <w:rsid w:val="00DB06AD"/>
    <w:rsid w:val="00DB0809"/>
    <w:rsid w:val="00DB0835"/>
    <w:rsid w:val="00DB08B3"/>
    <w:rsid w:val="00DB09F6"/>
    <w:rsid w:val="00DB0D5C"/>
    <w:rsid w:val="00DB13A1"/>
    <w:rsid w:val="00DB144E"/>
    <w:rsid w:val="00DB149B"/>
    <w:rsid w:val="00DB166F"/>
    <w:rsid w:val="00DB1C4F"/>
    <w:rsid w:val="00DB1C9C"/>
    <w:rsid w:val="00DB1F93"/>
    <w:rsid w:val="00DB2068"/>
    <w:rsid w:val="00DB22AA"/>
    <w:rsid w:val="00DB22E5"/>
    <w:rsid w:val="00DB237C"/>
    <w:rsid w:val="00DB23B7"/>
    <w:rsid w:val="00DB2501"/>
    <w:rsid w:val="00DB2566"/>
    <w:rsid w:val="00DB25F1"/>
    <w:rsid w:val="00DB261F"/>
    <w:rsid w:val="00DB2724"/>
    <w:rsid w:val="00DB2879"/>
    <w:rsid w:val="00DB2AAA"/>
    <w:rsid w:val="00DB2B1D"/>
    <w:rsid w:val="00DB2CCA"/>
    <w:rsid w:val="00DB2D96"/>
    <w:rsid w:val="00DB3332"/>
    <w:rsid w:val="00DB3456"/>
    <w:rsid w:val="00DB34F0"/>
    <w:rsid w:val="00DB3615"/>
    <w:rsid w:val="00DB3735"/>
    <w:rsid w:val="00DB38D3"/>
    <w:rsid w:val="00DB3B76"/>
    <w:rsid w:val="00DB3D21"/>
    <w:rsid w:val="00DB4118"/>
    <w:rsid w:val="00DB4191"/>
    <w:rsid w:val="00DB41C4"/>
    <w:rsid w:val="00DB4235"/>
    <w:rsid w:val="00DB435C"/>
    <w:rsid w:val="00DB4487"/>
    <w:rsid w:val="00DB44FE"/>
    <w:rsid w:val="00DB45A9"/>
    <w:rsid w:val="00DB4773"/>
    <w:rsid w:val="00DB4C16"/>
    <w:rsid w:val="00DB4D51"/>
    <w:rsid w:val="00DB4DAB"/>
    <w:rsid w:val="00DB4ECA"/>
    <w:rsid w:val="00DB4FCE"/>
    <w:rsid w:val="00DB5509"/>
    <w:rsid w:val="00DB55AE"/>
    <w:rsid w:val="00DB585A"/>
    <w:rsid w:val="00DB5DDC"/>
    <w:rsid w:val="00DB5FD4"/>
    <w:rsid w:val="00DB610E"/>
    <w:rsid w:val="00DB6518"/>
    <w:rsid w:val="00DB655A"/>
    <w:rsid w:val="00DB6560"/>
    <w:rsid w:val="00DB6564"/>
    <w:rsid w:val="00DB6571"/>
    <w:rsid w:val="00DB6833"/>
    <w:rsid w:val="00DB6847"/>
    <w:rsid w:val="00DB6859"/>
    <w:rsid w:val="00DB6B9B"/>
    <w:rsid w:val="00DB6C25"/>
    <w:rsid w:val="00DB6CA3"/>
    <w:rsid w:val="00DB6E49"/>
    <w:rsid w:val="00DB6E81"/>
    <w:rsid w:val="00DB7006"/>
    <w:rsid w:val="00DB757F"/>
    <w:rsid w:val="00DB76AA"/>
    <w:rsid w:val="00DB76E2"/>
    <w:rsid w:val="00DB78DA"/>
    <w:rsid w:val="00DB7CC1"/>
    <w:rsid w:val="00DB7D7C"/>
    <w:rsid w:val="00DB7D89"/>
    <w:rsid w:val="00DB7E9B"/>
    <w:rsid w:val="00DC0026"/>
    <w:rsid w:val="00DC003A"/>
    <w:rsid w:val="00DC04BD"/>
    <w:rsid w:val="00DC056F"/>
    <w:rsid w:val="00DC085C"/>
    <w:rsid w:val="00DC0933"/>
    <w:rsid w:val="00DC0A6B"/>
    <w:rsid w:val="00DC0BEA"/>
    <w:rsid w:val="00DC0C43"/>
    <w:rsid w:val="00DC0CAB"/>
    <w:rsid w:val="00DC0DEF"/>
    <w:rsid w:val="00DC0E7B"/>
    <w:rsid w:val="00DC0EA0"/>
    <w:rsid w:val="00DC0EDE"/>
    <w:rsid w:val="00DC1072"/>
    <w:rsid w:val="00DC109E"/>
    <w:rsid w:val="00DC1376"/>
    <w:rsid w:val="00DC1522"/>
    <w:rsid w:val="00DC1655"/>
    <w:rsid w:val="00DC16B8"/>
    <w:rsid w:val="00DC18AC"/>
    <w:rsid w:val="00DC1B63"/>
    <w:rsid w:val="00DC1FEF"/>
    <w:rsid w:val="00DC21B7"/>
    <w:rsid w:val="00DC23AF"/>
    <w:rsid w:val="00DC2A24"/>
    <w:rsid w:val="00DC3983"/>
    <w:rsid w:val="00DC3B68"/>
    <w:rsid w:val="00DC3BF5"/>
    <w:rsid w:val="00DC3CE5"/>
    <w:rsid w:val="00DC3D3F"/>
    <w:rsid w:val="00DC3F4D"/>
    <w:rsid w:val="00DC42E8"/>
    <w:rsid w:val="00DC44DE"/>
    <w:rsid w:val="00DC48FA"/>
    <w:rsid w:val="00DC4A03"/>
    <w:rsid w:val="00DC4A1A"/>
    <w:rsid w:val="00DC4A98"/>
    <w:rsid w:val="00DC4AB0"/>
    <w:rsid w:val="00DC4CE9"/>
    <w:rsid w:val="00DC4DE1"/>
    <w:rsid w:val="00DC51B5"/>
    <w:rsid w:val="00DC51F8"/>
    <w:rsid w:val="00DC52CE"/>
    <w:rsid w:val="00DC535E"/>
    <w:rsid w:val="00DC564D"/>
    <w:rsid w:val="00DC594E"/>
    <w:rsid w:val="00DC5DCA"/>
    <w:rsid w:val="00DC5E9F"/>
    <w:rsid w:val="00DC5FAE"/>
    <w:rsid w:val="00DC5FBA"/>
    <w:rsid w:val="00DC6270"/>
    <w:rsid w:val="00DC64B4"/>
    <w:rsid w:val="00DC6C89"/>
    <w:rsid w:val="00DC6CED"/>
    <w:rsid w:val="00DC6D5A"/>
    <w:rsid w:val="00DC6D82"/>
    <w:rsid w:val="00DC73E1"/>
    <w:rsid w:val="00DC762C"/>
    <w:rsid w:val="00DC7B9A"/>
    <w:rsid w:val="00DC7E8A"/>
    <w:rsid w:val="00DD002C"/>
    <w:rsid w:val="00DD00D2"/>
    <w:rsid w:val="00DD01D5"/>
    <w:rsid w:val="00DD0380"/>
    <w:rsid w:val="00DD044E"/>
    <w:rsid w:val="00DD06CA"/>
    <w:rsid w:val="00DD0930"/>
    <w:rsid w:val="00DD09EB"/>
    <w:rsid w:val="00DD0A59"/>
    <w:rsid w:val="00DD0B15"/>
    <w:rsid w:val="00DD0B75"/>
    <w:rsid w:val="00DD0B82"/>
    <w:rsid w:val="00DD0DD5"/>
    <w:rsid w:val="00DD0F2B"/>
    <w:rsid w:val="00DD0FC9"/>
    <w:rsid w:val="00DD13AD"/>
    <w:rsid w:val="00DD163D"/>
    <w:rsid w:val="00DD176A"/>
    <w:rsid w:val="00DD17D4"/>
    <w:rsid w:val="00DD1A25"/>
    <w:rsid w:val="00DD1E39"/>
    <w:rsid w:val="00DD1E62"/>
    <w:rsid w:val="00DD1F18"/>
    <w:rsid w:val="00DD209A"/>
    <w:rsid w:val="00DD226F"/>
    <w:rsid w:val="00DD2464"/>
    <w:rsid w:val="00DD26DF"/>
    <w:rsid w:val="00DD27BF"/>
    <w:rsid w:val="00DD2953"/>
    <w:rsid w:val="00DD2969"/>
    <w:rsid w:val="00DD29CA"/>
    <w:rsid w:val="00DD2D15"/>
    <w:rsid w:val="00DD2D58"/>
    <w:rsid w:val="00DD3080"/>
    <w:rsid w:val="00DD31DA"/>
    <w:rsid w:val="00DD3939"/>
    <w:rsid w:val="00DD3D9B"/>
    <w:rsid w:val="00DD3DB1"/>
    <w:rsid w:val="00DD3F18"/>
    <w:rsid w:val="00DD3F6A"/>
    <w:rsid w:val="00DD4014"/>
    <w:rsid w:val="00DD40B2"/>
    <w:rsid w:val="00DD41BE"/>
    <w:rsid w:val="00DD433F"/>
    <w:rsid w:val="00DD44BE"/>
    <w:rsid w:val="00DD4570"/>
    <w:rsid w:val="00DD45EA"/>
    <w:rsid w:val="00DD4683"/>
    <w:rsid w:val="00DD46EE"/>
    <w:rsid w:val="00DD4757"/>
    <w:rsid w:val="00DD47BC"/>
    <w:rsid w:val="00DD51B6"/>
    <w:rsid w:val="00DD52AF"/>
    <w:rsid w:val="00DD5484"/>
    <w:rsid w:val="00DD54E4"/>
    <w:rsid w:val="00DD57F6"/>
    <w:rsid w:val="00DD5833"/>
    <w:rsid w:val="00DD59F2"/>
    <w:rsid w:val="00DD5AD8"/>
    <w:rsid w:val="00DD5CA1"/>
    <w:rsid w:val="00DD5DE1"/>
    <w:rsid w:val="00DD5EE9"/>
    <w:rsid w:val="00DD6138"/>
    <w:rsid w:val="00DD6412"/>
    <w:rsid w:val="00DD647C"/>
    <w:rsid w:val="00DD6662"/>
    <w:rsid w:val="00DD689B"/>
    <w:rsid w:val="00DD6926"/>
    <w:rsid w:val="00DD6AC2"/>
    <w:rsid w:val="00DD6B29"/>
    <w:rsid w:val="00DD6C50"/>
    <w:rsid w:val="00DD6F7A"/>
    <w:rsid w:val="00DD6FA3"/>
    <w:rsid w:val="00DD73A3"/>
    <w:rsid w:val="00DD7502"/>
    <w:rsid w:val="00DD7524"/>
    <w:rsid w:val="00DD76A2"/>
    <w:rsid w:val="00DD7A5D"/>
    <w:rsid w:val="00DD7B0B"/>
    <w:rsid w:val="00DD7BB6"/>
    <w:rsid w:val="00DD7DF0"/>
    <w:rsid w:val="00DD7E66"/>
    <w:rsid w:val="00DD7F36"/>
    <w:rsid w:val="00DE01B1"/>
    <w:rsid w:val="00DE0368"/>
    <w:rsid w:val="00DE07C2"/>
    <w:rsid w:val="00DE09ED"/>
    <w:rsid w:val="00DE0C29"/>
    <w:rsid w:val="00DE0F06"/>
    <w:rsid w:val="00DE0F36"/>
    <w:rsid w:val="00DE10EB"/>
    <w:rsid w:val="00DE1154"/>
    <w:rsid w:val="00DE1754"/>
    <w:rsid w:val="00DE17AB"/>
    <w:rsid w:val="00DE19F9"/>
    <w:rsid w:val="00DE1A43"/>
    <w:rsid w:val="00DE1BF5"/>
    <w:rsid w:val="00DE1CFA"/>
    <w:rsid w:val="00DE1EEB"/>
    <w:rsid w:val="00DE22C6"/>
    <w:rsid w:val="00DE2363"/>
    <w:rsid w:val="00DE237D"/>
    <w:rsid w:val="00DE24FE"/>
    <w:rsid w:val="00DE2944"/>
    <w:rsid w:val="00DE29CE"/>
    <w:rsid w:val="00DE301B"/>
    <w:rsid w:val="00DE344A"/>
    <w:rsid w:val="00DE353D"/>
    <w:rsid w:val="00DE395D"/>
    <w:rsid w:val="00DE3B40"/>
    <w:rsid w:val="00DE3C61"/>
    <w:rsid w:val="00DE3E1F"/>
    <w:rsid w:val="00DE3E4B"/>
    <w:rsid w:val="00DE3E5E"/>
    <w:rsid w:val="00DE3F34"/>
    <w:rsid w:val="00DE3F56"/>
    <w:rsid w:val="00DE3FCD"/>
    <w:rsid w:val="00DE40F4"/>
    <w:rsid w:val="00DE4111"/>
    <w:rsid w:val="00DE4170"/>
    <w:rsid w:val="00DE421E"/>
    <w:rsid w:val="00DE42DF"/>
    <w:rsid w:val="00DE4667"/>
    <w:rsid w:val="00DE4863"/>
    <w:rsid w:val="00DE4A5C"/>
    <w:rsid w:val="00DE4BB2"/>
    <w:rsid w:val="00DE4CE1"/>
    <w:rsid w:val="00DE4CE3"/>
    <w:rsid w:val="00DE4D77"/>
    <w:rsid w:val="00DE4E07"/>
    <w:rsid w:val="00DE5108"/>
    <w:rsid w:val="00DE554F"/>
    <w:rsid w:val="00DE5599"/>
    <w:rsid w:val="00DE5773"/>
    <w:rsid w:val="00DE5944"/>
    <w:rsid w:val="00DE5A6B"/>
    <w:rsid w:val="00DE5A99"/>
    <w:rsid w:val="00DE5BBF"/>
    <w:rsid w:val="00DE5F90"/>
    <w:rsid w:val="00DE5FA6"/>
    <w:rsid w:val="00DE6124"/>
    <w:rsid w:val="00DE6518"/>
    <w:rsid w:val="00DE65BF"/>
    <w:rsid w:val="00DE6651"/>
    <w:rsid w:val="00DE6B25"/>
    <w:rsid w:val="00DE6BC4"/>
    <w:rsid w:val="00DE6D10"/>
    <w:rsid w:val="00DE6E2C"/>
    <w:rsid w:val="00DE6FEC"/>
    <w:rsid w:val="00DE70E5"/>
    <w:rsid w:val="00DE72F2"/>
    <w:rsid w:val="00DE7337"/>
    <w:rsid w:val="00DE73B1"/>
    <w:rsid w:val="00DE74A3"/>
    <w:rsid w:val="00DE75CB"/>
    <w:rsid w:val="00DE77C3"/>
    <w:rsid w:val="00DE77C9"/>
    <w:rsid w:val="00DE7A25"/>
    <w:rsid w:val="00DE7B8D"/>
    <w:rsid w:val="00DE7B99"/>
    <w:rsid w:val="00DE7C09"/>
    <w:rsid w:val="00DE7C5D"/>
    <w:rsid w:val="00DE7EBA"/>
    <w:rsid w:val="00DF03E1"/>
    <w:rsid w:val="00DF04A6"/>
    <w:rsid w:val="00DF079E"/>
    <w:rsid w:val="00DF08B2"/>
    <w:rsid w:val="00DF097A"/>
    <w:rsid w:val="00DF09A0"/>
    <w:rsid w:val="00DF09FE"/>
    <w:rsid w:val="00DF0A14"/>
    <w:rsid w:val="00DF0A7D"/>
    <w:rsid w:val="00DF0D59"/>
    <w:rsid w:val="00DF0E3E"/>
    <w:rsid w:val="00DF0FF6"/>
    <w:rsid w:val="00DF1031"/>
    <w:rsid w:val="00DF113D"/>
    <w:rsid w:val="00DF1281"/>
    <w:rsid w:val="00DF1506"/>
    <w:rsid w:val="00DF1931"/>
    <w:rsid w:val="00DF1C33"/>
    <w:rsid w:val="00DF1C4C"/>
    <w:rsid w:val="00DF1D8F"/>
    <w:rsid w:val="00DF1E2E"/>
    <w:rsid w:val="00DF2167"/>
    <w:rsid w:val="00DF228E"/>
    <w:rsid w:val="00DF264C"/>
    <w:rsid w:val="00DF2675"/>
    <w:rsid w:val="00DF27A7"/>
    <w:rsid w:val="00DF29BD"/>
    <w:rsid w:val="00DF29E9"/>
    <w:rsid w:val="00DF2BCD"/>
    <w:rsid w:val="00DF2DAD"/>
    <w:rsid w:val="00DF2E6F"/>
    <w:rsid w:val="00DF30B8"/>
    <w:rsid w:val="00DF31BD"/>
    <w:rsid w:val="00DF322B"/>
    <w:rsid w:val="00DF3668"/>
    <w:rsid w:val="00DF390B"/>
    <w:rsid w:val="00DF3AB0"/>
    <w:rsid w:val="00DF3AF5"/>
    <w:rsid w:val="00DF3CA5"/>
    <w:rsid w:val="00DF403B"/>
    <w:rsid w:val="00DF4066"/>
    <w:rsid w:val="00DF40FE"/>
    <w:rsid w:val="00DF432C"/>
    <w:rsid w:val="00DF45A8"/>
    <w:rsid w:val="00DF45DF"/>
    <w:rsid w:val="00DF4A47"/>
    <w:rsid w:val="00DF4B0C"/>
    <w:rsid w:val="00DF4CD2"/>
    <w:rsid w:val="00DF4E20"/>
    <w:rsid w:val="00DF5045"/>
    <w:rsid w:val="00DF5153"/>
    <w:rsid w:val="00DF5177"/>
    <w:rsid w:val="00DF51DE"/>
    <w:rsid w:val="00DF54D4"/>
    <w:rsid w:val="00DF556F"/>
    <w:rsid w:val="00DF5776"/>
    <w:rsid w:val="00DF59AE"/>
    <w:rsid w:val="00DF59EB"/>
    <w:rsid w:val="00DF5F80"/>
    <w:rsid w:val="00DF630B"/>
    <w:rsid w:val="00DF63BF"/>
    <w:rsid w:val="00DF6409"/>
    <w:rsid w:val="00DF6454"/>
    <w:rsid w:val="00DF64FB"/>
    <w:rsid w:val="00DF65E7"/>
    <w:rsid w:val="00DF66DD"/>
    <w:rsid w:val="00DF68D4"/>
    <w:rsid w:val="00DF697F"/>
    <w:rsid w:val="00DF6AA3"/>
    <w:rsid w:val="00DF6C00"/>
    <w:rsid w:val="00DF6F38"/>
    <w:rsid w:val="00DF7119"/>
    <w:rsid w:val="00DF718B"/>
    <w:rsid w:val="00DF72FC"/>
    <w:rsid w:val="00DF7373"/>
    <w:rsid w:val="00DF74F8"/>
    <w:rsid w:val="00DF75A5"/>
    <w:rsid w:val="00DF761F"/>
    <w:rsid w:val="00DF7696"/>
    <w:rsid w:val="00DF79AA"/>
    <w:rsid w:val="00DF7A38"/>
    <w:rsid w:val="00DF7D34"/>
    <w:rsid w:val="00DF7EA7"/>
    <w:rsid w:val="00E0004C"/>
    <w:rsid w:val="00E000F1"/>
    <w:rsid w:val="00E004C2"/>
    <w:rsid w:val="00E00589"/>
    <w:rsid w:val="00E00730"/>
    <w:rsid w:val="00E0096C"/>
    <w:rsid w:val="00E00A3B"/>
    <w:rsid w:val="00E00B11"/>
    <w:rsid w:val="00E00B40"/>
    <w:rsid w:val="00E00CE2"/>
    <w:rsid w:val="00E00CFD"/>
    <w:rsid w:val="00E00D26"/>
    <w:rsid w:val="00E01050"/>
    <w:rsid w:val="00E010FD"/>
    <w:rsid w:val="00E013E8"/>
    <w:rsid w:val="00E013EC"/>
    <w:rsid w:val="00E01875"/>
    <w:rsid w:val="00E01A3C"/>
    <w:rsid w:val="00E01DDC"/>
    <w:rsid w:val="00E01EAD"/>
    <w:rsid w:val="00E029D3"/>
    <w:rsid w:val="00E02AFD"/>
    <w:rsid w:val="00E02DA9"/>
    <w:rsid w:val="00E02EB2"/>
    <w:rsid w:val="00E030BB"/>
    <w:rsid w:val="00E03155"/>
    <w:rsid w:val="00E032DA"/>
    <w:rsid w:val="00E03579"/>
    <w:rsid w:val="00E035E5"/>
    <w:rsid w:val="00E03BEB"/>
    <w:rsid w:val="00E03D1C"/>
    <w:rsid w:val="00E03DAF"/>
    <w:rsid w:val="00E03DBE"/>
    <w:rsid w:val="00E03FC4"/>
    <w:rsid w:val="00E0404D"/>
    <w:rsid w:val="00E042D7"/>
    <w:rsid w:val="00E04514"/>
    <w:rsid w:val="00E0494A"/>
    <w:rsid w:val="00E04A2B"/>
    <w:rsid w:val="00E04F1B"/>
    <w:rsid w:val="00E0579C"/>
    <w:rsid w:val="00E05840"/>
    <w:rsid w:val="00E05874"/>
    <w:rsid w:val="00E05A46"/>
    <w:rsid w:val="00E05C51"/>
    <w:rsid w:val="00E05FA5"/>
    <w:rsid w:val="00E06474"/>
    <w:rsid w:val="00E06527"/>
    <w:rsid w:val="00E066BB"/>
    <w:rsid w:val="00E0671A"/>
    <w:rsid w:val="00E0673E"/>
    <w:rsid w:val="00E067FB"/>
    <w:rsid w:val="00E069AF"/>
    <w:rsid w:val="00E06C9F"/>
    <w:rsid w:val="00E07184"/>
    <w:rsid w:val="00E07956"/>
    <w:rsid w:val="00E0798B"/>
    <w:rsid w:val="00E07E2B"/>
    <w:rsid w:val="00E07F39"/>
    <w:rsid w:val="00E07F58"/>
    <w:rsid w:val="00E100A1"/>
    <w:rsid w:val="00E10627"/>
    <w:rsid w:val="00E106DB"/>
    <w:rsid w:val="00E108CC"/>
    <w:rsid w:val="00E10F7D"/>
    <w:rsid w:val="00E10FAB"/>
    <w:rsid w:val="00E110F4"/>
    <w:rsid w:val="00E11137"/>
    <w:rsid w:val="00E111FB"/>
    <w:rsid w:val="00E11394"/>
    <w:rsid w:val="00E11454"/>
    <w:rsid w:val="00E114BD"/>
    <w:rsid w:val="00E115B7"/>
    <w:rsid w:val="00E1160E"/>
    <w:rsid w:val="00E1168E"/>
    <w:rsid w:val="00E11764"/>
    <w:rsid w:val="00E11D08"/>
    <w:rsid w:val="00E11DCC"/>
    <w:rsid w:val="00E11E45"/>
    <w:rsid w:val="00E11F18"/>
    <w:rsid w:val="00E11F2E"/>
    <w:rsid w:val="00E11F36"/>
    <w:rsid w:val="00E11FD4"/>
    <w:rsid w:val="00E12209"/>
    <w:rsid w:val="00E12317"/>
    <w:rsid w:val="00E12AEC"/>
    <w:rsid w:val="00E12D7E"/>
    <w:rsid w:val="00E1312C"/>
    <w:rsid w:val="00E131FB"/>
    <w:rsid w:val="00E133EE"/>
    <w:rsid w:val="00E13DCE"/>
    <w:rsid w:val="00E14977"/>
    <w:rsid w:val="00E14CB9"/>
    <w:rsid w:val="00E14D99"/>
    <w:rsid w:val="00E14EB1"/>
    <w:rsid w:val="00E151C9"/>
    <w:rsid w:val="00E15208"/>
    <w:rsid w:val="00E15301"/>
    <w:rsid w:val="00E153D5"/>
    <w:rsid w:val="00E153F1"/>
    <w:rsid w:val="00E1572C"/>
    <w:rsid w:val="00E15740"/>
    <w:rsid w:val="00E157A0"/>
    <w:rsid w:val="00E15819"/>
    <w:rsid w:val="00E15BEC"/>
    <w:rsid w:val="00E15FAE"/>
    <w:rsid w:val="00E16082"/>
    <w:rsid w:val="00E1624E"/>
    <w:rsid w:val="00E1647F"/>
    <w:rsid w:val="00E164B1"/>
    <w:rsid w:val="00E1674E"/>
    <w:rsid w:val="00E16ACD"/>
    <w:rsid w:val="00E16CA6"/>
    <w:rsid w:val="00E16D3B"/>
    <w:rsid w:val="00E16DC3"/>
    <w:rsid w:val="00E16E9F"/>
    <w:rsid w:val="00E16F74"/>
    <w:rsid w:val="00E17067"/>
    <w:rsid w:val="00E172D2"/>
    <w:rsid w:val="00E17488"/>
    <w:rsid w:val="00E17543"/>
    <w:rsid w:val="00E175C9"/>
    <w:rsid w:val="00E17631"/>
    <w:rsid w:val="00E1767D"/>
    <w:rsid w:val="00E17787"/>
    <w:rsid w:val="00E17862"/>
    <w:rsid w:val="00E17C38"/>
    <w:rsid w:val="00E17C7A"/>
    <w:rsid w:val="00E17D55"/>
    <w:rsid w:val="00E17D92"/>
    <w:rsid w:val="00E17E08"/>
    <w:rsid w:val="00E17F7C"/>
    <w:rsid w:val="00E20038"/>
    <w:rsid w:val="00E200A5"/>
    <w:rsid w:val="00E201FE"/>
    <w:rsid w:val="00E2025A"/>
    <w:rsid w:val="00E202A1"/>
    <w:rsid w:val="00E202C3"/>
    <w:rsid w:val="00E20345"/>
    <w:rsid w:val="00E20545"/>
    <w:rsid w:val="00E205E3"/>
    <w:rsid w:val="00E20636"/>
    <w:rsid w:val="00E20877"/>
    <w:rsid w:val="00E20AB4"/>
    <w:rsid w:val="00E20D10"/>
    <w:rsid w:val="00E20D89"/>
    <w:rsid w:val="00E20DCA"/>
    <w:rsid w:val="00E20E23"/>
    <w:rsid w:val="00E20EAC"/>
    <w:rsid w:val="00E211FD"/>
    <w:rsid w:val="00E2145E"/>
    <w:rsid w:val="00E21D81"/>
    <w:rsid w:val="00E21E87"/>
    <w:rsid w:val="00E22034"/>
    <w:rsid w:val="00E220B7"/>
    <w:rsid w:val="00E22A0C"/>
    <w:rsid w:val="00E22AD5"/>
    <w:rsid w:val="00E22B51"/>
    <w:rsid w:val="00E22BC2"/>
    <w:rsid w:val="00E2306F"/>
    <w:rsid w:val="00E2317D"/>
    <w:rsid w:val="00E23258"/>
    <w:rsid w:val="00E232D0"/>
    <w:rsid w:val="00E23500"/>
    <w:rsid w:val="00E23530"/>
    <w:rsid w:val="00E23547"/>
    <w:rsid w:val="00E2390D"/>
    <w:rsid w:val="00E23ACF"/>
    <w:rsid w:val="00E23AF1"/>
    <w:rsid w:val="00E23E99"/>
    <w:rsid w:val="00E23FEB"/>
    <w:rsid w:val="00E2402F"/>
    <w:rsid w:val="00E2419C"/>
    <w:rsid w:val="00E2423B"/>
    <w:rsid w:val="00E24245"/>
    <w:rsid w:val="00E24885"/>
    <w:rsid w:val="00E24F00"/>
    <w:rsid w:val="00E250F5"/>
    <w:rsid w:val="00E25114"/>
    <w:rsid w:val="00E25152"/>
    <w:rsid w:val="00E253D0"/>
    <w:rsid w:val="00E25485"/>
    <w:rsid w:val="00E25493"/>
    <w:rsid w:val="00E2562C"/>
    <w:rsid w:val="00E258BD"/>
    <w:rsid w:val="00E25936"/>
    <w:rsid w:val="00E25A58"/>
    <w:rsid w:val="00E25A8F"/>
    <w:rsid w:val="00E25AA3"/>
    <w:rsid w:val="00E25AC5"/>
    <w:rsid w:val="00E25ADE"/>
    <w:rsid w:val="00E25D8C"/>
    <w:rsid w:val="00E25ED1"/>
    <w:rsid w:val="00E2641D"/>
    <w:rsid w:val="00E26476"/>
    <w:rsid w:val="00E267DE"/>
    <w:rsid w:val="00E26993"/>
    <w:rsid w:val="00E26A13"/>
    <w:rsid w:val="00E26B15"/>
    <w:rsid w:val="00E26BBB"/>
    <w:rsid w:val="00E26CE9"/>
    <w:rsid w:val="00E26F12"/>
    <w:rsid w:val="00E26FE0"/>
    <w:rsid w:val="00E2741F"/>
    <w:rsid w:val="00E2757C"/>
    <w:rsid w:val="00E27611"/>
    <w:rsid w:val="00E2769F"/>
    <w:rsid w:val="00E27887"/>
    <w:rsid w:val="00E279F7"/>
    <w:rsid w:val="00E27BFA"/>
    <w:rsid w:val="00E27DA1"/>
    <w:rsid w:val="00E303BC"/>
    <w:rsid w:val="00E305E3"/>
    <w:rsid w:val="00E30969"/>
    <w:rsid w:val="00E309BC"/>
    <w:rsid w:val="00E30B10"/>
    <w:rsid w:val="00E30F89"/>
    <w:rsid w:val="00E30FC7"/>
    <w:rsid w:val="00E31136"/>
    <w:rsid w:val="00E312CA"/>
    <w:rsid w:val="00E31310"/>
    <w:rsid w:val="00E31389"/>
    <w:rsid w:val="00E3144A"/>
    <w:rsid w:val="00E314D6"/>
    <w:rsid w:val="00E3174A"/>
    <w:rsid w:val="00E3181C"/>
    <w:rsid w:val="00E31850"/>
    <w:rsid w:val="00E3185A"/>
    <w:rsid w:val="00E31921"/>
    <w:rsid w:val="00E31955"/>
    <w:rsid w:val="00E31BCB"/>
    <w:rsid w:val="00E31C54"/>
    <w:rsid w:val="00E31EBF"/>
    <w:rsid w:val="00E31F1B"/>
    <w:rsid w:val="00E322FE"/>
    <w:rsid w:val="00E32466"/>
    <w:rsid w:val="00E324BF"/>
    <w:rsid w:val="00E32746"/>
    <w:rsid w:val="00E32A4F"/>
    <w:rsid w:val="00E32A9D"/>
    <w:rsid w:val="00E32AC4"/>
    <w:rsid w:val="00E32AE4"/>
    <w:rsid w:val="00E32B62"/>
    <w:rsid w:val="00E32BD7"/>
    <w:rsid w:val="00E32E79"/>
    <w:rsid w:val="00E32E7D"/>
    <w:rsid w:val="00E32FCF"/>
    <w:rsid w:val="00E33183"/>
    <w:rsid w:val="00E3345C"/>
    <w:rsid w:val="00E335DB"/>
    <w:rsid w:val="00E33658"/>
    <w:rsid w:val="00E336B7"/>
    <w:rsid w:val="00E33824"/>
    <w:rsid w:val="00E33912"/>
    <w:rsid w:val="00E339DA"/>
    <w:rsid w:val="00E33E44"/>
    <w:rsid w:val="00E33F02"/>
    <w:rsid w:val="00E341C7"/>
    <w:rsid w:val="00E346D3"/>
    <w:rsid w:val="00E347CA"/>
    <w:rsid w:val="00E34F9D"/>
    <w:rsid w:val="00E34FD4"/>
    <w:rsid w:val="00E35136"/>
    <w:rsid w:val="00E3551A"/>
    <w:rsid w:val="00E35699"/>
    <w:rsid w:val="00E3569C"/>
    <w:rsid w:val="00E35851"/>
    <w:rsid w:val="00E358E3"/>
    <w:rsid w:val="00E35AB5"/>
    <w:rsid w:val="00E35C93"/>
    <w:rsid w:val="00E35D40"/>
    <w:rsid w:val="00E35F52"/>
    <w:rsid w:val="00E360E5"/>
    <w:rsid w:val="00E36480"/>
    <w:rsid w:val="00E365FD"/>
    <w:rsid w:val="00E36620"/>
    <w:rsid w:val="00E3683D"/>
    <w:rsid w:val="00E36944"/>
    <w:rsid w:val="00E36A8B"/>
    <w:rsid w:val="00E36C2D"/>
    <w:rsid w:val="00E36EAA"/>
    <w:rsid w:val="00E36ED1"/>
    <w:rsid w:val="00E36F57"/>
    <w:rsid w:val="00E37208"/>
    <w:rsid w:val="00E37381"/>
    <w:rsid w:val="00E373F2"/>
    <w:rsid w:val="00E373FD"/>
    <w:rsid w:val="00E37434"/>
    <w:rsid w:val="00E374B3"/>
    <w:rsid w:val="00E3768B"/>
    <w:rsid w:val="00E37917"/>
    <w:rsid w:val="00E37985"/>
    <w:rsid w:val="00E3798B"/>
    <w:rsid w:val="00E37AD0"/>
    <w:rsid w:val="00E37BC3"/>
    <w:rsid w:val="00E37E00"/>
    <w:rsid w:val="00E37E10"/>
    <w:rsid w:val="00E37E4F"/>
    <w:rsid w:val="00E37F7D"/>
    <w:rsid w:val="00E37FE9"/>
    <w:rsid w:val="00E400C6"/>
    <w:rsid w:val="00E402BE"/>
    <w:rsid w:val="00E4046A"/>
    <w:rsid w:val="00E40500"/>
    <w:rsid w:val="00E4078F"/>
    <w:rsid w:val="00E407F2"/>
    <w:rsid w:val="00E4099D"/>
    <w:rsid w:val="00E409A5"/>
    <w:rsid w:val="00E409F8"/>
    <w:rsid w:val="00E40D4F"/>
    <w:rsid w:val="00E40E4F"/>
    <w:rsid w:val="00E41200"/>
    <w:rsid w:val="00E41208"/>
    <w:rsid w:val="00E4145B"/>
    <w:rsid w:val="00E4170F"/>
    <w:rsid w:val="00E41892"/>
    <w:rsid w:val="00E41897"/>
    <w:rsid w:val="00E41B16"/>
    <w:rsid w:val="00E41B2B"/>
    <w:rsid w:val="00E41D05"/>
    <w:rsid w:val="00E41D87"/>
    <w:rsid w:val="00E4229A"/>
    <w:rsid w:val="00E4251A"/>
    <w:rsid w:val="00E42568"/>
    <w:rsid w:val="00E427FB"/>
    <w:rsid w:val="00E42810"/>
    <w:rsid w:val="00E428F8"/>
    <w:rsid w:val="00E4298C"/>
    <w:rsid w:val="00E42AC0"/>
    <w:rsid w:val="00E42C8D"/>
    <w:rsid w:val="00E42DDA"/>
    <w:rsid w:val="00E430D9"/>
    <w:rsid w:val="00E4310F"/>
    <w:rsid w:val="00E432ED"/>
    <w:rsid w:val="00E4330A"/>
    <w:rsid w:val="00E43787"/>
    <w:rsid w:val="00E437F6"/>
    <w:rsid w:val="00E439DD"/>
    <w:rsid w:val="00E43CB3"/>
    <w:rsid w:val="00E43CED"/>
    <w:rsid w:val="00E43D3D"/>
    <w:rsid w:val="00E43F69"/>
    <w:rsid w:val="00E441A6"/>
    <w:rsid w:val="00E44380"/>
    <w:rsid w:val="00E446C4"/>
    <w:rsid w:val="00E44B13"/>
    <w:rsid w:val="00E44B51"/>
    <w:rsid w:val="00E452D2"/>
    <w:rsid w:val="00E453F3"/>
    <w:rsid w:val="00E45780"/>
    <w:rsid w:val="00E45AE0"/>
    <w:rsid w:val="00E45AF1"/>
    <w:rsid w:val="00E461CD"/>
    <w:rsid w:val="00E466B1"/>
    <w:rsid w:val="00E46791"/>
    <w:rsid w:val="00E46A9F"/>
    <w:rsid w:val="00E46DBB"/>
    <w:rsid w:val="00E46F0A"/>
    <w:rsid w:val="00E47102"/>
    <w:rsid w:val="00E47208"/>
    <w:rsid w:val="00E47283"/>
    <w:rsid w:val="00E474FE"/>
    <w:rsid w:val="00E4782A"/>
    <w:rsid w:val="00E47861"/>
    <w:rsid w:val="00E479B6"/>
    <w:rsid w:val="00E47D72"/>
    <w:rsid w:val="00E47F60"/>
    <w:rsid w:val="00E50015"/>
    <w:rsid w:val="00E501E9"/>
    <w:rsid w:val="00E5053F"/>
    <w:rsid w:val="00E505DB"/>
    <w:rsid w:val="00E50856"/>
    <w:rsid w:val="00E50E41"/>
    <w:rsid w:val="00E514D0"/>
    <w:rsid w:val="00E51593"/>
    <w:rsid w:val="00E51749"/>
    <w:rsid w:val="00E5178E"/>
    <w:rsid w:val="00E51C45"/>
    <w:rsid w:val="00E51C6B"/>
    <w:rsid w:val="00E51F84"/>
    <w:rsid w:val="00E520A7"/>
    <w:rsid w:val="00E522C1"/>
    <w:rsid w:val="00E52332"/>
    <w:rsid w:val="00E5246D"/>
    <w:rsid w:val="00E52729"/>
    <w:rsid w:val="00E52DDF"/>
    <w:rsid w:val="00E52F8E"/>
    <w:rsid w:val="00E5300E"/>
    <w:rsid w:val="00E5301D"/>
    <w:rsid w:val="00E53027"/>
    <w:rsid w:val="00E5313D"/>
    <w:rsid w:val="00E53173"/>
    <w:rsid w:val="00E536F6"/>
    <w:rsid w:val="00E537D6"/>
    <w:rsid w:val="00E5385F"/>
    <w:rsid w:val="00E53945"/>
    <w:rsid w:val="00E53ADE"/>
    <w:rsid w:val="00E53B9E"/>
    <w:rsid w:val="00E53E5B"/>
    <w:rsid w:val="00E53EDA"/>
    <w:rsid w:val="00E540B4"/>
    <w:rsid w:val="00E54316"/>
    <w:rsid w:val="00E5447F"/>
    <w:rsid w:val="00E546A1"/>
    <w:rsid w:val="00E54C4D"/>
    <w:rsid w:val="00E54D71"/>
    <w:rsid w:val="00E54DD6"/>
    <w:rsid w:val="00E54EC8"/>
    <w:rsid w:val="00E54F2F"/>
    <w:rsid w:val="00E55165"/>
    <w:rsid w:val="00E5590D"/>
    <w:rsid w:val="00E5596A"/>
    <w:rsid w:val="00E55B01"/>
    <w:rsid w:val="00E55DD0"/>
    <w:rsid w:val="00E55E04"/>
    <w:rsid w:val="00E55FFE"/>
    <w:rsid w:val="00E560C9"/>
    <w:rsid w:val="00E561D8"/>
    <w:rsid w:val="00E562B8"/>
    <w:rsid w:val="00E566F0"/>
    <w:rsid w:val="00E56776"/>
    <w:rsid w:val="00E568F5"/>
    <w:rsid w:val="00E56B67"/>
    <w:rsid w:val="00E570DF"/>
    <w:rsid w:val="00E573C9"/>
    <w:rsid w:val="00E57536"/>
    <w:rsid w:val="00E57569"/>
    <w:rsid w:val="00E57696"/>
    <w:rsid w:val="00E5786E"/>
    <w:rsid w:val="00E57914"/>
    <w:rsid w:val="00E57994"/>
    <w:rsid w:val="00E579F9"/>
    <w:rsid w:val="00E57A39"/>
    <w:rsid w:val="00E57A53"/>
    <w:rsid w:val="00E57A93"/>
    <w:rsid w:val="00E57D22"/>
    <w:rsid w:val="00E60019"/>
    <w:rsid w:val="00E602CA"/>
    <w:rsid w:val="00E6048C"/>
    <w:rsid w:val="00E606A4"/>
    <w:rsid w:val="00E607D6"/>
    <w:rsid w:val="00E60A86"/>
    <w:rsid w:val="00E60DF7"/>
    <w:rsid w:val="00E60F4F"/>
    <w:rsid w:val="00E60FFF"/>
    <w:rsid w:val="00E61439"/>
    <w:rsid w:val="00E61AEA"/>
    <w:rsid w:val="00E61B89"/>
    <w:rsid w:val="00E61B9A"/>
    <w:rsid w:val="00E61C25"/>
    <w:rsid w:val="00E61E9E"/>
    <w:rsid w:val="00E62042"/>
    <w:rsid w:val="00E621E1"/>
    <w:rsid w:val="00E6267D"/>
    <w:rsid w:val="00E6290C"/>
    <w:rsid w:val="00E6290E"/>
    <w:rsid w:val="00E62C25"/>
    <w:rsid w:val="00E62D8D"/>
    <w:rsid w:val="00E62DA7"/>
    <w:rsid w:val="00E62F5B"/>
    <w:rsid w:val="00E63054"/>
    <w:rsid w:val="00E631DE"/>
    <w:rsid w:val="00E636D4"/>
    <w:rsid w:val="00E63709"/>
    <w:rsid w:val="00E639A3"/>
    <w:rsid w:val="00E63A35"/>
    <w:rsid w:val="00E63BD6"/>
    <w:rsid w:val="00E64397"/>
    <w:rsid w:val="00E646BF"/>
    <w:rsid w:val="00E647A9"/>
    <w:rsid w:val="00E64A14"/>
    <w:rsid w:val="00E64AC0"/>
    <w:rsid w:val="00E64B85"/>
    <w:rsid w:val="00E64BEB"/>
    <w:rsid w:val="00E64CA4"/>
    <w:rsid w:val="00E64F21"/>
    <w:rsid w:val="00E65072"/>
    <w:rsid w:val="00E6512F"/>
    <w:rsid w:val="00E65284"/>
    <w:rsid w:val="00E652AA"/>
    <w:rsid w:val="00E65507"/>
    <w:rsid w:val="00E6566B"/>
    <w:rsid w:val="00E656A2"/>
    <w:rsid w:val="00E65786"/>
    <w:rsid w:val="00E65B98"/>
    <w:rsid w:val="00E65C64"/>
    <w:rsid w:val="00E65C65"/>
    <w:rsid w:val="00E65CB6"/>
    <w:rsid w:val="00E660A4"/>
    <w:rsid w:val="00E66159"/>
    <w:rsid w:val="00E663DC"/>
    <w:rsid w:val="00E66427"/>
    <w:rsid w:val="00E66478"/>
    <w:rsid w:val="00E66562"/>
    <w:rsid w:val="00E6657F"/>
    <w:rsid w:val="00E66660"/>
    <w:rsid w:val="00E666CD"/>
    <w:rsid w:val="00E66789"/>
    <w:rsid w:val="00E667E9"/>
    <w:rsid w:val="00E66A44"/>
    <w:rsid w:val="00E66D8A"/>
    <w:rsid w:val="00E66F1B"/>
    <w:rsid w:val="00E66F44"/>
    <w:rsid w:val="00E67261"/>
    <w:rsid w:val="00E672C5"/>
    <w:rsid w:val="00E67390"/>
    <w:rsid w:val="00E673BA"/>
    <w:rsid w:val="00E673CF"/>
    <w:rsid w:val="00E675C1"/>
    <w:rsid w:val="00E67A95"/>
    <w:rsid w:val="00E67D87"/>
    <w:rsid w:val="00E67E9C"/>
    <w:rsid w:val="00E67FAB"/>
    <w:rsid w:val="00E67FF5"/>
    <w:rsid w:val="00E702E9"/>
    <w:rsid w:val="00E70330"/>
    <w:rsid w:val="00E70332"/>
    <w:rsid w:val="00E70493"/>
    <w:rsid w:val="00E704E7"/>
    <w:rsid w:val="00E70525"/>
    <w:rsid w:val="00E705AF"/>
    <w:rsid w:val="00E70985"/>
    <w:rsid w:val="00E70BA3"/>
    <w:rsid w:val="00E70C44"/>
    <w:rsid w:val="00E70EFA"/>
    <w:rsid w:val="00E70F4C"/>
    <w:rsid w:val="00E7121A"/>
    <w:rsid w:val="00E71275"/>
    <w:rsid w:val="00E71463"/>
    <w:rsid w:val="00E7155A"/>
    <w:rsid w:val="00E71588"/>
    <w:rsid w:val="00E715AB"/>
    <w:rsid w:val="00E715D5"/>
    <w:rsid w:val="00E716B2"/>
    <w:rsid w:val="00E7178C"/>
    <w:rsid w:val="00E717D4"/>
    <w:rsid w:val="00E71940"/>
    <w:rsid w:val="00E71947"/>
    <w:rsid w:val="00E71A19"/>
    <w:rsid w:val="00E71D2D"/>
    <w:rsid w:val="00E71DC7"/>
    <w:rsid w:val="00E71EF6"/>
    <w:rsid w:val="00E71F73"/>
    <w:rsid w:val="00E7211B"/>
    <w:rsid w:val="00E724A8"/>
    <w:rsid w:val="00E726A3"/>
    <w:rsid w:val="00E7299A"/>
    <w:rsid w:val="00E72C1B"/>
    <w:rsid w:val="00E72CC0"/>
    <w:rsid w:val="00E72D8F"/>
    <w:rsid w:val="00E72FDE"/>
    <w:rsid w:val="00E73255"/>
    <w:rsid w:val="00E735AB"/>
    <w:rsid w:val="00E737CA"/>
    <w:rsid w:val="00E73902"/>
    <w:rsid w:val="00E7392C"/>
    <w:rsid w:val="00E73B06"/>
    <w:rsid w:val="00E73B17"/>
    <w:rsid w:val="00E73B7D"/>
    <w:rsid w:val="00E73BAB"/>
    <w:rsid w:val="00E73C1E"/>
    <w:rsid w:val="00E73CE8"/>
    <w:rsid w:val="00E73CEB"/>
    <w:rsid w:val="00E73E34"/>
    <w:rsid w:val="00E73E3A"/>
    <w:rsid w:val="00E7418B"/>
    <w:rsid w:val="00E7441E"/>
    <w:rsid w:val="00E74456"/>
    <w:rsid w:val="00E7450B"/>
    <w:rsid w:val="00E74697"/>
    <w:rsid w:val="00E74C6B"/>
    <w:rsid w:val="00E74F4B"/>
    <w:rsid w:val="00E74F4E"/>
    <w:rsid w:val="00E74F9D"/>
    <w:rsid w:val="00E7500D"/>
    <w:rsid w:val="00E7503A"/>
    <w:rsid w:val="00E7534C"/>
    <w:rsid w:val="00E75589"/>
    <w:rsid w:val="00E7558B"/>
    <w:rsid w:val="00E755BC"/>
    <w:rsid w:val="00E75714"/>
    <w:rsid w:val="00E75DA1"/>
    <w:rsid w:val="00E75FAD"/>
    <w:rsid w:val="00E76972"/>
    <w:rsid w:val="00E76D00"/>
    <w:rsid w:val="00E76F26"/>
    <w:rsid w:val="00E77333"/>
    <w:rsid w:val="00E7738A"/>
    <w:rsid w:val="00E77649"/>
    <w:rsid w:val="00E7768D"/>
    <w:rsid w:val="00E776A5"/>
    <w:rsid w:val="00E779B5"/>
    <w:rsid w:val="00E77C8A"/>
    <w:rsid w:val="00E77DCA"/>
    <w:rsid w:val="00E800CF"/>
    <w:rsid w:val="00E8031F"/>
    <w:rsid w:val="00E80545"/>
    <w:rsid w:val="00E8065B"/>
    <w:rsid w:val="00E8071A"/>
    <w:rsid w:val="00E808FA"/>
    <w:rsid w:val="00E80910"/>
    <w:rsid w:val="00E80A3E"/>
    <w:rsid w:val="00E80F7D"/>
    <w:rsid w:val="00E8106C"/>
    <w:rsid w:val="00E8107A"/>
    <w:rsid w:val="00E810FB"/>
    <w:rsid w:val="00E814AA"/>
    <w:rsid w:val="00E814CF"/>
    <w:rsid w:val="00E81884"/>
    <w:rsid w:val="00E81A6E"/>
    <w:rsid w:val="00E81AA7"/>
    <w:rsid w:val="00E81CCD"/>
    <w:rsid w:val="00E81F49"/>
    <w:rsid w:val="00E8207C"/>
    <w:rsid w:val="00E8230A"/>
    <w:rsid w:val="00E823B0"/>
    <w:rsid w:val="00E82496"/>
    <w:rsid w:val="00E82636"/>
    <w:rsid w:val="00E8268A"/>
    <w:rsid w:val="00E82854"/>
    <w:rsid w:val="00E82898"/>
    <w:rsid w:val="00E828E1"/>
    <w:rsid w:val="00E83203"/>
    <w:rsid w:val="00E833DD"/>
    <w:rsid w:val="00E8346D"/>
    <w:rsid w:val="00E8348F"/>
    <w:rsid w:val="00E838A8"/>
    <w:rsid w:val="00E83A1F"/>
    <w:rsid w:val="00E83C92"/>
    <w:rsid w:val="00E83D5A"/>
    <w:rsid w:val="00E83DAC"/>
    <w:rsid w:val="00E83E96"/>
    <w:rsid w:val="00E8400D"/>
    <w:rsid w:val="00E84045"/>
    <w:rsid w:val="00E840EF"/>
    <w:rsid w:val="00E84258"/>
    <w:rsid w:val="00E84732"/>
    <w:rsid w:val="00E8487D"/>
    <w:rsid w:val="00E848E7"/>
    <w:rsid w:val="00E84B54"/>
    <w:rsid w:val="00E84C0F"/>
    <w:rsid w:val="00E84C15"/>
    <w:rsid w:val="00E84D6F"/>
    <w:rsid w:val="00E8506E"/>
    <w:rsid w:val="00E85172"/>
    <w:rsid w:val="00E85394"/>
    <w:rsid w:val="00E854EB"/>
    <w:rsid w:val="00E85546"/>
    <w:rsid w:val="00E8572C"/>
    <w:rsid w:val="00E85770"/>
    <w:rsid w:val="00E85878"/>
    <w:rsid w:val="00E85CD5"/>
    <w:rsid w:val="00E85D6E"/>
    <w:rsid w:val="00E85E16"/>
    <w:rsid w:val="00E85EF8"/>
    <w:rsid w:val="00E85F0D"/>
    <w:rsid w:val="00E8601C"/>
    <w:rsid w:val="00E8612C"/>
    <w:rsid w:val="00E863A1"/>
    <w:rsid w:val="00E86482"/>
    <w:rsid w:val="00E864CE"/>
    <w:rsid w:val="00E867B5"/>
    <w:rsid w:val="00E86BE0"/>
    <w:rsid w:val="00E86F27"/>
    <w:rsid w:val="00E86FC5"/>
    <w:rsid w:val="00E86FDB"/>
    <w:rsid w:val="00E872E1"/>
    <w:rsid w:val="00E874E7"/>
    <w:rsid w:val="00E87631"/>
    <w:rsid w:val="00E87A0F"/>
    <w:rsid w:val="00E87A39"/>
    <w:rsid w:val="00E90032"/>
    <w:rsid w:val="00E900A5"/>
    <w:rsid w:val="00E900C4"/>
    <w:rsid w:val="00E90300"/>
    <w:rsid w:val="00E90324"/>
    <w:rsid w:val="00E9038D"/>
    <w:rsid w:val="00E906C2"/>
    <w:rsid w:val="00E90737"/>
    <w:rsid w:val="00E90A97"/>
    <w:rsid w:val="00E90B2D"/>
    <w:rsid w:val="00E90B60"/>
    <w:rsid w:val="00E90D09"/>
    <w:rsid w:val="00E90E2F"/>
    <w:rsid w:val="00E90EA4"/>
    <w:rsid w:val="00E9108E"/>
    <w:rsid w:val="00E91160"/>
    <w:rsid w:val="00E913C4"/>
    <w:rsid w:val="00E91407"/>
    <w:rsid w:val="00E9168B"/>
    <w:rsid w:val="00E91BF3"/>
    <w:rsid w:val="00E91C55"/>
    <w:rsid w:val="00E91F5E"/>
    <w:rsid w:val="00E91FCD"/>
    <w:rsid w:val="00E9207A"/>
    <w:rsid w:val="00E92334"/>
    <w:rsid w:val="00E92492"/>
    <w:rsid w:val="00E92641"/>
    <w:rsid w:val="00E92692"/>
    <w:rsid w:val="00E92715"/>
    <w:rsid w:val="00E92793"/>
    <w:rsid w:val="00E928AA"/>
    <w:rsid w:val="00E929C4"/>
    <w:rsid w:val="00E92A84"/>
    <w:rsid w:val="00E92CD5"/>
    <w:rsid w:val="00E92D40"/>
    <w:rsid w:val="00E92D4C"/>
    <w:rsid w:val="00E92D8E"/>
    <w:rsid w:val="00E92DC3"/>
    <w:rsid w:val="00E92DF5"/>
    <w:rsid w:val="00E930F6"/>
    <w:rsid w:val="00E93176"/>
    <w:rsid w:val="00E933EE"/>
    <w:rsid w:val="00E937DE"/>
    <w:rsid w:val="00E93A1E"/>
    <w:rsid w:val="00E93B92"/>
    <w:rsid w:val="00E93E00"/>
    <w:rsid w:val="00E93FB4"/>
    <w:rsid w:val="00E93FDE"/>
    <w:rsid w:val="00E940AE"/>
    <w:rsid w:val="00E94154"/>
    <w:rsid w:val="00E9430B"/>
    <w:rsid w:val="00E94357"/>
    <w:rsid w:val="00E948DB"/>
    <w:rsid w:val="00E94A66"/>
    <w:rsid w:val="00E94B21"/>
    <w:rsid w:val="00E94B25"/>
    <w:rsid w:val="00E956A1"/>
    <w:rsid w:val="00E95A57"/>
    <w:rsid w:val="00E95F08"/>
    <w:rsid w:val="00E96296"/>
    <w:rsid w:val="00E96390"/>
    <w:rsid w:val="00E965AA"/>
    <w:rsid w:val="00E96838"/>
    <w:rsid w:val="00E96B01"/>
    <w:rsid w:val="00E96F21"/>
    <w:rsid w:val="00E97016"/>
    <w:rsid w:val="00E971AA"/>
    <w:rsid w:val="00E972A7"/>
    <w:rsid w:val="00E972C6"/>
    <w:rsid w:val="00E97818"/>
    <w:rsid w:val="00E978BA"/>
    <w:rsid w:val="00E979B4"/>
    <w:rsid w:val="00E97A5C"/>
    <w:rsid w:val="00E97CFB"/>
    <w:rsid w:val="00E97F7B"/>
    <w:rsid w:val="00EA0069"/>
    <w:rsid w:val="00EA0217"/>
    <w:rsid w:val="00EA0254"/>
    <w:rsid w:val="00EA04A8"/>
    <w:rsid w:val="00EA05DD"/>
    <w:rsid w:val="00EA0654"/>
    <w:rsid w:val="00EA06F4"/>
    <w:rsid w:val="00EA084F"/>
    <w:rsid w:val="00EA0932"/>
    <w:rsid w:val="00EA0DF5"/>
    <w:rsid w:val="00EA0EA4"/>
    <w:rsid w:val="00EA11A8"/>
    <w:rsid w:val="00EA11F6"/>
    <w:rsid w:val="00EA134A"/>
    <w:rsid w:val="00EA13A8"/>
    <w:rsid w:val="00EA1428"/>
    <w:rsid w:val="00EA147A"/>
    <w:rsid w:val="00EA14AD"/>
    <w:rsid w:val="00EA1581"/>
    <w:rsid w:val="00EA1737"/>
    <w:rsid w:val="00EA1A11"/>
    <w:rsid w:val="00EA1B3E"/>
    <w:rsid w:val="00EA1D55"/>
    <w:rsid w:val="00EA1F89"/>
    <w:rsid w:val="00EA20A8"/>
    <w:rsid w:val="00EA2266"/>
    <w:rsid w:val="00EA27BE"/>
    <w:rsid w:val="00EA2889"/>
    <w:rsid w:val="00EA297A"/>
    <w:rsid w:val="00EA2A59"/>
    <w:rsid w:val="00EA2ABD"/>
    <w:rsid w:val="00EA32C9"/>
    <w:rsid w:val="00EA3428"/>
    <w:rsid w:val="00EA34F8"/>
    <w:rsid w:val="00EA369B"/>
    <w:rsid w:val="00EA38E4"/>
    <w:rsid w:val="00EA3980"/>
    <w:rsid w:val="00EA3C53"/>
    <w:rsid w:val="00EA3C86"/>
    <w:rsid w:val="00EA41EB"/>
    <w:rsid w:val="00EA42CB"/>
    <w:rsid w:val="00EA42CC"/>
    <w:rsid w:val="00EA442D"/>
    <w:rsid w:val="00EA4583"/>
    <w:rsid w:val="00EA46B3"/>
    <w:rsid w:val="00EA493C"/>
    <w:rsid w:val="00EA4994"/>
    <w:rsid w:val="00EA4B32"/>
    <w:rsid w:val="00EA4B7C"/>
    <w:rsid w:val="00EA4B7E"/>
    <w:rsid w:val="00EA51A4"/>
    <w:rsid w:val="00EA55AD"/>
    <w:rsid w:val="00EA568E"/>
    <w:rsid w:val="00EA56AD"/>
    <w:rsid w:val="00EA5721"/>
    <w:rsid w:val="00EA5AC2"/>
    <w:rsid w:val="00EA5B25"/>
    <w:rsid w:val="00EA5E1B"/>
    <w:rsid w:val="00EA6064"/>
    <w:rsid w:val="00EA60D6"/>
    <w:rsid w:val="00EA6122"/>
    <w:rsid w:val="00EA65A5"/>
    <w:rsid w:val="00EA6E6B"/>
    <w:rsid w:val="00EA6EFE"/>
    <w:rsid w:val="00EA709C"/>
    <w:rsid w:val="00EA7138"/>
    <w:rsid w:val="00EA7189"/>
    <w:rsid w:val="00EA733B"/>
    <w:rsid w:val="00EA7475"/>
    <w:rsid w:val="00EA76C0"/>
    <w:rsid w:val="00EA7B64"/>
    <w:rsid w:val="00EA7DEC"/>
    <w:rsid w:val="00EA7EB8"/>
    <w:rsid w:val="00EB025D"/>
    <w:rsid w:val="00EB08A1"/>
    <w:rsid w:val="00EB0B66"/>
    <w:rsid w:val="00EB0E95"/>
    <w:rsid w:val="00EB0E96"/>
    <w:rsid w:val="00EB0EEF"/>
    <w:rsid w:val="00EB0F17"/>
    <w:rsid w:val="00EB1163"/>
    <w:rsid w:val="00EB1301"/>
    <w:rsid w:val="00EB1462"/>
    <w:rsid w:val="00EB1481"/>
    <w:rsid w:val="00EB1527"/>
    <w:rsid w:val="00EB16DA"/>
    <w:rsid w:val="00EB18C6"/>
    <w:rsid w:val="00EB1972"/>
    <w:rsid w:val="00EB1AA7"/>
    <w:rsid w:val="00EB1AB7"/>
    <w:rsid w:val="00EB1ADE"/>
    <w:rsid w:val="00EB1BB3"/>
    <w:rsid w:val="00EB1CDF"/>
    <w:rsid w:val="00EB2347"/>
    <w:rsid w:val="00EB2402"/>
    <w:rsid w:val="00EB249F"/>
    <w:rsid w:val="00EB25E1"/>
    <w:rsid w:val="00EB261C"/>
    <w:rsid w:val="00EB2B20"/>
    <w:rsid w:val="00EB2BDB"/>
    <w:rsid w:val="00EB2E02"/>
    <w:rsid w:val="00EB2F81"/>
    <w:rsid w:val="00EB2F83"/>
    <w:rsid w:val="00EB30B6"/>
    <w:rsid w:val="00EB3319"/>
    <w:rsid w:val="00EB33F2"/>
    <w:rsid w:val="00EB3404"/>
    <w:rsid w:val="00EB384E"/>
    <w:rsid w:val="00EB3A16"/>
    <w:rsid w:val="00EB3B9B"/>
    <w:rsid w:val="00EB3C80"/>
    <w:rsid w:val="00EB3C8E"/>
    <w:rsid w:val="00EB3CEF"/>
    <w:rsid w:val="00EB3D3F"/>
    <w:rsid w:val="00EB3F0D"/>
    <w:rsid w:val="00EB3F62"/>
    <w:rsid w:val="00EB3F7B"/>
    <w:rsid w:val="00EB4068"/>
    <w:rsid w:val="00EB40E9"/>
    <w:rsid w:val="00EB43D6"/>
    <w:rsid w:val="00EB4420"/>
    <w:rsid w:val="00EB45C1"/>
    <w:rsid w:val="00EB4C41"/>
    <w:rsid w:val="00EB4DD4"/>
    <w:rsid w:val="00EB4FD4"/>
    <w:rsid w:val="00EB5504"/>
    <w:rsid w:val="00EB557A"/>
    <w:rsid w:val="00EB55AF"/>
    <w:rsid w:val="00EB5AA9"/>
    <w:rsid w:val="00EB5AD5"/>
    <w:rsid w:val="00EB633B"/>
    <w:rsid w:val="00EB64D0"/>
    <w:rsid w:val="00EB6678"/>
    <w:rsid w:val="00EB66E7"/>
    <w:rsid w:val="00EB6800"/>
    <w:rsid w:val="00EB6941"/>
    <w:rsid w:val="00EB6BE1"/>
    <w:rsid w:val="00EB6BE4"/>
    <w:rsid w:val="00EB6E05"/>
    <w:rsid w:val="00EB6F2D"/>
    <w:rsid w:val="00EB6FA6"/>
    <w:rsid w:val="00EB7021"/>
    <w:rsid w:val="00EB718D"/>
    <w:rsid w:val="00EB7606"/>
    <w:rsid w:val="00EB7669"/>
    <w:rsid w:val="00EB76D0"/>
    <w:rsid w:val="00EB772D"/>
    <w:rsid w:val="00EB796F"/>
    <w:rsid w:val="00EB7ABA"/>
    <w:rsid w:val="00EB7EEB"/>
    <w:rsid w:val="00EB7F53"/>
    <w:rsid w:val="00EC00A8"/>
    <w:rsid w:val="00EC00E6"/>
    <w:rsid w:val="00EC0158"/>
    <w:rsid w:val="00EC088F"/>
    <w:rsid w:val="00EC08B0"/>
    <w:rsid w:val="00EC08FE"/>
    <w:rsid w:val="00EC0956"/>
    <w:rsid w:val="00EC0B39"/>
    <w:rsid w:val="00EC0DDA"/>
    <w:rsid w:val="00EC0EB5"/>
    <w:rsid w:val="00EC0F4C"/>
    <w:rsid w:val="00EC1131"/>
    <w:rsid w:val="00EC15DB"/>
    <w:rsid w:val="00EC162E"/>
    <w:rsid w:val="00EC168E"/>
    <w:rsid w:val="00EC1D55"/>
    <w:rsid w:val="00EC2016"/>
    <w:rsid w:val="00EC202F"/>
    <w:rsid w:val="00EC210C"/>
    <w:rsid w:val="00EC21C4"/>
    <w:rsid w:val="00EC220B"/>
    <w:rsid w:val="00EC2260"/>
    <w:rsid w:val="00EC2292"/>
    <w:rsid w:val="00EC243C"/>
    <w:rsid w:val="00EC25DB"/>
    <w:rsid w:val="00EC27F4"/>
    <w:rsid w:val="00EC29D6"/>
    <w:rsid w:val="00EC2D3D"/>
    <w:rsid w:val="00EC2EEA"/>
    <w:rsid w:val="00EC304F"/>
    <w:rsid w:val="00EC352C"/>
    <w:rsid w:val="00EC395A"/>
    <w:rsid w:val="00EC39D8"/>
    <w:rsid w:val="00EC39DA"/>
    <w:rsid w:val="00EC3D85"/>
    <w:rsid w:val="00EC3F38"/>
    <w:rsid w:val="00EC4356"/>
    <w:rsid w:val="00EC4386"/>
    <w:rsid w:val="00EC45CD"/>
    <w:rsid w:val="00EC47E9"/>
    <w:rsid w:val="00EC48DD"/>
    <w:rsid w:val="00EC490D"/>
    <w:rsid w:val="00EC4D4A"/>
    <w:rsid w:val="00EC538D"/>
    <w:rsid w:val="00EC557A"/>
    <w:rsid w:val="00EC571E"/>
    <w:rsid w:val="00EC5764"/>
    <w:rsid w:val="00EC577B"/>
    <w:rsid w:val="00EC5A0B"/>
    <w:rsid w:val="00EC5A37"/>
    <w:rsid w:val="00EC5DD1"/>
    <w:rsid w:val="00EC5E1C"/>
    <w:rsid w:val="00EC5F56"/>
    <w:rsid w:val="00EC6248"/>
    <w:rsid w:val="00EC625E"/>
    <w:rsid w:val="00EC65CB"/>
    <w:rsid w:val="00EC6B1A"/>
    <w:rsid w:val="00EC6B5A"/>
    <w:rsid w:val="00EC6E25"/>
    <w:rsid w:val="00EC7115"/>
    <w:rsid w:val="00EC71A3"/>
    <w:rsid w:val="00EC733C"/>
    <w:rsid w:val="00EC7363"/>
    <w:rsid w:val="00EC76A9"/>
    <w:rsid w:val="00EC77AD"/>
    <w:rsid w:val="00EC7A31"/>
    <w:rsid w:val="00EC7B66"/>
    <w:rsid w:val="00EC7D62"/>
    <w:rsid w:val="00EC7E7D"/>
    <w:rsid w:val="00EC7E86"/>
    <w:rsid w:val="00ED0217"/>
    <w:rsid w:val="00ED0274"/>
    <w:rsid w:val="00ED0331"/>
    <w:rsid w:val="00ED035B"/>
    <w:rsid w:val="00ED048C"/>
    <w:rsid w:val="00ED0750"/>
    <w:rsid w:val="00ED0996"/>
    <w:rsid w:val="00ED09C7"/>
    <w:rsid w:val="00ED0C99"/>
    <w:rsid w:val="00ED1096"/>
    <w:rsid w:val="00ED11AE"/>
    <w:rsid w:val="00ED1390"/>
    <w:rsid w:val="00ED143C"/>
    <w:rsid w:val="00ED1748"/>
    <w:rsid w:val="00ED17DD"/>
    <w:rsid w:val="00ED1858"/>
    <w:rsid w:val="00ED1909"/>
    <w:rsid w:val="00ED1E77"/>
    <w:rsid w:val="00ED1ED2"/>
    <w:rsid w:val="00ED22E4"/>
    <w:rsid w:val="00ED23A4"/>
    <w:rsid w:val="00ED2543"/>
    <w:rsid w:val="00ED25A1"/>
    <w:rsid w:val="00ED2656"/>
    <w:rsid w:val="00ED2765"/>
    <w:rsid w:val="00ED2828"/>
    <w:rsid w:val="00ED2C09"/>
    <w:rsid w:val="00ED2CC2"/>
    <w:rsid w:val="00ED2E8E"/>
    <w:rsid w:val="00ED3031"/>
    <w:rsid w:val="00ED30EB"/>
    <w:rsid w:val="00ED32A8"/>
    <w:rsid w:val="00ED357C"/>
    <w:rsid w:val="00ED3644"/>
    <w:rsid w:val="00ED3876"/>
    <w:rsid w:val="00ED390B"/>
    <w:rsid w:val="00ED3ACE"/>
    <w:rsid w:val="00ED3B90"/>
    <w:rsid w:val="00ED3BB1"/>
    <w:rsid w:val="00ED3C5C"/>
    <w:rsid w:val="00ED3DAF"/>
    <w:rsid w:val="00ED4045"/>
    <w:rsid w:val="00ED4211"/>
    <w:rsid w:val="00ED43A2"/>
    <w:rsid w:val="00ED4452"/>
    <w:rsid w:val="00ED4734"/>
    <w:rsid w:val="00ED483E"/>
    <w:rsid w:val="00ED4D35"/>
    <w:rsid w:val="00ED4F33"/>
    <w:rsid w:val="00ED4F73"/>
    <w:rsid w:val="00ED52A6"/>
    <w:rsid w:val="00ED52EA"/>
    <w:rsid w:val="00ED53D6"/>
    <w:rsid w:val="00ED566B"/>
    <w:rsid w:val="00ED584D"/>
    <w:rsid w:val="00ED5855"/>
    <w:rsid w:val="00ED5A12"/>
    <w:rsid w:val="00ED5AE2"/>
    <w:rsid w:val="00ED5D50"/>
    <w:rsid w:val="00ED5D8D"/>
    <w:rsid w:val="00ED6153"/>
    <w:rsid w:val="00ED64EA"/>
    <w:rsid w:val="00ED65EF"/>
    <w:rsid w:val="00ED6A68"/>
    <w:rsid w:val="00ED6AE1"/>
    <w:rsid w:val="00ED6D93"/>
    <w:rsid w:val="00ED7049"/>
    <w:rsid w:val="00ED7534"/>
    <w:rsid w:val="00ED7675"/>
    <w:rsid w:val="00ED786A"/>
    <w:rsid w:val="00ED7905"/>
    <w:rsid w:val="00ED7D51"/>
    <w:rsid w:val="00ED7E44"/>
    <w:rsid w:val="00ED7E97"/>
    <w:rsid w:val="00ED7FF9"/>
    <w:rsid w:val="00EE0014"/>
    <w:rsid w:val="00EE00A6"/>
    <w:rsid w:val="00EE0B23"/>
    <w:rsid w:val="00EE0BDA"/>
    <w:rsid w:val="00EE0F3A"/>
    <w:rsid w:val="00EE0FAB"/>
    <w:rsid w:val="00EE1480"/>
    <w:rsid w:val="00EE1482"/>
    <w:rsid w:val="00EE14B4"/>
    <w:rsid w:val="00EE1519"/>
    <w:rsid w:val="00EE1735"/>
    <w:rsid w:val="00EE1957"/>
    <w:rsid w:val="00EE19B0"/>
    <w:rsid w:val="00EE1C88"/>
    <w:rsid w:val="00EE20E8"/>
    <w:rsid w:val="00EE20EE"/>
    <w:rsid w:val="00EE2146"/>
    <w:rsid w:val="00EE249E"/>
    <w:rsid w:val="00EE2515"/>
    <w:rsid w:val="00EE25F9"/>
    <w:rsid w:val="00EE2639"/>
    <w:rsid w:val="00EE27E4"/>
    <w:rsid w:val="00EE2896"/>
    <w:rsid w:val="00EE2BCD"/>
    <w:rsid w:val="00EE2CA6"/>
    <w:rsid w:val="00EE2E62"/>
    <w:rsid w:val="00EE2F47"/>
    <w:rsid w:val="00EE2FB4"/>
    <w:rsid w:val="00EE3351"/>
    <w:rsid w:val="00EE3473"/>
    <w:rsid w:val="00EE39CE"/>
    <w:rsid w:val="00EE3C69"/>
    <w:rsid w:val="00EE3EF0"/>
    <w:rsid w:val="00EE414D"/>
    <w:rsid w:val="00EE44F8"/>
    <w:rsid w:val="00EE464F"/>
    <w:rsid w:val="00EE47C7"/>
    <w:rsid w:val="00EE497C"/>
    <w:rsid w:val="00EE4B0E"/>
    <w:rsid w:val="00EE4C23"/>
    <w:rsid w:val="00EE4F44"/>
    <w:rsid w:val="00EE503B"/>
    <w:rsid w:val="00EE52D9"/>
    <w:rsid w:val="00EE53D8"/>
    <w:rsid w:val="00EE5504"/>
    <w:rsid w:val="00EE5625"/>
    <w:rsid w:val="00EE58F3"/>
    <w:rsid w:val="00EE5C69"/>
    <w:rsid w:val="00EE5ED2"/>
    <w:rsid w:val="00EE62A8"/>
    <w:rsid w:val="00EE636D"/>
    <w:rsid w:val="00EE660C"/>
    <w:rsid w:val="00EE6780"/>
    <w:rsid w:val="00EE6BAC"/>
    <w:rsid w:val="00EE70B4"/>
    <w:rsid w:val="00EE716D"/>
    <w:rsid w:val="00EE7650"/>
    <w:rsid w:val="00EE7753"/>
    <w:rsid w:val="00EE78C4"/>
    <w:rsid w:val="00EE7D81"/>
    <w:rsid w:val="00EE7EE5"/>
    <w:rsid w:val="00EE7FD9"/>
    <w:rsid w:val="00EF0004"/>
    <w:rsid w:val="00EF018A"/>
    <w:rsid w:val="00EF01A4"/>
    <w:rsid w:val="00EF024C"/>
    <w:rsid w:val="00EF03C5"/>
    <w:rsid w:val="00EF043C"/>
    <w:rsid w:val="00EF04A0"/>
    <w:rsid w:val="00EF0909"/>
    <w:rsid w:val="00EF090D"/>
    <w:rsid w:val="00EF0CF9"/>
    <w:rsid w:val="00EF0F3B"/>
    <w:rsid w:val="00EF0FD2"/>
    <w:rsid w:val="00EF115A"/>
    <w:rsid w:val="00EF154F"/>
    <w:rsid w:val="00EF1979"/>
    <w:rsid w:val="00EF1B64"/>
    <w:rsid w:val="00EF1C05"/>
    <w:rsid w:val="00EF1EA3"/>
    <w:rsid w:val="00EF1F68"/>
    <w:rsid w:val="00EF1F77"/>
    <w:rsid w:val="00EF216A"/>
    <w:rsid w:val="00EF226D"/>
    <w:rsid w:val="00EF2325"/>
    <w:rsid w:val="00EF2A6F"/>
    <w:rsid w:val="00EF2C79"/>
    <w:rsid w:val="00EF2EDC"/>
    <w:rsid w:val="00EF3132"/>
    <w:rsid w:val="00EF3313"/>
    <w:rsid w:val="00EF341A"/>
    <w:rsid w:val="00EF344E"/>
    <w:rsid w:val="00EF3465"/>
    <w:rsid w:val="00EF35C0"/>
    <w:rsid w:val="00EF37DF"/>
    <w:rsid w:val="00EF37F8"/>
    <w:rsid w:val="00EF39DE"/>
    <w:rsid w:val="00EF39EE"/>
    <w:rsid w:val="00EF3CA4"/>
    <w:rsid w:val="00EF3EBC"/>
    <w:rsid w:val="00EF3F4D"/>
    <w:rsid w:val="00EF40DD"/>
    <w:rsid w:val="00EF41B9"/>
    <w:rsid w:val="00EF439B"/>
    <w:rsid w:val="00EF47CE"/>
    <w:rsid w:val="00EF4803"/>
    <w:rsid w:val="00EF48D8"/>
    <w:rsid w:val="00EF48FE"/>
    <w:rsid w:val="00EF49CD"/>
    <w:rsid w:val="00EF4B57"/>
    <w:rsid w:val="00EF4E30"/>
    <w:rsid w:val="00EF52F0"/>
    <w:rsid w:val="00EF558D"/>
    <w:rsid w:val="00EF56EF"/>
    <w:rsid w:val="00EF5701"/>
    <w:rsid w:val="00EF5A2B"/>
    <w:rsid w:val="00EF5C6A"/>
    <w:rsid w:val="00EF6649"/>
    <w:rsid w:val="00EF6778"/>
    <w:rsid w:val="00EF690E"/>
    <w:rsid w:val="00EF6984"/>
    <w:rsid w:val="00EF6B61"/>
    <w:rsid w:val="00EF6BC1"/>
    <w:rsid w:val="00EF6C7C"/>
    <w:rsid w:val="00EF7084"/>
    <w:rsid w:val="00EF7226"/>
    <w:rsid w:val="00EF744D"/>
    <w:rsid w:val="00EF7622"/>
    <w:rsid w:val="00EF769C"/>
    <w:rsid w:val="00EF7A17"/>
    <w:rsid w:val="00EF7B11"/>
    <w:rsid w:val="00EF7B32"/>
    <w:rsid w:val="00EF7B42"/>
    <w:rsid w:val="00EF7DC4"/>
    <w:rsid w:val="00EF7DFE"/>
    <w:rsid w:val="00F00408"/>
    <w:rsid w:val="00F00440"/>
    <w:rsid w:val="00F006B7"/>
    <w:rsid w:val="00F00AE6"/>
    <w:rsid w:val="00F00D5A"/>
    <w:rsid w:val="00F00D81"/>
    <w:rsid w:val="00F0102B"/>
    <w:rsid w:val="00F010FD"/>
    <w:rsid w:val="00F01133"/>
    <w:rsid w:val="00F011C3"/>
    <w:rsid w:val="00F0135D"/>
    <w:rsid w:val="00F0157C"/>
    <w:rsid w:val="00F01890"/>
    <w:rsid w:val="00F01BA8"/>
    <w:rsid w:val="00F01C54"/>
    <w:rsid w:val="00F01EF2"/>
    <w:rsid w:val="00F02119"/>
    <w:rsid w:val="00F021B5"/>
    <w:rsid w:val="00F021B6"/>
    <w:rsid w:val="00F02392"/>
    <w:rsid w:val="00F023E2"/>
    <w:rsid w:val="00F02434"/>
    <w:rsid w:val="00F0245E"/>
    <w:rsid w:val="00F0261D"/>
    <w:rsid w:val="00F02799"/>
    <w:rsid w:val="00F027B0"/>
    <w:rsid w:val="00F02C82"/>
    <w:rsid w:val="00F02D4D"/>
    <w:rsid w:val="00F03012"/>
    <w:rsid w:val="00F03019"/>
    <w:rsid w:val="00F03065"/>
    <w:rsid w:val="00F03125"/>
    <w:rsid w:val="00F031CA"/>
    <w:rsid w:val="00F0326D"/>
    <w:rsid w:val="00F03384"/>
    <w:rsid w:val="00F035A8"/>
    <w:rsid w:val="00F036B4"/>
    <w:rsid w:val="00F038A1"/>
    <w:rsid w:val="00F03A72"/>
    <w:rsid w:val="00F03B7D"/>
    <w:rsid w:val="00F03C4E"/>
    <w:rsid w:val="00F0401F"/>
    <w:rsid w:val="00F04112"/>
    <w:rsid w:val="00F045F2"/>
    <w:rsid w:val="00F0489F"/>
    <w:rsid w:val="00F048EF"/>
    <w:rsid w:val="00F04D93"/>
    <w:rsid w:val="00F04E95"/>
    <w:rsid w:val="00F04F60"/>
    <w:rsid w:val="00F04F7C"/>
    <w:rsid w:val="00F05269"/>
    <w:rsid w:val="00F05447"/>
    <w:rsid w:val="00F054E6"/>
    <w:rsid w:val="00F0585C"/>
    <w:rsid w:val="00F05ADA"/>
    <w:rsid w:val="00F05AE2"/>
    <w:rsid w:val="00F05BB6"/>
    <w:rsid w:val="00F05C11"/>
    <w:rsid w:val="00F05C41"/>
    <w:rsid w:val="00F05CAF"/>
    <w:rsid w:val="00F05D71"/>
    <w:rsid w:val="00F05D89"/>
    <w:rsid w:val="00F06025"/>
    <w:rsid w:val="00F0639B"/>
    <w:rsid w:val="00F063B2"/>
    <w:rsid w:val="00F064BF"/>
    <w:rsid w:val="00F0660D"/>
    <w:rsid w:val="00F066C9"/>
    <w:rsid w:val="00F06773"/>
    <w:rsid w:val="00F067C8"/>
    <w:rsid w:val="00F06A60"/>
    <w:rsid w:val="00F06BA3"/>
    <w:rsid w:val="00F06DA3"/>
    <w:rsid w:val="00F06E25"/>
    <w:rsid w:val="00F06E98"/>
    <w:rsid w:val="00F070AE"/>
    <w:rsid w:val="00F07103"/>
    <w:rsid w:val="00F075FE"/>
    <w:rsid w:val="00F0795C"/>
    <w:rsid w:val="00F07AF2"/>
    <w:rsid w:val="00F07BCA"/>
    <w:rsid w:val="00F10256"/>
    <w:rsid w:val="00F102C2"/>
    <w:rsid w:val="00F10336"/>
    <w:rsid w:val="00F10485"/>
    <w:rsid w:val="00F1077A"/>
    <w:rsid w:val="00F10AC8"/>
    <w:rsid w:val="00F10AFA"/>
    <w:rsid w:val="00F10B72"/>
    <w:rsid w:val="00F11152"/>
    <w:rsid w:val="00F11165"/>
    <w:rsid w:val="00F1116B"/>
    <w:rsid w:val="00F11884"/>
    <w:rsid w:val="00F11D15"/>
    <w:rsid w:val="00F11E1A"/>
    <w:rsid w:val="00F11EA8"/>
    <w:rsid w:val="00F1224F"/>
    <w:rsid w:val="00F12440"/>
    <w:rsid w:val="00F1246A"/>
    <w:rsid w:val="00F12573"/>
    <w:rsid w:val="00F12614"/>
    <w:rsid w:val="00F1268B"/>
    <w:rsid w:val="00F1274A"/>
    <w:rsid w:val="00F1296F"/>
    <w:rsid w:val="00F12999"/>
    <w:rsid w:val="00F12BA2"/>
    <w:rsid w:val="00F12ECC"/>
    <w:rsid w:val="00F12F80"/>
    <w:rsid w:val="00F130B5"/>
    <w:rsid w:val="00F130F3"/>
    <w:rsid w:val="00F13588"/>
    <w:rsid w:val="00F13820"/>
    <w:rsid w:val="00F138AC"/>
    <w:rsid w:val="00F13ADB"/>
    <w:rsid w:val="00F13B80"/>
    <w:rsid w:val="00F13EC1"/>
    <w:rsid w:val="00F13FC5"/>
    <w:rsid w:val="00F14146"/>
    <w:rsid w:val="00F141CB"/>
    <w:rsid w:val="00F14242"/>
    <w:rsid w:val="00F14609"/>
    <w:rsid w:val="00F147D1"/>
    <w:rsid w:val="00F14806"/>
    <w:rsid w:val="00F149DB"/>
    <w:rsid w:val="00F14A03"/>
    <w:rsid w:val="00F14A3A"/>
    <w:rsid w:val="00F14AE1"/>
    <w:rsid w:val="00F150A9"/>
    <w:rsid w:val="00F15487"/>
    <w:rsid w:val="00F154E1"/>
    <w:rsid w:val="00F154F3"/>
    <w:rsid w:val="00F15502"/>
    <w:rsid w:val="00F155B4"/>
    <w:rsid w:val="00F15A0D"/>
    <w:rsid w:val="00F15A67"/>
    <w:rsid w:val="00F15AC0"/>
    <w:rsid w:val="00F15BD5"/>
    <w:rsid w:val="00F15CBB"/>
    <w:rsid w:val="00F15F6B"/>
    <w:rsid w:val="00F161D7"/>
    <w:rsid w:val="00F16435"/>
    <w:rsid w:val="00F16726"/>
    <w:rsid w:val="00F16C4A"/>
    <w:rsid w:val="00F16DDD"/>
    <w:rsid w:val="00F16E60"/>
    <w:rsid w:val="00F16E64"/>
    <w:rsid w:val="00F16FF5"/>
    <w:rsid w:val="00F17179"/>
    <w:rsid w:val="00F172AA"/>
    <w:rsid w:val="00F1741F"/>
    <w:rsid w:val="00F1748A"/>
    <w:rsid w:val="00F17903"/>
    <w:rsid w:val="00F17984"/>
    <w:rsid w:val="00F17C20"/>
    <w:rsid w:val="00F17DE3"/>
    <w:rsid w:val="00F20170"/>
    <w:rsid w:val="00F201FA"/>
    <w:rsid w:val="00F20229"/>
    <w:rsid w:val="00F203BE"/>
    <w:rsid w:val="00F20537"/>
    <w:rsid w:val="00F206E8"/>
    <w:rsid w:val="00F20A8A"/>
    <w:rsid w:val="00F20A91"/>
    <w:rsid w:val="00F20B22"/>
    <w:rsid w:val="00F20B94"/>
    <w:rsid w:val="00F20C70"/>
    <w:rsid w:val="00F20E32"/>
    <w:rsid w:val="00F2164E"/>
    <w:rsid w:val="00F216E8"/>
    <w:rsid w:val="00F21748"/>
    <w:rsid w:val="00F21957"/>
    <w:rsid w:val="00F21A73"/>
    <w:rsid w:val="00F21B8F"/>
    <w:rsid w:val="00F21BB5"/>
    <w:rsid w:val="00F21D71"/>
    <w:rsid w:val="00F21DE4"/>
    <w:rsid w:val="00F21E36"/>
    <w:rsid w:val="00F21E81"/>
    <w:rsid w:val="00F221D1"/>
    <w:rsid w:val="00F222CE"/>
    <w:rsid w:val="00F223E5"/>
    <w:rsid w:val="00F2240A"/>
    <w:rsid w:val="00F2256D"/>
    <w:rsid w:val="00F22883"/>
    <w:rsid w:val="00F22958"/>
    <w:rsid w:val="00F22D92"/>
    <w:rsid w:val="00F22DCC"/>
    <w:rsid w:val="00F22E58"/>
    <w:rsid w:val="00F22EA7"/>
    <w:rsid w:val="00F232B4"/>
    <w:rsid w:val="00F23346"/>
    <w:rsid w:val="00F23406"/>
    <w:rsid w:val="00F234C6"/>
    <w:rsid w:val="00F238E8"/>
    <w:rsid w:val="00F2390A"/>
    <w:rsid w:val="00F23B58"/>
    <w:rsid w:val="00F23CF2"/>
    <w:rsid w:val="00F23EEF"/>
    <w:rsid w:val="00F240A4"/>
    <w:rsid w:val="00F24134"/>
    <w:rsid w:val="00F241F4"/>
    <w:rsid w:val="00F24488"/>
    <w:rsid w:val="00F2449B"/>
    <w:rsid w:val="00F244CC"/>
    <w:rsid w:val="00F246FB"/>
    <w:rsid w:val="00F248E9"/>
    <w:rsid w:val="00F24C35"/>
    <w:rsid w:val="00F24DF7"/>
    <w:rsid w:val="00F24FCE"/>
    <w:rsid w:val="00F25270"/>
    <w:rsid w:val="00F2533D"/>
    <w:rsid w:val="00F25BE6"/>
    <w:rsid w:val="00F25CD3"/>
    <w:rsid w:val="00F25FF2"/>
    <w:rsid w:val="00F2618D"/>
    <w:rsid w:val="00F267FC"/>
    <w:rsid w:val="00F26C88"/>
    <w:rsid w:val="00F26D80"/>
    <w:rsid w:val="00F26EEF"/>
    <w:rsid w:val="00F272A4"/>
    <w:rsid w:val="00F272B7"/>
    <w:rsid w:val="00F277B9"/>
    <w:rsid w:val="00F27A44"/>
    <w:rsid w:val="00F27AF6"/>
    <w:rsid w:val="00F30041"/>
    <w:rsid w:val="00F300E4"/>
    <w:rsid w:val="00F3023A"/>
    <w:rsid w:val="00F30335"/>
    <w:rsid w:val="00F303E9"/>
    <w:rsid w:val="00F307C3"/>
    <w:rsid w:val="00F30A30"/>
    <w:rsid w:val="00F30ABF"/>
    <w:rsid w:val="00F30C58"/>
    <w:rsid w:val="00F30D32"/>
    <w:rsid w:val="00F31046"/>
    <w:rsid w:val="00F31174"/>
    <w:rsid w:val="00F312D5"/>
    <w:rsid w:val="00F316CB"/>
    <w:rsid w:val="00F31BD1"/>
    <w:rsid w:val="00F31DB5"/>
    <w:rsid w:val="00F31EBD"/>
    <w:rsid w:val="00F31FC9"/>
    <w:rsid w:val="00F32551"/>
    <w:rsid w:val="00F3264E"/>
    <w:rsid w:val="00F32ABF"/>
    <w:rsid w:val="00F32BAD"/>
    <w:rsid w:val="00F32F88"/>
    <w:rsid w:val="00F331ED"/>
    <w:rsid w:val="00F3330F"/>
    <w:rsid w:val="00F333B1"/>
    <w:rsid w:val="00F3358A"/>
    <w:rsid w:val="00F33597"/>
    <w:rsid w:val="00F3363A"/>
    <w:rsid w:val="00F336A4"/>
    <w:rsid w:val="00F337BF"/>
    <w:rsid w:val="00F33B01"/>
    <w:rsid w:val="00F33B0C"/>
    <w:rsid w:val="00F33B23"/>
    <w:rsid w:val="00F33B86"/>
    <w:rsid w:val="00F33E74"/>
    <w:rsid w:val="00F33E9E"/>
    <w:rsid w:val="00F33FB6"/>
    <w:rsid w:val="00F348DA"/>
    <w:rsid w:val="00F34AA6"/>
    <w:rsid w:val="00F34BA2"/>
    <w:rsid w:val="00F34D77"/>
    <w:rsid w:val="00F34ECF"/>
    <w:rsid w:val="00F34FDB"/>
    <w:rsid w:val="00F35220"/>
    <w:rsid w:val="00F352A4"/>
    <w:rsid w:val="00F355AE"/>
    <w:rsid w:val="00F35CEF"/>
    <w:rsid w:val="00F35E0F"/>
    <w:rsid w:val="00F35FE8"/>
    <w:rsid w:val="00F3602E"/>
    <w:rsid w:val="00F361B1"/>
    <w:rsid w:val="00F3642C"/>
    <w:rsid w:val="00F3683B"/>
    <w:rsid w:val="00F368EC"/>
    <w:rsid w:val="00F36A80"/>
    <w:rsid w:val="00F36CA7"/>
    <w:rsid w:val="00F36F96"/>
    <w:rsid w:val="00F372DF"/>
    <w:rsid w:val="00F375F0"/>
    <w:rsid w:val="00F37873"/>
    <w:rsid w:val="00F37EFD"/>
    <w:rsid w:val="00F40010"/>
    <w:rsid w:val="00F40168"/>
    <w:rsid w:val="00F40233"/>
    <w:rsid w:val="00F4051A"/>
    <w:rsid w:val="00F406C7"/>
    <w:rsid w:val="00F40B8C"/>
    <w:rsid w:val="00F40E20"/>
    <w:rsid w:val="00F40F61"/>
    <w:rsid w:val="00F41140"/>
    <w:rsid w:val="00F411D3"/>
    <w:rsid w:val="00F412EC"/>
    <w:rsid w:val="00F41368"/>
    <w:rsid w:val="00F4142A"/>
    <w:rsid w:val="00F414A3"/>
    <w:rsid w:val="00F414C4"/>
    <w:rsid w:val="00F41616"/>
    <w:rsid w:val="00F4174E"/>
    <w:rsid w:val="00F41B4F"/>
    <w:rsid w:val="00F41FEE"/>
    <w:rsid w:val="00F4202D"/>
    <w:rsid w:val="00F42331"/>
    <w:rsid w:val="00F4237A"/>
    <w:rsid w:val="00F42566"/>
    <w:rsid w:val="00F42579"/>
    <w:rsid w:val="00F4262A"/>
    <w:rsid w:val="00F42856"/>
    <w:rsid w:val="00F42B7C"/>
    <w:rsid w:val="00F42C36"/>
    <w:rsid w:val="00F42E9C"/>
    <w:rsid w:val="00F42FB1"/>
    <w:rsid w:val="00F430F7"/>
    <w:rsid w:val="00F4311F"/>
    <w:rsid w:val="00F431F7"/>
    <w:rsid w:val="00F432F4"/>
    <w:rsid w:val="00F43347"/>
    <w:rsid w:val="00F433CB"/>
    <w:rsid w:val="00F438C0"/>
    <w:rsid w:val="00F43F35"/>
    <w:rsid w:val="00F440F2"/>
    <w:rsid w:val="00F44219"/>
    <w:rsid w:val="00F44559"/>
    <w:rsid w:val="00F44587"/>
    <w:rsid w:val="00F44880"/>
    <w:rsid w:val="00F44956"/>
    <w:rsid w:val="00F44A05"/>
    <w:rsid w:val="00F44DCD"/>
    <w:rsid w:val="00F45074"/>
    <w:rsid w:val="00F450F5"/>
    <w:rsid w:val="00F451BC"/>
    <w:rsid w:val="00F454AF"/>
    <w:rsid w:val="00F454FE"/>
    <w:rsid w:val="00F45580"/>
    <w:rsid w:val="00F45595"/>
    <w:rsid w:val="00F45804"/>
    <w:rsid w:val="00F45AE8"/>
    <w:rsid w:val="00F45B3C"/>
    <w:rsid w:val="00F45DA3"/>
    <w:rsid w:val="00F45EAD"/>
    <w:rsid w:val="00F45FF4"/>
    <w:rsid w:val="00F46123"/>
    <w:rsid w:val="00F46520"/>
    <w:rsid w:val="00F4685D"/>
    <w:rsid w:val="00F4694C"/>
    <w:rsid w:val="00F469B1"/>
    <w:rsid w:val="00F46C60"/>
    <w:rsid w:val="00F46D20"/>
    <w:rsid w:val="00F46DFA"/>
    <w:rsid w:val="00F46E5D"/>
    <w:rsid w:val="00F46F7E"/>
    <w:rsid w:val="00F4719D"/>
    <w:rsid w:val="00F471AB"/>
    <w:rsid w:val="00F4742D"/>
    <w:rsid w:val="00F47460"/>
    <w:rsid w:val="00F476BD"/>
    <w:rsid w:val="00F479CF"/>
    <w:rsid w:val="00F479FE"/>
    <w:rsid w:val="00F47AD3"/>
    <w:rsid w:val="00F47AD7"/>
    <w:rsid w:val="00F47BCF"/>
    <w:rsid w:val="00F47E6F"/>
    <w:rsid w:val="00F504FB"/>
    <w:rsid w:val="00F508B2"/>
    <w:rsid w:val="00F50912"/>
    <w:rsid w:val="00F50C95"/>
    <w:rsid w:val="00F50EE2"/>
    <w:rsid w:val="00F50F39"/>
    <w:rsid w:val="00F51058"/>
    <w:rsid w:val="00F51128"/>
    <w:rsid w:val="00F5122C"/>
    <w:rsid w:val="00F513AA"/>
    <w:rsid w:val="00F514B8"/>
    <w:rsid w:val="00F515F2"/>
    <w:rsid w:val="00F51717"/>
    <w:rsid w:val="00F5193E"/>
    <w:rsid w:val="00F51980"/>
    <w:rsid w:val="00F51B92"/>
    <w:rsid w:val="00F51C0B"/>
    <w:rsid w:val="00F51CF3"/>
    <w:rsid w:val="00F51DA5"/>
    <w:rsid w:val="00F51F71"/>
    <w:rsid w:val="00F52041"/>
    <w:rsid w:val="00F521A4"/>
    <w:rsid w:val="00F52538"/>
    <w:rsid w:val="00F525C8"/>
    <w:rsid w:val="00F52695"/>
    <w:rsid w:val="00F52BAC"/>
    <w:rsid w:val="00F52BDF"/>
    <w:rsid w:val="00F52C72"/>
    <w:rsid w:val="00F52E30"/>
    <w:rsid w:val="00F52EC7"/>
    <w:rsid w:val="00F52F1D"/>
    <w:rsid w:val="00F5300E"/>
    <w:rsid w:val="00F5301A"/>
    <w:rsid w:val="00F5315F"/>
    <w:rsid w:val="00F535CD"/>
    <w:rsid w:val="00F53615"/>
    <w:rsid w:val="00F5378D"/>
    <w:rsid w:val="00F5379A"/>
    <w:rsid w:val="00F5382A"/>
    <w:rsid w:val="00F53841"/>
    <w:rsid w:val="00F5389C"/>
    <w:rsid w:val="00F539F0"/>
    <w:rsid w:val="00F53B2D"/>
    <w:rsid w:val="00F53BB5"/>
    <w:rsid w:val="00F53BDF"/>
    <w:rsid w:val="00F53C54"/>
    <w:rsid w:val="00F53CD3"/>
    <w:rsid w:val="00F53E58"/>
    <w:rsid w:val="00F53F7A"/>
    <w:rsid w:val="00F54089"/>
    <w:rsid w:val="00F5408A"/>
    <w:rsid w:val="00F543DE"/>
    <w:rsid w:val="00F54565"/>
    <w:rsid w:val="00F545F9"/>
    <w:rsid w:val="00F5466B"/>
    <w:rsid w:val="00F546EB"/>
    <w:rsid w:val="00F54718"/>
    <w:rsid w:val="00F5472D"/>
    <w:rsid w:val="00F54856"/>
    <w:rsid w:val="00F5486C"/>
    <w:rsid w:val="00F5496B"/>
    <w:rsid w:val="00F54B49"/>
    <w:rsid w:val="00F54CA0"/>
    <w:rsid w:val="00F5513A"/>
    <w:rsid w:val="00F557D7"/>
    <w:rsid w:val="00F55951"/>
    <w:rsid w:val="00F55A88"/>
    <w:rsid w:val="00F55DF8"/>
    <w:rsid w:val="00F5624D"/>
    <w:rsid w:val="00F5635D"/>
    <w:rsid w:val="00F563F1"/>
    <w:rsid w:val="00F56431"/>
    <w:rsid w:val="00F56455"/>
    <w:rsid w:val="00F56701"/>
    <w:rsid w:val="00F56744"/>
    <w:rsid w:val="00F56AFE"/>
    <w:rsid w:val="00F56F6E"/>
    <w:rsid w:val="00F571B2"/>
    <w:rsid w:val="00F57402"/>
    <w:rsid w:val="00F57911"/>
    <w:rsid w:val="00F57D6E"/>
    <w:rsid w:val="00F60025"/>
    <w:rsid w:val="00F60086"/>
    <w:rsid w:val="00F60113"/>
    <w:rsid w:val="00F60128"/>
    <w:rsid w:val="00F6021C"/>
    <w:rsid w:val="00F602A5"/>
    <w:rsid w:val="00F602DE"/>
    <w:rsid w:val="00F6034A"/>
    <w:rsid w:val="00F605AD"/>
    <w:rsid w:val="00F607B3"/>
    <w:rsid w:val="00F607CE"/>
    <w:rsid w:val="00F60907"/>
    <w:rsid w:val="00F60AF9"/>
    <w:rsid w:val="00F60BF2"/>
    <w:rsid w:val="00F60E29"/>
    <w:rsid w:val="00F60F04"/>
    <w:rsid w:val="00F60FE0"/>
    <w:rsid w:val="00F61473"/>
    <w:rsid w:val="00F6162E"/>
    <w:rsid w:val="00F61718"/>
    <w:rsid w:val="00F61778"/>
    <w:rsid w:val="00F617E4"/>
    <w:rsid w:val="00F61859"/>
    <w:rsid w:val="00F61A20"/>
    <w:rsid w:val="00F61B61"/>
    <w:rsid w:val="00F61F5B"/>
    <w:rsid w:val="00F620F6"/>
    <w:rsid w:val="00F62112"/>
    <w:rsid w:val="00F623A3"/>
    <w:rsid w:val="00F623F2"/>
    <w:rsid w:val="00F624D5"/>
    <w:rsid w:val="00F62638"/>
    <w:rsid w:val="00F62652"/>
    <w:rsid w:val="00F628B7"/>
    <w:rsid w:val="00F628E6"/>
    <w:rsid w:val="00F6295E"/>
    <w:rsid w:val="00F62B0D"/>
    <w:rsid w:val="00F62B63"/>
    <w:rsid w:val="00F62C39"/>
    <w:rsid w:val="00F62CCE"/>
    <w:rsid w:val="00F62D6F"/>
    <w:rsid w:val="00F62DEF"/>
    <w:rsid w:val="00F62E1F"/>
    <w:rsid w:val="00F62F1E"/>
    <w:rsid w:val="00F62FC9"/>
    <w:rsid w:val="00F63374"/>
    <w:rsid w:val="00F634FD"/>
    <w:rsid w:val="00F6360C"/>
    <w:rsid w:val="00F6367F"/>
    <w:rsid w:val="00F636EE"/>
    <w:rsid w:val="00F6376B"/>
    <w:rsid w:val="00F63A01"/>
    <w:rsid w:val="00F63B39"/>
    <w:rsid w:val="00F63CCC"/>
    <w:rsid w:val="00F63EA9"/>
    <w:rsid w:val="00F642C3"/>
    <w:rsid w:val="00F645F8"/>
    <w:rsid w:val="00F646D5"/>
    <w:rsid w:val="00F64931"/>
    <w:rsid w:val="00F64A75"/>
    <w:rsid w:val="00F64AEF"/>
    <w:rsid w:val="00F64B95"/>
    <w:rsid w:val="00F64D89"/>
    <w:rsid w:val="00F64EFE"/>
    <w:rsid w:val="00F65089"/>
    <w:rsid w:val="00F65228"/>
    <w:rsid w:val="00F652FA"/>
    <w:rsid w:val="00F65390"/>
    <w:rsid w:val="00F65397"/>
    <w:rsid w:val="00F6539F"/>
    <w:rsid w:val="00F65723"/>
    <w:rsid w:val="00F65B1C"/>
    <w:rsid w:val="00F65B7E"/>
    <w:rsid w:val="00F65E31"/>
    <w:rsid w:val="00F662B7"/>
    <w:rsid w:val="00F66386"/>
    <w:rsid w:val="00F665BA"/>
    <w:rsid w:val="00F665EB"/>
    <w:rsid w:val="00F6676A"/>
    <w:rsid w:val="00F667CE"/>
    <w:rsid w:val="00F66995"/>
    <w:rsid w:val="00F66DE6"/>
    <w:rsid w:val="00F670FB"/>
    <w:rsid w:val="00F67215"/>
    <w:rsid w:val="00F6725C"/>
    <w:rsid w:val="00F67477"/>
    <w:rsid w:val="00F67688"/>
    <w:rsid w:val="00F6791E"/>
    <w:rsid w:val="00F67997"/>
    <w:rsid w:val="00F67C19"/>
    <w:rsid w:val="00F67C7C"/>
    <w:rsid w:val="00F67C9B"/>
    <w:rsid w:val="00F700CB"/>
    <w:rsid w:val="00F7022C"/>
    <w:rsid w:val="00F7056E"/>
    <w:rsid w:val="00F7060B"/>
    <w:rsid w:val="00F7073A"/>
    <w:rsid w:val="00F70C1D"/>
    <w:rsid w:val="00F70DBB"/>
    <w:rsid w:val="00F70F4D"/>
    <w:rsid w:val="00F70F9D"/>
    <w:rsid w:val="00F70FBA"/>
    <w:rsid w:val="00F71464"/>
    <w:rsid w:val="00F714EB"/>
    <w:rsid w:val="00F71991"/>
    <w:rsid w:val="00F71A13"/>
    <w:rsid w:val="00F71AB2"/>
    <w:rsid w:val="00F71B44"/>
    <w:rsid w:val="00F71C07"/>
    <w:rsid w:val="00F71C50"/>
    <w:rsid w:val="00F721F5"/>
    <w:rsid w:val="00F7247A"/>
    <w:rsid w:val="00F727C1"/>
    <w:rsid w:val="00F72CE0"/>
    <w:rsid w:val="00F73125"/>
    <w:rsid w:val="00F73342"/>
    <w:rsid w:val="00F73528"/>
    <w:rsid w:val="00F73BF3"/>
    <w:rsid w:val="00F73CB0"/>
    <w:rsid w:val="00F73DDD"/>
    <w:rsid w:val="00F740A5"/>
    <w:rsid w:val="00F7422D"/>
    <w:rsid w:val="00F7424E"/>
    <w:rsid w:val="00F745B7"/>
    <w:rsid w:val="00F745D7"/>
    <w:rsid w:val="00F74628"/>
    <w:rsid w:val="00F74A0D"/>
    <w:rsid w:val="00F74A9B"/>
    <w:rsid w:val="00F74CBC"/>
    <w:rsid w:val="00F74CED"/>
    <w:rsid w:val="00F74D46"/>
    <w:rsid w:val="00F74F09"/>
    <w:rsid w:val="00F75404"/>
    <w:rsid w:val="00F75475"/>
    <w:rsid w:val="00F754F2"/>
    <w:rsid w:val="00F75632"/>
    <w:rsid w:val="00F7573F"/>
    <w:rsid w:val="00F758A5"/>
    <w:rsid w:val="00F759F2"/>
    <w:rsid w:val="00F75B22"/>
    <w:rsid w:val="00F75C50"/>
    <w:rsid w:val="00F75C5D"/>
    <w:rsid w:val="00F75E7A"/>
    <w:rsid w:val="00F75F6E"/>
    <w:rsid w:val="00F7615C"/>
    <w:rsid w:val="00F7666F"/>
    <w:rsid w:val="00F767BE"/>
    <w:rsid w:val="00F769A6"/>
    <w:rsid w:val="00F76B50"/>
    <w:rsid w:val="00F76B78"/>
    <w:rsid w:val="00F76BEC"/>
    <w:rsid w:val="00F76BF7"/>
    <w:rsid w:val="00F76C97"/>
    <w:rsid w:val="00F76D72"/>
    <w:rsid w:val="00F77390"/>
    <w:rsid w:val="00F776FA"/>
    <w:rsid w:val="00F777D0"/>
    <w:rsid w:val="00F77B5C"/>
    <w:rsid w:val="00F77CDF"/>
    <w:rsid w:val="00F77E15"/>
    <w:rsid w:val="00F77EDB"/>
    <w:rsid w:val="00F801E0"/>
    <w:rsid w:val="00F80509"/>
    <w:rsid w:val="00F80588"/>
    <w:rsid w:val="00F805AE"/>
    <w:rsid w:val="00F805DD"/>
    <w:rsid w:val="00F80636"/>
    <w:rsid w:val="00F80805"/>
    <w:rsid w:val="00F80829"/>
    <w:rsid w:val="00F808B8"/>
    <w:rsid w:val="00F808FB"/>
    <w:rsid w:val="00F80B4B"/>
    <w:rsid w:val="00F80C03"/>
    <w:rsid w:val="00F80E38"/>
    <w:rsid w:val="00F80E81"/>
    <w:rsid w:val="00F80F1B"/>
    <w:rsid w:val="00F81420"/>
    <w:rsid w:val="00F8146D"/>
    <w:rsid w:val="00F8153E"/>
    <w:rsid w:val="00F819A5"/>
    <w:rsid w:val="00F81A3C"/>
    <w:rsid w:val="00F81BFE"/>
    <w:rsid w:val="00F81C09"/>
    <w:rsid w:val="00F820BB"/>
    <w:rsid w:val="00F82124"/>
    <w:rsid w:val="00F821A6"/>
    <w:rsid w:val="00F82610"/>
    <w:rsid w:val="00F82888"/>
    <w:rsid w:val="00F82B14"/>
    <w:rsid w:val="00F82BB5"/>
    <w:rsid w:val="00F82E23"/>
    <w:rsid w:val="00F82E31"/>
    <w:rsid w:val="00F82F21"/>
    <w:rsid w:val="00F82F30"/>
    <w:rsid w:val="00F83082"/>
    <w:rsid w:val="00F835B4"/>
    <w:rsid w:val="00F8374D"/>
    <w:rsid w:val="00F83928"/>
    <w:rsid w:val="00F83ACF"/>
    <w:rsid w:val="00F83D58"/>
    <w:rsid w:val="00F83E14"/>
    <w:rsid w:val="00F83E8B"/>
    <w:rsid w:val="00F83F46"/>
    <w:rsid w:val="00F83FFC"/>
    <w:rsid w:val="00F84078"/>
    <w:rsid w:val="00F840D9"/>
    <w:rsid w:val="00F8412D"/>
    <w:rsid w:val="00F8413F"/>
    <w:rsid w:val="00F8418B"/>
    <w:rsid w:val="00F84426"/>
    <w:rsid w:val="00F8490C"/>
    <w:rsid w:val="00F84E36"/>
    <w:rsid w:val="00F84EFB"/>
    <w:rsid w:val="00F85016"/>
    <w:rsid w:val="00F8503D"/>
    <w:rsid w:val="00F85131"/>
    <w:rsid w:val="00F852D3"/>
    <w:rsid w:val="00F8542A"/>
    <w:rsid w:val="00F8582F"/>
    <w:rsid w:val="00F85B31"/>
    <w:rsid w:val="00F85F9A"/>
    <w:rsid w:val="00F8613C"/>
    <w:rsid w:val="00F8616F"/>
    <w:rsid w:val="00F86239"/>
    <w:rsid w:val="00F86462"/>
    <w:rsid w:val="00F86695"/>
    <w:rsid w:val="00F86CD6"/>
    <w:rsid w:val="00F870E1"/>
    <w:rsid w:val="00F87504"/>
    <w:rsid w:val="00F875CE"/>
    <w:rsid w:val="00F87636"/>
    <w:rsid w:val="00F87834"/>
    <w:rsid w:val="00F87851"/>
    <w:rsid w:val="00F878FF"/>
    <w:rsid w:val="00F87A43"/>
    <w:rsid w:val="00F87D16"/>
    <w:rsid w:val="00F87F34"/>
    <w:rsid w:val="00F87F92"/>
    <w:rsid w:val="00F90021"/>
    <w:rsid w:val="00F901D6"/>
    <w:rsid w:val="00F904A1"/>
    <w:rsid w:val="00F905D4"/>
    <w:rsid w:val="00F9066C"/>
    <w:rsid w:val="00F907B0"/>
    <w:rsid w:val="00F907FF"/>
    <w:rsid w:val="00F90974"/>
    <w:rsid w:val="00F90BC4"/>
    <w:rsid w:val="00F90C58"/>
    <w:rsid w:val="00F90CF8"/>
    <w:rsid w:val="00F90DBF"/>
    <w:rsid w:val="00F90DF1"/>
    <w:rsid w:val="00F90EC3"/>
    <w:rsid w:val="00F91140"/>
    <w:rsid w:val="00F9149F"/>
    <w:rsid w:val="00F91727"/>
    <w:rsid w:val="00F9175C"/>
    <w:rsid w:val="00F9175E"/>
    <w:rsid w:val="00F91A65"/>
    <w:rsid w:val="00F91B42"/>
    <w:rsid w:val="00F91B92"/>
    <w:rsid w:val="00F91BAD"/>
    <w:rsid w:val="00F91D03"/>
    <w:rsid w:val="00F924BA"/>
    <w:rsid w:val="00F924DF"/>
    <w:rsid w:val="00F92580"/>
    <w:rsid w:val="00F926AC"/>
    <w:rsid w:val="00F927F0"/>
    <w:rsid w:val="00F92937"/>
    <w:rsid w:val="00F92B33"/>
    <w:rsid w:val="00F92D8C"/>
    <w:rsid w:val="00F92E6C"/>
    <w:rsid w:val="00F92EDD"/>
    <w:rsid w:val="00F932E0"/>
    <w:rsid w:val="00F937C8"/>
    <w:rsid w:val="00F93890"/>
    <w:rsid w:val="00F93971"/>
    <w:rsid w:val="00F93A25"/>
    <w:rsid w:val="00F93F31"/>
    <w:rsid w:val="00F94214"/>
    <w:rsid w:val="00F94219"/>
    <w:rsid w:val="00F94337"/>
    <w:rsid w:val="00F947DD"/>
    <w:rsid w:val="00F94891"/>
    <w:rsid w:val="00F94908"/>
    <w:rsid w:val="00F94ADE"/>
    <w:rsid w:val="00F94C4E"/>
    <w:rsid w:val="00F94FE9"/>
    <w:rsid w:val="00F950F6"/>
    <w:rsid w:val="00F95352"/>
    <w:rsid w:val="00F954DA"/>
    <w:rsid w:val="00F95622"/>
    <w:rsid w:val="00F95A17"/>
    <w:rsid w:val="00F95B54"/>
    <w:rsid w:val="00F95C1C"/>
    <w:rsid w:val="00F95E8F"/>
    <w:rsid w:val="00F962A6"/>
    <w:rsid w:val="00F9657A"/>
    <w:rsid w:val="00F96A1F"/>
    <w:rsid w:val="00F96B52"/>
    <w:rsid w:val="00F96BE3"/>
    <w:rsid w:val="00F96DB0"/>
    <w:rsid w:val="00F96FF1"/>
    <w:rsid w:val="00F97077"/>
    <w:rsid w:val="00F972F2"/>
    <w:rsid w:val="00F975D6"/>
    <w:rsid w:val="00F975DC"/>
    <w:rsid w:val="00F9788A"/>
    <w:rsid w:val="00F9798C"/>
    <w:rsid w:val="00F97C9D"/>
    <w:rsid w:val="00F97CE8"/>
    <w:rsid w:val="00F97F20"/>
    <w:rsid w:val="00FA02AA"/>
    <w:rsid w:val="00FA02E9"/>
    <w:rsid w:val="00FA03C6"/>
    <w:rsid w:val="00FA03CB"/>
    <w:rsid w:val="00FA068E"/>
    <w:rsid w:val="00FA08E9"/>
    <w:rsid w:val="00FA0CF6"/>
    <w:rsid w:val="00FA0DA1"/>
    <w:rsid w:val="00FA0E9D"/>
    <w:rsid w:val="00FA0F88"/>
    <w:rsid w:val="00FA1094"/>
    <w:rsid w:val="00FA109A"/>
    <w:rsid w:val="00FA12AB"/>
    <w:rsid w:val="00FA1407"/>
    <w:rsid w:val="00FA1423"/>
    <w:rsid w:val="00FA1467"/>
    <w:rsid w:val="00FA1877"/>
    <w:rsid w:val="00FA18D4"/>
    <w:rsid w:val="00FA1A08"/>
    <w:rsid w:val="00FA1A2F"/>
    <w:rsid w:val="00FA1A3A"/>
    <w:rsid w:val="00FA1C6D"/>
    <w:rsid w:val="00FA1D06"/>
    <w:rsid w:val="00FA21BB"/>
    <w:rsid w:val="00FA275D"/>
    <w:rsid w:val="00FA2890"/>
    <w:rsid w:val="00FA28D3"/>
    <w:rsid w:val="00FA29FF"/>
    <w:rsid w:val="00FA2C77"/>
    <w:rsid w:val="00FA2CFC"/>
    <w:rsid w:val="00FA3090"/>
    <w:rsid w:val="00FA309D"/>
    <w:rsid w:val="00FA3264"/>
    <w:rsid w:val="00FA32CC"/>
    <w:rsid w:val="00FA33D0"/>
    <w:rsid w:val="00FA3535"/>
    <w:rsid w:val="00FA35D5"/>
    <w:rsid w:val="00FA36F8"/>
    <w:rsid w:val="00FA3710"/>
    <w:rsid w:val="00FA3E01"/>
    <w:rsid w:val="00FA3F61"/>
    <w:rsid w:val="00FA4001"/>
    <w:rsid w:val="00FA41AF"/>
    <w:rsid w:val="00FA41DA"/>
    <w:rsid w:val="00FA4395"/>
    <w:rsid w:val="00FA44E3"/>
    <w:rsid w:val="00FA457B"/>
    <w:rsid w:val="00FA4A43"/>
    <w:rsid w:val="00FA4AAA"/>
    <w:rsid w:val="00FA4AFA"/>
    <w:rsid w:val="00FA4E38"/>
    <w:rsid w:val="00FA4EEA"/>
    <w:rsid w:val="00FA4F58"/>
    <w:rsid w:val="00FA5072"/>
    <w:rsid w:val="00FA50A7"/>
    <w:rsid w:val="00FA50F0"/>
    <w:rsid w:val="00FA52B9"/>
    <w:rsid w:val="00FA52DA"/>
    <w:rsid w:val="00FA54D5"/>
    <w:rsid w:val="00FA5628"/>
    <w:rsid w:val="00FA564E"/>
    <w:rsid w:val="00FA5652"/>
    <w:rsid w:val="00FA56E5"/>
    <w:rsid w:val="00FA5DAF"/>
    <w:rsid w:val="00FA5FBC"/>
    <w:rsid w:val="00FA6128"/>
    <w:rsid w:val="00FA6510"/>
    <w:rsid w:val="00FA6632"/>
    <w:rsid w:val="00FA6B15"/>
    <w:rsid w:val="00FA6C4E"/>
    <w:rsid w:val="00FA6F6E"/>
    <w:rsid w:val="00FA74CA"/>
    <w:rsid w:val="00FA7520"/>
    <w:rsid w:val="00FA75D4"/>
    <w:rsid w:val="00FA7626"/>
    <w:rsid w:val="00FA7654"/>
    <w:rsid w:val="00FA7887"/>
    <w:rsid w:val="00FA78C5"/>
    <w:rsid w:val="00FA7A0B"/>
    <w:rsid w:val="00FA7BD1"/>
    <w:rsid w:val="00FA7E2F"/>
    <w:rsid w:val="00FB014E"/>
    <w:rsid w:val="00FB01A5"/>
    <w:rsid w:val="00FB0299"/>
    <w:rsid w:val="00FB03B9"/>
    <w:rsid w:val="00FB08C5"/>
    <w:rsid w:val="00FB0B4D"/>
    <w:rsid w:val="00FB0CFE"/>
    <w:rsid w:val="00FB0E55"/>
    <w:rsid w:val="00FB0F3B"/>
    <w:rsid w:val="00FB0F8E"/>
    <w:rsid w:val="00FB1038"/>
    <w:rsid w:val="00FB1045"/>
    <w:rsid w:val="00FB10A8"/>
    <w:rsid w:val="00FB11BE"/>
    <w:rsid w:val="00FB1905"/>
    <w:rsid w:val="00FB20B5"/>
    <w:rsid w:val="00FB210F"/>
    <w:rsid w:val="00FB2968"/>
    <w:rsid w:val="00FB29F1"/>
    <w:rsid w:val="00FB2AE0"/>
    <w:rsid w:val="00FB2B5A"/>
    <w:rsid w:val="00FB2C64"/>
    <w:rsid w:val="00FB2DDE"/>
    <w:rsid w:val="00FB2FAD"/>
    <w:rsid w:val="00FB3014"/>
    <w:rsid w:val="00FB306A"/>
    <w:rsid w:val="00FB310D"/>
    <w:rsid w:val="00FB3195"/>
    <w:rsid w:val="00FB32C1"/>
    <w:rsid w:val="00FB32DA"/>
    <w:rsid w:val="00FB32E8"/>
    <w:rsid w:val="00FB357F"/>
    <w:rsid w:val="00FB36DB"/>
    <w:rsid w:val="00FB37F1"/>
    <w:rsid w:val="00FB3864"/>
    <w:rsid w:val="00FB3A55"/>
    <w:rsid w:val="00FB3AEC"/>
    <w:rsid w:val="00FB3ECE"/>
    <w:rsid w:val="00FB422F"/>
    <w:rsid w:val="00FB4325"/>
    <w:rsid w:val="00FB447A"/>
    <w:rsid w:val="00FB44B1"/>
    <w:rsid w:val="00FB4AE4"/>
    <w:rsid w:val="00FB4B5C"/>
    <w:rsid w:val="00FB517E"/>
    <w:rsid w:val="00FB51B3"/>
    <w:rsid w:val="00FB51CA"/>
    <w:rsid w:val="00FB5310"/>
    <w:rsid w:val="00FB568A"/>
    <w:rsid w:val="00FB59DA"/>
    <w:rsid w:val="00FB5A21"/>
    <w:rsid w:val="00FB5A40"/>
    <w:rsid w:val="00FB5D7D"/>
    <w:rsid w:val="00FB60F2"/>
    <w:rsid w:val="00FB6E47"/>
    <w:rsid w:val="00FB6F23"/>
    <w:rsid w:val="00FB7076"/>
    <w:rsid w:val="00FB72C4"/>
    <w:rsid w:val="00FB734F"/>
    <w:rsid w:val="00FB743D"/>
    <w:rsid w:val="00FB77B7"/>
    <w:rsid w:val="00FB7852"/>
    <w:rsid w:val="00FB78C1"/>
    <w:rsid w:val="00FB791A"/>
    <w:rsid w:val="00FB7F1D"/>
    <w:rsid w:val="00FC0004"/>
    <w:rsid w:val="00FC0170"/>
    <w:rsid w:val="00FC03AB"/>
    <w:rsid w:val="00FC06B5"/>
    <w:rsid w:val="00FC0834"/>
    <w:rsid w:val="00FC0857"/>
    <w:rsid w:val="00FC0869"/>
    <w:rsid w:val="00FC087C"/>
    <w:rsid w:val="00FC08F2"/>
    <w:rsid w:val="00FC0B56"/>
    <w:rsid w:val="00FC0BCD"/>
    <w:rsid w:val="00FC0DF1"/>
    <w:rsid w:val="00FC0EE3"/>
    <w:rsid w:val="00FC106C"/>
    <w:rsid w:val="00FC178C"/>
    <w:rsid w:val="00FC1887"/>
    <w:rsid w:val="00FC18B5"/>
    <w:rsid w:val="00FC1A4F"/>
    <w:rsid w:val="00FC1A5D"/>
    <w:rsid w:val="00FC1EE8"/>
    <w:rsid w:val="00FC209C"/>
    <w:rsid w:val="00FC2131"/>
    <w:rsid w:val="00FC2264"/>
    <w:rsid w:val="00FC2365"/>
    <w:rsid w:val="00FC241F"/>
    <w:rsid w:val="00FC26AD"/>
    <w:rsid w:val="00FC2AFA"/>
    <w:rsid w:val="00FC2B25"/>
    <w:rsid w:val="00FC2B7B"/>
    <w:rsid w:val="00FC2BF0"/>
    <w:rsid w:val="00FC2C73"/>
    <w:rsid w:val="00FC2CC1"/>
    <w:rsid w:val="00FC2DAC"/>
    <w:rsid w:val="00FC2E0B"/>
    <w:rsid w:val="00FC2F00"/>
    <w:rsid w:val="00FC2F72"/>
    <w:rsid w:val="00FC30CB"/>
    <w:rsid w:val="00FC31ED"/>
    <w:rsid w:val="00FC3325"/>
    <w:rsid w:val="00FC3463"/>
    <w:rsid w:val="00FC354E"/>
    <w:rsid w:val="00FC37A7"/>
    <w:rsid w:val="00FC3948"/>
    <w:rsid w:val="00FC3A14"/>
    <w:rsid w:val="00FC3A49"/>
    <w:rsid w:val="00FC3BB3"/>
    <w:rsid w:val="00FC3F07"/>
    <w:rsid w:val="00FC403E"/>
    <w:rsid w:val="00FC40F9"/>
    <w:rsid w:val="00FC411A"/>
    <w:rsid w:val="00FC4233"/>
    <w:rsid w:val="00FC4254"/>
    <w:rsid w:val="00FC43BB"/>
    <w:rsid w:val="00FC48AB"/>
    <w:rsid w:val="00FC4BE9"/>
    <w:rsid w:val="00FC4D83"/>
    <w:rsid w:val="00FC4DC6"/>
    <w:rsid w:val="00FC4E33"/>
    <w:rsid w:val="00FC4F89"/>
    <w:rsid w:val="00FC5067"/>
    <w:rsid w:val="00FC5436"/>
    <w:rsid w:val="00FC55FE"/>
    <w:rsid w:val="00FC594A"/>
    <w:rsid w:val="00FC596E"/>
    <w:rsid w:val="00FC5AC5"/>
    <w:rsid w:val="00FC5C05"/>
    <w:rsid w:val="00FC5D53"/>
    <w:rsid w:val="00FC5E91"/>
    <w:rsid w:val="00FC5F62"/>
    <w:rsid w:val="00FC60CC"/>
    <w:rsid w:val="00FC62BB"/>
    <w:rsid w:val="00FC631F"/>
    <w:rsid w:val="00FC63A4"/>
    <w:rsid w:val="00FC63BE"/>
    <w:rsid w:val="00FC6415"/>
    <w:rsid w:val="00FC6457"/>
    <w:rsid w:val="00FC648C"/>
    <w:rsid w:val="00FC677D"/>
    <w:rsid w:val="00FC6A29"/>
    <w:rsid w:val="00FC6D59"/>
    <w:rsid w:val="00FC6ED6"/>
    <w:rsid w:val="00FC6F86"/>
    <w:rsid w:val="00FC75FA"/>
    <w:rsid w:val="00FC78B1"/>
    <w:rsid w:val="00FC7AF5"/>
    <w:rsid w:val="00FD0367"/>
    <w:rsid w:val="00FD037E"/>
    <w:rsid w:val="00FD057A"/>
    <w:rsid w:val="00FD0733"/>
    <w:rsid w:val="00FD09AA"/>
    <w:rsid w:val="00FD0A73"/>
    <w:rsid w:val="00FD1168"/>
    <w:rsid w:val="00FD1369"/>
    <w:rsid w:val="00FD1393"/>
    <w:rsid w:val="00FD14F5"/>
    <w:rsid w:val="00FD1582"/>
    <w:rsid w:val="00FD17BF"/>
    <w:rsid w:val="00FD19E2"/>
    <w:rsid w:val="00FD1A04"/>
    <w:rsid w:val="00FD1B21"/>
    <w:rsid w:val="00FD1C59"/>
    <w:rsid w:val="00FD1DBE"/>
    <w:rsid w:val="00FD1E07"/>
    <w:rsid w:val="00FD2297"/>
    <w:rsid w:val="00FD2312"/>
    <w:rsid w:val="00FD23A6"/>
    <w:rsid w:val="00FD2A17"/>
    <w:rsid w:val="00FD2B26"/>
    <w:rsid w:val="00FD2C3E"/>
    <w:rsid w:val="00FD2C9A"/>
    <w:rsid w:val="00FD2D92"/>
    <w:rsid w:val="00FD3213"/>
    <w:rsid w:val="00FD32DC"/>
    <w:rsid w:val="00FD36DC"/>
    <w:rsid w:val="00FD3A27"/>
    <w:rsid w:val="00FD3AA7"/>
    <w:rsid w:val="00FD3B98"/>
    <w:rsid w:val="00FD3D67"/>
    <w:rsid w:val="00FD41A1"/>
    <w:rsid w:val="00FD41A7"/>
    <w:rsid w:val="00FD4AFB"/>
    <w:rsid w:val="00FD4DC7"/>
    <w:rsid w:val="00FD4EAF"/>
    <w:rsid w:val="00FD4F37"/>
    <w:rsid w:val="00FD5597"/>
    <w:rsid w:val="00FD5D1F"/>
    <w:rsid w:val="00FD5F2A"/>
    <w:rsid w:val="00FD5FC0"/>
    <w:rsid w:val="00FD60C2"/>
    <w:rsid w:val="00FD69B1"/>
    <w:rsid w:val="00FD69F3"/>
    <w:rsid w:val="00FD6D2F"/>
    <w:rsid w:val="00FD707F"/>
    <w:rsid w:val="00FD70A4"/>
    <w:rsid w:val="00FD7179"/>
    <w:rsid w:val="00FD717C"/>
    <w:rsid w:val="00FD7815"/>
    <w:rsid w:val="00FD7DAB"/>
    <w:rsid w:val="00FD7E51"/>
    <w:rsid w:val="00FD7E5F"/>
    <w:rsid w:val="00FE0050"/>
    <w:rsid w:val="00FE0088"/>
    <w:rsid w:val="00FE016D"/>
    <w:rsid w:val="00FE03CB"/>
    <w:rsid w:val="00FE0474"/>
    <w:rsid w:val="00FE04D8"/>
    <w:rsid w:val="00FE0678"/>
    <w:rsid w:val="00FE09EF"/>
    <w:rsid w:val="00FE0C61"/>
    <w:rsid w:val="00FE10D0"/>
    <w:rsid w:val="00FE1233"/>
    <w:rsid w:val="00FE12B9"/>
    <w:rsid w:val="00FE177A"/>
    <w:rsid w:val="00FE19EA"/>
    <w:rsid w:val="00FE19F7"/>
    <w:rsid w:val="00FE1C22"/>
    <w:rsid w:val="00FE1C42"/>
    <w:rsid w:val="00FE1C8E"/>
    <w:rsid w:val="00FE1EF7"/>
    <w:rsid w:val="00FE25FB"/>
    <w:rsid w:val="00FE2A23"/>
    <w:rsid w:val="00FE30F3"/>
    <w:rsid w:val="00FE35FE"/>
    <w:rsid w:val="00FE37FD"/>
    <w:rsid w:val="00FE382D"/>
    <w:rsid w:val="00FE3B1A"/>
    <w:rsid w:val="00FE3B54"/>
    <w:rsid w:val="00FE3D50"/>
    <w:rsid w:val="00FE45B7"/>
    <w:rsid w:val="00FE4664"/>
    <w:rsid w:val="00FE4671"/>
    <w:rsid w:val="00FE4A89"/>
    <w:rsid w:val="00FE4AFF"/>
    <w:rsid w:val="00FE4CD6"/>
    <w:rsid w:val="00FE4D4D"/>
    <w:rsid w:val="00FE4FA5"/>
    <w:rsid w:val="00FE505B"/>
    <w:rsid w:val="00FE5157"/>
    <w:rsid w:val="00FE51EE"/>
    <w:rsid w:val="00FE5637"/>
    <w:rsid w:val="00FE5638"/>
    <w:rsid w:val="00FE58CC"/>
    <w:rsid w:val="00FE5B1B"/>
    <w:rsid w:val="00FE5E12"/>
    <w:rsid w:val="00FE6325"/>
    <w:rsid w:val="00FE6377"/>
    <w:rsid w:val="00FE63B6"/>
    <w:rsid w:val="00FE66A6"/>
    <w:rsid w:val="00FE6793"/>
    <w:rsid w:val="00FE692F"/>
    <w:rsid w:val="00FE6D2A"/>
    <w:rsid w:val="00FE6DDB"/>
    <w:rsid w:val="00FE6EAA"/>
    <w:rsid w:val="00FE7111"/>
    <w:rsid w:val="00FE7179"/>
    <w:rsid w:val="00FE730C"/>
    <w:rsid w:val="00FE73A7"/>
    <w:rsid w:val="00FE7676"/>
    <w:rsid w:val="00FE7796"/>
    <w:rsid w:val="00FE7971"/>
    <w:rsid w:val="00FE79C8"/>
    <w:rsid w:val="00FE7DAE"/>
    <w:rsid w:val="00FE7EDA"/>
    <w:rsid w:val="00FE7FCA"/>
    <w:rsid w:val="00FF039E"/>
    <w:rsid w:val="00FF0445"/>
    <w:rsid w:val="00FF052F"/>
    <w:rsid w:val="00FF064C"/>
    <w:rsid w:val="00FF06DB"/>
    <w:rsid w:val="00FF0B87"/>
    <w:rsid w:val="00FF0D67"/>
    <w:rsid w:val="00FF0DC1"/>
    <w:rsid w:val="00FF0E8F"/>
    <w:rsid w:val="00FF0F3B"/>
    <w:rsid w:val="00FF10D6"/>
    <w:rsid w:val="00FF12C8"/>
    <w:rsid w:val="00FF12D7"/>
    <w:rsid w:val="00FF133B"/>
    <w:rsid w:val="00FF135B"/>
    <w:rsid w:val="00FF14E6"/>
    <w:rsid w:val="00FF1699"/>
    <w:rsid w:val="00FF16CA"/>
    <w:rsid w:val="00FF1780"/>
    <w:rsid w:val="00FF17A4"/>
    <w:rsid w:val="00FF17BF"/>
    <w:rsid w:val="00FF1D95"/>
    <w:rsid w:val="00FF1EDB"/>
    <w:rsid w:val="00FF1F55"/>
    <w:rsid w:val="00FF1F65"/>
    <w:rsid w:val="00FF1FD2"/>
    <w:rsid w:val="00FF2C84"/>
    <w:rsid w:val="00FF2D12"/>
    <w:rsid w:val="00FF2D46"/>
    <w:rsid w:val="00FF3154"/>
    <w:rsid w:val="00FF33A5"/>
    <w:rsid w:val="00FF3553"/>
    <w:rsid w:val="00FF3720"/>
    <w:rsid w:val="00FF3725"/>
    <w:rsid w:val="00FF3A08"/>
    <w:rsid w:val="00FF3BCC"/>
    <w:rsid w:val="00FF3C5D"/>
    <w:rsid w:val="00FF40BC"/>
    <w:rsid w:val="00FF42AE"/>
    <w:rsid w:val="00FF434B"/>
    <w:rsid w:val="00FF43DC"/>
    <w:rsid w:val="00FF4443"/>
    <w:rsid w:val="00FF47D8"/>
    <w:rsid w:val="00FF47DD"/>
    <w:rsid w:val="00FF4B47"/>
    <w:rsid w:val="00FF4C16"/>
    <w:rsid w:val="00FF506B"/>
    <w:rsid w:val="00FF5101"/>
    <w:rsid w:val="00FF525E"/>
    <w:rsid w:val="00FF541A"/>
    <w:rsid w:val="00FF54F6"/>
    <w:rsid w:val="00FF5539"/>
    <w:rsid w:val="00FF560B"/>
    <w:rsid w:val="00FF569C"/>
    <w:rsid w:val="00FF59C3"/>
    <w:rsid w:val="00FF5AAD"/>
    <w:rsid w:val="00FF5BC4"/>
    <w:rsid w:val="00FF5DCA"/>
    <w:rsid w:val="00FF62BC"/>
    <w:rsid w:val="00FF62E6"/>
    <w:rsid w:val="00FF65B1"/>
    <w:rsid w:val="00FF67BF"/>
    <w:rsid w:val="00FF6901"/>
    <w:rsid w:val="00FF6930"/>
    <w:rsid w:val="00FF6995"/>
    <w:rsid w:val="00FF69CC"/>
    <w:rsid w:val="00FF6A7C"/>
    <w:rsid w:val="00FF6A96"/>
    <w:rsid w:val="00FF6C6E"/>
    <w:rsid w:val="00FF6CB6"/>
    <w:rsid w:val="00FF6EFB"/>
    <w:rsid w:val="00FF73B2"/>
    <w:rsid w:val="00FF7626"/>
    <w:rsid w:val="00FF7779"/>
    <w:rsid w:val="00FF781D"/>
    <w:rsid w:val="00FF7E04"/>
    <w:rsid w:val="00FF7E66"/>
    <w:rsid w:val="00FF7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47F9"/>
  <w15:docId w15:val="{39FEAA92-252F-46A9-9946-B909911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D"/>
    <w:pPr>
      <w:suppressAutoHyphens/>
      <w:spacing w:after="0" w:line="240" w:lineRule="auto"/>
    </w:pPr>
    <w:rPr>
      <w:rFonts w:ascii="Times New Roman" w:eastAsia="Times New Roman" w:hAnsi="Times New Roman"/>
      <w:sz w:val="24"/>
      <w:szCs w:val="24"/>
    </w:rPr>
  </w:style>
  <w:style w:type="paragraph" w:styleId="Heading2">
    <w:name w:val="heading 2"/>
    <w:basedOn w:val="Normal"/>
    <w:link w:val="Heading2Char"/>
    <w:uiPriority w:val="9"/>
    <w:qFormat/>
    <w:rsid w:val="00290787"/>
    <w:pPr>
      <w:suppressAutoHyphens w:val="0"/>
      <w:autoSpaceDN/>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pacing w:val="-3"/>
      <w:szCs w:val="20"/>
      <w:u w:val="single"/>
    </w:rPr>
  </w:style>
  <w:style w:type="paragraph" w:customStyle="1" w:styleId="CoverText">
    <w:name w:val="CoverText"/>
    <w:basedOn w:val="Normal"/>
    <w:pPr>
      <w:jc w:val="right"/>
    </w:pPr>
    <w:rPr>
      <w:szCs w:val="20"/>
      <w:u w:val="single"/>
    </w:rPr>
  </w:style>
  <w:style w:type="paragraph" w:styleId="Footer">
    <w:name w:val="footer"/>
    <w:basedOn w:val="Normal"/>
    <w:pPr>
      <w:tabs>
        <w:tab w:val="center" w:pos="4153"/>
        <w:tab w:val="right" w:pos="8306"/>
      </w:tabs>
    </w:pPr>
    <w:rPr>
      <w:rFonts w:ascii="Univers (W1)" w:hAnsi="Univers (W1)"/>
      <w:szCs w:val="20"/>
    </w:rPr>
  </w:style>
  <w:style w:type="character" w:customStyle="1" w:styleId="FooterChar">
    <w:name w:val="Footer Char"/>
    <w:basedOn w:val="DefaultParagraphFont"/>
    <w:rPr>
      <w:rFonts w:ascii="Univers (W1)" w:eastAsia="Times New Roman" w:hAnsi="Univers (W1)" w:cs="Times New Roman"/>
      <w:sz w:val="24"/>
      <w:szCs w:val="20"/>
    </w:rPr>
  </w:style>
  <w:style w:type="paragraph" w:styleId="FootnoteText">
    <w:name w:val="footnote text"/>
    <w:basedOn w:val="Normal"/>
    <w:link w:val="FootnoteTextChar"/>
    <w:uiPriority w:val="99"/>
    <w:unhideWhenUsed/>
    <w:rsid w:val="00CF1D17"/>
    <w:rPr>
      <w:sz w:val="20"/>
      <w:szCs w:val="20"/>
    </w:rPr>
  </w:style>
  <w:style w:type="character" w:customStyle="1" w:styleId="FootnoteTextChar">
    <w:name w:val="Footnote Text Char"/>
    <w:basedOn w:val="DefaultParagraphFont"/>
    <w:link w:val="FootnoteText"/>
    <w:uiPriority w:val="99"/>
    <w:rsid w:val="00CF1D17"/>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F1D17"/>
    <w:rPr>
      <w:vertAlign w:val="superscript"/>
    </w:rPr>
  </w:style>
  <w:style w:type="table" w:styleId="TableGrid">
    <w:name w:val="Table Grid"/>
    <w:basedOn w:val="TableNormal"/>
    <w:uiPriority w:val="39"/>
    <w:rsid w:val="00CF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D"/>
    <w:rPr>
      <w:rFonts w:ascii="Segoe UI" w:eastAsia="Times New Roman" w:hAnsi="Segoe UI" w:cs="Segoe UI"/>
      <w:sz w:val="18"/>
      <w:szCs w:val="18"/>
    </w:rPr>
  </w:style>
  <w:style w:type="paragraph" w:styleId="ListParagraph">
    <w:name w:val="List Paragraph"/>
    <w:basedOn w:val="Normal"/>
    <w:uiPriority w:val="34"/>
    <w:qFormat/>
    <w:rsid w:val="005707F4"/>
    <w:pPr>
      <w:ind w:left="720"/>
      <w:contextualSpacing/>
    </w:pPr>
  </w:style>
  <w:style w:type="character" w:styleId="PageNumber">
    <w:name w:val="page number"/>
    <w:basedOn w:val="DefaultParagraphFont"/>
    <w:uiPriority w:val="99"/>
    <w:semiHidden/>
    <w:unhideWhenUsed/>
    <w:rsid w:val="00C2080A"/>
  </w:style>
  <w:style w:type="paragraph" w:styleId="Header">
    <w:name w:val="header"/>
    <w:basedOn w:val="Normal"/>
    <w:link w:val="HeaderChar"/>
    <w:uiPriority w:val="99"/>
    <w:unhideWhenUsed/>
    <w:rsid w:val="00C2080A"/>
    <w:pPr>
      <w:tabs>
        <w:tab w:val="center" w:pos="4680"/>
        <w:tab w:val="right" w:pos="9360"/>
      </w:tabs>
    </w:pPr>
  </w:style>
  <w:style w:type="character" w:customStyle="1" w:styleId="HeaderChar">
    <w:name w:val="Header Char"/>
    <w:basedOn w:val="DefaultParagraphFont"/>
    <w:link w:val="Header"/>
    <w:uiPriority w:val="99"/>
    <w:rsid w:val="00C2080A"/>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90787"/>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290787"/>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unhideWhenUsed/>
    <w:rsid w:val="00290787"/>
    <w:rPr>
      <w:color w:val="0000FF"/>
      <w:u w:val="single"/>
    </w:rPr>
  </w:style>
  <w:style w:type="character" w:styleId="Emphasis">
    <w:name w:val="Emphasis"/>
    <w:basedOn w:val="DefaultParagraphFont"/>
    <w:uiPriority w:val="20"/>
    <w:qFormat/>
    <w:rsid w:val="00D14281"/>
    <w:rPr>
      <w:i/>
      <w:iCs/>
    </w:rPr>
  </w:style>
  <w:style w:type="character" w:styleId="CommentReference">
    <w:name w:val="annotation reference"/>
    <w:basedOn w:val="DefaultParagraphFont"/>
    <w:uiPriority w:val="99"/>
    <w:semiHidden/>
    <w:unhideWhenUsed/>
    <w:rsid w:val="00CF0D04"/>
    <w:rPr>
      <w:sz w:val="16"/>
      <w:szCs w:val="16"/>
    </w:rPr>
  </w:style>
  <w:style w:type="paragraph" w:styleId="CommentText">
    <w:name w:val="annotation text"/>
    <w:basedOn w:val="Normal"/>
    <w:link w:val="CommentTextChar"/>
    <w:uiPriority w:val="99"/>
    <w:semiHidden/>
    <w:unhideWhenUsed/>
    <w:rsid w:val="00CF0D04"/>
    <w:rPr>
      <w:sz w:val="20"/>
      <w:szCs w:val="20"/>
    </w:rPr>
  </w:style>
  <w:style w:type="character" w:customStyle="1" w:styleId="CommentTextChar">
    <w:name w:val="Comment Text Char"/>
    <w:basedOn w:val="DefaultParagraphFont"/>
    <w:link w:val="CommentText"/>
    <w:uiPriority w:val="99"/>
    <w:semiHidden/>
    <w:rsid w:val="00CF0D0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D04"/>
    <w:rPr>
      <w:b/>
      <w:bCs/>
    </w:rPr>
  </w:style>
  <w:style w:type="character" w:customStyle="1" w:styleId="CommentSubjectChar">
    <w:name w:val="Comment Subject Char"/>
    <w:basedOn w:val="CommentTextChar"/>
    <w:link w:val="CommentSubject"/>
    <w:uiPriority w:val="99"/>
    <w:semiHidden/>
    <w:rsid w:val="00CF0D04"/>
    <w:rPr>
      <w:rFonts w:ascii="Times New Roman" w:eastAsia="Times New Roman" w:hAnsi="Times New Roman"/>
      <w:b/>
      <w:bCs/>
      <w:sz w:val="20"/>
      <w:szCs w:val="20"/>
    </w:rPr>
  </w:style>
  <w:style w:type="paragraph" w:styleId="Revision">
    <w:name w:val="Revision"/>
    <w:hidden/>
    <w:uiPriority w:val="99"/>
    <w:semiHidden/>
    <w:rsid w:val="00B75E44"/>
    <w:pPr>
      <w:autoSpaceDN/>
      <w:spacing w:after="0" w:line="240" w:lineRule="auto"/>
      <w:textAlignment w:val="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F2DCA"/>
    <w:rPr>
      <w:color w:val="954F72" w:themeColor="followedHyperlink"/>
      <w:u w:val="single"/>
    </w:rPr>
  </w:style>
  <w:style w:type="character" w:customStyle="1" w:styleId="apple-converted-space">
    <w:name w:val="apple-converted-space"/>
    <w:basedOn w:val="DefaultParagraphFont"/>
    <w:rsid w:val="00B84269"/>
  </w:style>
  <w:style w:type="character" w:customStyle="1" w:styleId="costarpage">
    <w:name w:val="co_starpage"/>
    <w:basedOn w:val="DefaultParagraphFont"/>
    <w:rsid w:val="00C9066E"/>
  </w:style>
  <w:style w:type="character" w:customStyle="1" w:styleId="copinpointicon">
    <w:name w:val="co_pinpointicon"/>
    <w:basedOn w:val="DefaultParagraphFont"/>
    <w:rsid w:val="000C31B5"/>
  </w:style>
  <w:style w:type="paragraph" w:customStyle="1" w:styleId="Default">
    <w:name w:val="Default"/>
    <w:rsid w:val="008B795D"/>
    <w:pPr>
      <w:autoSpaceDE w:val="0"/>
      <w:adjustRightInd w:val="0"/>
      <w:spacing w:after="0" w:line="240" w:lineRule="auto"/>
      <w:textAlignment w:val="auto"/>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5431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9505">
      <w:bodyDiv w:val="1"/>
      <w:marLeft w:val="0"/>
      <w:marRight w:val="0"/>
      <w:marTop w:val="0"/>
      <w:marBottom w:val="0"/>
      <w:divBdr>
        <w:top w:val="none" w:sz="0" w:space="0" w:color="auto"/>
        <w:left w:val="none" w:sz="0" w:space="0" w:color="auto"/>
        <w:bottom w:val="none" w:sz="0" w:space="0" w:color="auto"/>
        <w:right w:val="none" w:sz="0" w:space="0" w:color="auto"/>
      </w:divBdr>
    </w:div>
    <w:div w:id="136188520">
      <w:bodyDiv w:val="1"/>
      <w:marLeft w:val="0"/>
      <w:marRight w:val="0"/>
      <w:marTop w:val="0"/>
      <w:marBottom w:val="0"/>
      <w:divBdr>
        <w:top w:val="none" w:sz="0" w:space="0" w:color="auto"/>
        <w:left w:val="none" w:sz="0" w:space="0" w:color="auto"/>
        <w:bottom w:val="none" w:sz="0" w:space="0" w:color="auto"/>
        <w:right w:val="none" w:sz="0" w:space="0" w:color="auto"/>
      </w:divBdr>
    </w:div>
    <w:div w:id="265355984">
      <w:bodyDiv w:val="1"/>
      <w:marLeft w:val="0"/>
      <w:marRight w:val="0"/>
      <w:marTop w:val="0"/>
      <w:marBottom w:val="0"/>
      <w:divBdr>
        <w:top w:val="none" w:sz="0" w:space="0" w:color="auto"/>
        <w:left w:val="none" w:sz="0" w:space="0" w:color="auto"/>
        <w:bottom w:val="none" w:sz="0" w:space="0" w:color="auto"/>
        <w:right w:val="none" w:sz="0" w:space="0" w:color="auto"/>
      </w:divBdr>
      <w:divsChild>
        <w:div w:id="1497459323">
          <w:marLeft w:val="0"/>
          <w:marRight w:val="0"/>
          <w:marTop w:val="0"/>
          <w:marBottom w:val="0"/>
          <w:divBdr>
            <w:top w:val="none" w:sz="0" w:space="0" w:color="auto"/>
            <w:left w:val="none" w:sz="0" w:space="0" w:color="auto"/>
            <w:bottom w:val="none" w:sz="0" w:space="0" w:color="auto"/>
            <w:right w:val="none" w:sz="0" w:space="0" w:color="auto"/>
          </w:divBdr>
          <w:divsChild>
            <w:div w:id="5829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050">
      <w:bodyDiv w:val="1"/>
      <w:marLeft w:val="0"/>
      <w:marRight w:val="0"/>
      <w:marTop w:val="0"/>
      <w:marBottom w:val="0"/>
      <w:divBdr>
        <w:top w:val="none" w:sz="0" w:space="0" w:color="auto"/>
        <w:left w:val="none" w:sz="0" w:space="0" w:color="auto"/>
        <w:bottom w:val="none" w:sz="0" w:space="0" w:color="auto"/>
        <w:right w:val="none" w:sz="0" w:space="0" w:color="auto"/>
      </w:divBdr>
      <w:divsChild>
        <w:div w:id="263998169">
          <w:marLeft w:val="0"/>
          <w:marRight w:val="0"/>
          <w:marTop w:val="0"/>
          <w:marBottom w:val="0"/>
          <w:divBdr>
            <w:top w:val="none" w:sz="0" w:space="0" w:color="auto"/>
            <w:left w:val="none" w:sz="0" w:space="0" w:color="auto"/>
            <w:bottom w:val="none" w:sz="0" w:space="0" w:color="auto"/>
            <w:right w:val="none" w:sz="0" w:space="0" w:color="auto"/>
          </w:divBdr>
        </w:div>
        <w:div w:id="369112627">
          <w:marLeft w:val="0"/>
          <w:marRight w:val="0"/>
          <w:marTop w:val="0"/>
          <w:marBottom w:val="0"/>
          <w:divBdr>
            <w:top w:val="none" w:sz="0" w:space="0" w:color="auto"/>
            <w:left w:val="none" w:sz="0" w:space="0" w:color="auto"/>
            <w:bottom w:val="none" w:sz="0" w:space="0" w:color="auto"/>
            <w:right w:val="none" w:sz="0" w:space="0" w:color="auto"/>
          </w:divBdr>
        </w:div>
        <w:div w:id="916134961">
          <w:marLeft w:val="0"/>
          <w:marRight w:val="0"/>
          <w:marTop w:val="0"/>
          <w:marBottom w:val="0"/>
          <w:divBdr>
            <w:top w:val="none" w:sz="0" w:space="0" w:color="auto"/>
            <w:left w:val="none" w:sz="0" w:space="0" w:color="auto"/>
            <w:bottom w:val="none" w:sz="0" w:space="0" w:color="auto"/>
            <w:right w:val="none" w:sz="0" w:space="0" w:color="auto"/>
          </w:divBdr>
          <w:divsChild>
            <w:div w:id="532112089">
              <w:marLeft w:val="0"/>
              <w:marRight w:val="0"/>
              <w:marTop w:val="0"/>
              <w:marBottom w:val="0"/>
              <w:divBdr>
                <w:top w:val="none" w:sz="0" w:space="0" w:color="auto"/>
                <w:left w:val="none" w:sz="0" w:space="0" w:color="auto"/>
                <w:bottom w:val="none" w:sz="0" w:space="0" w:color="auto"/>
                <w:right w:val="none" w:sz="0" w:space="0" w:color="auto"/>
              </w:divBdr>
            </w:div>
          </w:divsChild>
        </w:div>
        <w:div w:id="989094015">
          <w:marLeft w:val="0"/>
          <w:marRight w:val="0"/>
          <w:marTop w:val="0"/>
          <w:marBottom w:val="0"/>
          <w:divBdr>
            <w:top w:val="none" w:sz="0" w:space="0" w:color="auto"/>
            <w:left w:val="none" w:sz="0" w:space="0" w:color="auto"/>
            <w:bottom w:val="none" w:sz="0" w:space="0" w:color="auto"/>
            <w:right w:val="none" w:sz="0" w:space="0" w:color="auto"/>
          </w:divBdr>
          <w:divsChild>
            <w:div w:id="551638">
              <w:marLeft w:val="0"/>
              <w:marRight w:val="0"/>
              <w:marTop w:val="0"/>
              <w:marBottom w:val="0"/>
              <w:divBdr>
                <w:top w:val="none" w:sz="0" w:space="0" w:color="auto"/>
                <w:left w:val="none" w:sz="0" w:space="0" w:color="auto"/>
                <w:bottom w:val="none" w:sz="0" w:space="0" w:color="auto"/>
                <w:right w:val="none" w:sz="0" w:space="0" w:color="auto"/>
              </w:divBdr>
            </w:div>
            <w:div w:id="1745835978">
              <w:marLeft w:val="0"/>
              <w:marRight w:val="0"/>
              <w:marTop w:val="0"/>
              <w:marBottom w:val="0"/>
              <w:divBdr>
                <w:top w:val="none" w:sz="0" w:space="0" w:color="auto"/>
                <w:left w:val="none" w:sz="0" w:space="0" w:color="auto"/>
                <w:bottom w:val="none" w:sz="0" w:space="0" w:color="auto"/>
                <w:right w:val="none" w:sz="0" w:space="0" w:color="auto"/>
              </w:divBdr>
            </w:div>
          </w:divsChild>
        </w:div>
        <w:div w:id="1920674666">
          <w:marLeft w:val="0"/>
          <w:marRight w:val="0"/>
          <w:marTop w:val="0"/>
          <w:marBottom w:val="0"/>
          <w:divBdr>
            <w:top w:val="none" w:sz="0" w:space="0" w:color="auto"/>
            <w:left w:val="none" w:sz="0" w:space="0" w:color="auto"/>
            <w:bottom w:val="none" w:sz="0" w:space="0" w:color="auto"/>
            <w:right w:val="none" w:sz="0" w:space="0" w:color="auto"/>
          </w:divBdr>
        </w:div>
      </w:divsChild>
    </w:div>
    <w:div w:id="319847452">
      <w:bodyDiv w:val="1"/>
      <w:marLeft w:val="0"/>
      <w:marRight w:val="0"/>
      <w:marTop w:val="0"/>
      <w:marBottom w:val="0"/>
      <w:divBdr>
        <w:top w:val="none" w:sz="0" w:space="0" w:color="auto"/>
        <w:left w:val="none" w:sz="0" w:space="0" w:color="auto"/>
        <w:bottom w:val="none" w:sz="0" w:space="0" w:color="auto"/>
        <w:right w:val="none" w:sz="0" w:space="0" w:color="auto"/>
      </w:divBdr>
      <w:divsChild>
        <w:div w:id="105202439">
          <w:marLeft w:val="0"/>
          <w:marRight w:val="0"/>
          <w:marTop w:val="0"/>
          <w:marBottom w:val="0"/>
          <w:divBdr>
            <w:top w:val="none" w:sz="0" w:space="0" w:color="auto"/>
            <w:left w:val="none" w:sz="0" w:space="0" w:color="auto"/>
            <w:bottom w:val="none" w:sz="0" w:space="0" w:color="auto"/>
            <w:right w:val="none" w:sz="0" w:space="0" w:color="auto"/>
          </w:divBdr>
        </w:div>
        <w:div w:id="121076484">
          <w:marLeft w:val="0"/>
          <w:marRight w:val="0"/>
          <w:marTop w:val="0"/>
          <w:marBottom w:val="0"/>
          <w:divBdr>
            <w:top w:val="none" w:sz="0" w:space="0" w:color="auto"/>
            <w:left w:val="none" w:sz="0" w:space="0" w:color="auto"/>
            <w:bottom w:val="none" w:sz="0" w:space="0" w:color="auto"/>
            <w:right w:val="none" w:sz="0" w:space="0" w:color="auto"/>
          </w:divBdr>
        </w:div>
        <w:div w:id="526870799">
          <w:marLeft w:val="0"/>
          <w:marRight w:val="0"/>
          <w:marTop w:val="0"/>
          <w:marBottom w:val="0"/>
          <w:divBdr>
            <w:top w:val="none" w:sz="0" w:space="0" w:color="auto"/>
            <w:left w:val="none" w:sz="0" w:space="0" w:color="auto"/>
            <w:bottom w:val="none" w:sz="0" w:space="0" w:color="auto"/>
            <w:right w:val="none" w:sz="0" w:space="0" w:color="auto"/>
          </w:divBdr>
          <w:divsChild>
            <w:div w:id="233397883">
              <w:marLeft w:val="0"/>
              <w:marRight w:val="0"/>
              <w:marTop w:val="0"/>
              <w:marBottom w:val="0"/>
              <w:divBdr>
                <w:top w:val="none" w:sz="0" w:space="0" w:color="auto"/>
                <w:left w:val="none" w:sz="0" w:space="0" w:color="auto"/>
                <w:bottom w:val="none" w:sz="0" w:space="0" w:color="auto"/>
                <w:right w:val="none" w:sz="0" w:space="0" w:color="auto"/>
              </w:divBdr>
            </w:div>
            <w:div w:id="675495102">
              <w:marLeft w:val="0"/>
              <w:marRight w:val="0"/>
              <w:marTop w:val="0"/>
              <w:marBottom w:val="0"/>
              <w:divBdr>
                <w:top w:val="none" w:sz="0" w:space="0" w:color="auto"/>
                <w:left w:val="none" w:sz="0" w:space="0" w:color="auto"/>
                <w:bottom w:val="none" w:sz="0" w:space="0" w:color="auto"/>
                <w:right w:val="none" w:sz="0" w:space="0" w:color="auto"/>
              </w:divBdr>
            </w:div>
            <w:div w:id="1436907012">
              <w:marLeft w:val="0"/>
              <w:marRight w:val="0"/>
              <w:marTop w:val="0"/>
              <w:marBottom w:val="0"/>
              <w:divBdr>
                <w:top w:val="none" w:sz="0" w:space="0" w:color="auto"/>
                <w:left w:val="none" w:sz="0" w:space="0" w:color="auto"/>
                <w:bottom w:val="none" w:sz="0" w:space="0" w:color="auto"/>
                <w:right w:val="none" w:sz="0" w:space="0" w:color="auto"/>
              </w:divBdr>
              <w:divsChild>
                <w:div w:id="1123384361">
                  <w:marLeft w:val="0"/>
                  <w:marRight w:val="0"/>
                  <w:marTop w:val="0"/>
                  <w:marBottom w:val="0"/>
                  <w:divBdr>
                    <w:top w:val="none" w:sz="0" w:space="0" w:color="auto"/>
                    <w:left w:val="none" w:sz="0" w:space="0" w:color="auto"/>
                    <w:bottom w:val="none" w:sz="0" w:space="0" w:color="auto"/>
                    <w:right w:val="none" w:sz="0" w:space="0" w:color="auto"/>
                  </w:divBdr>
                </w:div>
                <w:div w:id="14517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442">
          <w:marLeft w:val="0"/>
          <w:marRight w:val="0"/>
          <w:marTop w:val="0"/>
          <w:marBottom w:val="0"/>
          <w:divBdr>
            <w:top w:val="none" w:sz="0" w:space="0" w:color="auto"/>
            <w:left w:val="none" w:sz="0" w:space="0" w:color="auto"/>
            <w:bottom w:val="none" w:sz="0" w:space="0" w:color="auto"/>
            <w:right w:val="none" w:sz="0" w:space="0" w:color="auto"/>
          </w:divBdr>
          <w:divsChild>
            <w:div w:id="435945854">
              <w:marLeft w:val="0"/>
              <w:marRight w:val="0"/>
              <w:marTop w:val="0"/>
              <w:marBottom w:val="0"/>
              <w:divBdr>
                <w:top w:val="none" w:sz="0" w:space="0" w:color="auto"/>
                <w:left w:val="none" w:sz="0" w:space="0" w:color="auto"/>
                <w:bottom w:val="none" w:sz="0" w:space="0" w:color="auto"/>
                <w:right w:val="none" w:sz="0" w:space="0" w:color="auto"/>
              </w:divBdr>
            </w:div>
            <w:div w:id="1331254639">
              <w:marLeft w:val="0"/>
              <w:marRight w:val="0"/>
              <w:marTop w:val="0"/>
              <w:marBottom w:val="0"/>
              <w:divBdr>
                <w:top w:val="none" w:sz="0" w:space="0" w:color="auto"/>
                <w:left w:val="none" w:sz="0" w:space="0" w:color="auto"/>
                <w:bottom w:val="none" w:sz="0" w:space="0" w:color="auto"/>
                <w:right w:val="none" w:sz="0" w:space="0" w:color="auto"/>
              </w:divBdr>
            </w:div>
            <w:div w:id="1679499655">
              <w:marLeft w:val="0"/>
              <w:marRight w:val="0"/>
              <w:marTop w:val="0"/>
              <w:marBottom w:val="0"/>
              <w:divBdr>
                <w:top w:val="none" w:sz="0" w:space="0" w:color="auto"/>
                <w:left w:val="none" w:sz="0" w:space="0" w:color="auto"/>
                <w:bottom w:val="none" w:sz="0" w:space="0" w:color="auto"/>
                <w:right w:val="none" w:sz="0" w:space="0" w:color="auto"/>
              </w:divBdr>
            </w:div>
          </w:divsChild>
        </w:div>
        <w:div w:id="1907909565">
          <w:marLeft w:val="0"/>
          <w:marRight w:val="0"/>
          <w:marTop w:val="0"/>
          <w:marBottom w:val="0"/>
          <w:divBdr>
            <w:top w:val="none" w:sz="0" w:space="0" w:color="auto"/>
            <w:left w:val="none" w:sz="0" w:space="0" w:color="auto"/>
            <w:bottom w:val="none" w:sz="0" w:space="0" w:color="auto"/>
            <w:right w:val="none" w:sz="0" w:space="0" w:color="auto"/>
          </w:divBdr>
        </w:div>
        <w:div w:id="2055540233">
          <w:marLeft w:val="0"/>
          <w:marRight w:val="0"/>
          <w:marTop w:val="0"/>
          <w:marBottom w:val="0"/>
          <w:divBdr>
            <w:top w:val="none" w:sz="0" w:space="0" w:color="auto"/>
            <w:left w:val="none" w:sz="0" w:space="0" w:color="auto"/>
            <w:bottom w:val="none" w:sz="0" w:space="0" w:color="auto"/>
            <w:right w:val="none" w:sz="0" w:space="0" w:color="auto"/>
          </w:divBdr>
        </w:div>
      </w:divsChild>
    </w:div>
    <w:div w:id="322315078">
      <w:bodyDiv w:val="1"/>
      <w:marLeft w:val="0"/>
      <w:marRight w:val="0"/>
      <w:marTop w:val="0"/>
      <w:marBottom w:val="0"/>
      <w:divBdr>
        <w:top w:val="none" w:sz="0" w:space="0" w:color="auto"/>
        <w:left w:val="none" w:sz="0" w:space="0" w:color="auto"/>
        <w:bottom w:val="none" w:sz="0" w:space="0" w:color="auto"/>
        <w:right w:val="none" w:sz="0" w:space="0" w:color="auto"/>
      </w:divBdr>
    </w:div>
    <w:div w:id="334112404">
      <w:bodyDiv w:val="1"/>
      <w:marLeft w:val="0"/>
      <w:marRight w:val="0"/>
      <w:marTop w:val="0"/>
      <w:marBottom w:val="0"/>
      <w:divBdr>
        <w:top w:val="none" w:sz="0" w:space="0" w:color="auto"/>
        <w:left w:val="none" w:sz="0" w:space="0" w:color="auto"/>
        <w:bottom w:val="none" w:sz="0" w:space="0" w:color="auto"/>
        <w:right w:val="none" w:sz="0" w:space="0" w:color="auto"/>
      </w:divBdr>
      <w:divsChild>
        <w:div w:id="855654105">
          <w:marLeft w:val="0"/>
          <w:marRight w:val="0"/>
          <w:marTop w:val="0"/>
          <w:marBottom w:val="0"/>
          <w:divBdr>
            <w:top w:val="none" w:sz="0" w:space="0" w:color="auto"/>
            <w:left w:val="none" w:sz="0" w:space="0" w:color="auto"/>
            <w:bottom w:val="none" w:sz="0" w:space="0" w:color="auto"/>
            <w:right w:val="none" w:sz="0" w:space="0" w:color="auto"/>
          </w:divBdr>
        </w:div>
        <w:div w:id="1172600676">
          <w:marLeft w:val="0"/>
          <w:marRight w:val="0"/>
          <w:marTop w:val="0"/>
          <w:marBottom w:val="0"/>
          <w:divBdr>
            <w:top w:val="none" w:sz="0" w:space="0" w:color="auto"/>
            <w:left w:val="none" w:sz="0" w:space="0" w:color="auto"/>
            <w:bottom w:val="none" w:sz="0" w:space="0" w:color="auto"/>
            <w:right w:val="none" w:sz="0" w:space="0" w:color="auto"/>
          </w:divBdr>
          <w:divsChild>
            <w:div w:id="364408723">
              <w:marLeft w:val="0"/>
              <w:marRight w:val="0"/>
              <w:marTop w:val="0"/>
              <w:marBottom w:val="0"/>
              <w:divBdr>
                <w:top w:val="none" w:sz="0" w:space="0" w:color="auto"/>
                <w:left w:val="none" w:sz="0" w:space="0" w:color="auto"/>
                <w:bottom w:val="none" w:sz="0" w:space="0" w:color="auto"/>
                <w:right w:val="none" w:sz="0" w:space="0" w:color="auto"/>
              </w:divBdr>
            </w:div>
            <w:div w:id="421755735">
              <w:marLeft w:val="0"/>
              <w:marRight w:val="0"/>
              <w:marTop w:val="0"/>
              <w:marBottom w:val="0"/>
              <w:divBdr>
                <w:top w:val="none" w:sz="0" w:space="0" w:color="auto"/>
                <w:left w:val="none" w:sz="0" w:space="0" w:color="auto"/>
                <w:bottom w:val="none" w:sz="0" w:space="0" w:color="auto"/>
                <w:right w:val="none" w:sz="0" w:space="0" w:color="auto"/>
              </w:divBdr>
            </w:div>
            <w:div w:id="892035604">
              <w:marLeft w:val="0"/>
              <w:marRight w:val="0"/>
              <w:marTop w:val="0"/>
              <w:marBottom w:val="0"/>
              <w:divBdr>
                <w:top w:val="none" w:sz="0" w:space="0" w:color="auto"/>
                <w:left w:val="none" w:sz="0" w:space="0" w:color="auto"/>
                <w:bottom w:val="none" w:sz="0" w:space="0" w:color="auto"/>
                <w:right w:val="none" w:sz="0" w:space="0" w:color="auto"/>
              </w:divBdr>
            </w:div>
            <w:div w:id="1286619489">
              <w:marLeft w:val="0"/>
              <w:marRight w:val="0"/>
              <w:marTop w:val="0"/>
              <w:marBottom w:val="0"/>
              <w:divBdr>
                <w:top w:val="none" w:sz="0" w:space="0" w:color="auto"/>
                <w:left w:val="none" w:sz="0" w:space="0" w:color="auto"/>
                <w:bottom w:val="none" w:sz="0" w:space="0" w:color="auto"/>
                <w:right w:val="none" w:sz="0" w:space="0" w:color="auto"/>
              </w:divBdr>
            </w:div>
            <w:div w:id="1981035808">
              <w:marLeft w:val="0"/>
              <w:marRight w:val="0"/>
              <w:marTop w:val="0"/>
              <w:marBottom w:val="0"/>
              <w:divBdr>
                <w:top w:val="none" w:sz="0" w:space="0" w:color="auto"/>
                <w:left w:val="none" w:sz="0" w:space="0" w:color="auto"/>
                <w:bottom w:val="none" w:sz="0" w:space="0" w:color="auto"/>
                <w:right w:val="none" w:sz="0" w:space="0" w:color="auto"/>
              </w:divBdr>
            </w:div>
            <w:div w:id="1998217562">
              <w:marLeft w:val="0"/>
              <w:marRight w:val="0"/>
              <w:marTop w:val="0"/>
              <w:marBottom w:val="0"/>
              <w:divBdr>
                <w:top w:val="none" w:sz="0" w:space="0" w:color="auto"/>
                <w:left w:val="none" w:sz="0" w:space="0" w:color="auto"/>
                <w:bottom w:val="none" w:sz="0" w:space="0" w:color="auto"/>
                <w:right w:val="none" w:sz="0" w:space="0" w:color="auto"/>
              </w:divBdr>
            </w:div>
          </w:divsChild>
        </w:div>
        <w:div w:id="1798526143">
          <w:marLeft w:val="0"/>
          <w:marRight w:val="0"/>
          <w:marTop w:val="0"/>
          <w:marBottom w:val="0"/>
          <w:divBdr>
            <w:top w:val="none" w:sz="0" w:space="0" w:color="auto"/>
            <w:left w:val="none" w:sz="0" w:space="0" w:color="auto"/>
            <w:bottom w:val="none" w:sz="0" w:space="0" w:color="auto"/>
            <w:right w:val="none" w:sz="0" w:space="0" w:color="auto"/>
          </w:divBdr>
        </w:div>
      </w:divsChild>
    </w:div>
    <w:div w:id="386341929">
      <w:bodyDiv w:val="1"/>
      <w:marLeft w:val="0"/>
      <w:marRight w:val="0"/>
      <w:marTop w:val="0"/>
      <w:marBottom w:val="0"/>
      <w:divBdr>
        <w:top w:val="none" w:sz="0" w:space="0" w:color="auto"/>
        <w:left w:val="none" w:sz="0" w:space="0" w:color="auto"/>
        <w:bottom w:val="none" w:sz="0" w:space="0" w:color="auto"/>
        <w:right w:val="none" w:sz="0" w:space="0" w:color="auto"/>
      </w:divBdr>
    </w:div>
    <w:div w:id="585846453">
      <w:bodyDiv w:val="1"/>
      <w:marLeft w:val="0"/>
      <w:marRight w:val="0"/>
      <w:marTop w:val="0"/>
      <w:marBottom w:val="0"/>
      <w:divBdr>
        <w:top w:val="none" w:sz="0" w:space="0" w:color="auto"/>
        <w:left w:val="none" w:sz="0" w:space="0" w:color="auto"/>
        <w:bottom w:val="none" w:sz="0" w:space="0" w:color="auto"/>
        <w:right w:val="none" w:sz="0" w:space="0" w:color="auto"/>
      </w:divBdr>
      <w:divsChild>
        <w:div w:id="614680777">
          <w:marLeft w:val="0"/>
          <w:marRight w:val="0"/>
          <w:marTop w:val="0"/>
          <w:marBottom w:val="0"/>
          <w:divBdr>
            <w:top w:val="none" w:sz="0" w:space="0" w:color="auto"/>
            <w:left w:val="none" w:sz="0" w:space="0" w:color="auto"/>
            <w:bottom w:val="none" w:sz="0" w:space="0" w:color="auto"/>
            <w:right w:val="none" w:sz="0" w:space="0" w:color="auto"/>
          </w:divBdr>
        </w:div>
        <w:div w:id="1415199455">
          <w:marLeft w:val="0"/>
          <w:marRight w:val="0"/>
          <w:marTop w:val="0"/>
          <w:marBottom w:val="0"/>
          <w:divBdr>
            <w:top w:val="none" w:sz="0" w:space="0" w:color="auto"/>
            <w:left w:val="none" w:sz="0" w:space="0" w:color="auto"/>
            <w:bottom w:val="none" w:sz="0" w:space="0" w:color="auto"/>
            <w:right w:val="none" w:sz="0" w:space="0" w:color="auto"/>
          </w:divBdr>
        </w:div>
      </w:divsChild>
    </w:div>
    <w:div w:id="797146304">
      <w:bodyDiv w:val="1"/>
      <w:marLeft w:val="0"/>
      <w:marRight w:val="0"/>
      <w:marTop w:val="0"/>
      <w:marBottom w:val="0"/>
      <w:divBdr>
        <w:top w:val="none" w:sz="0" w:space="0" w:color="auto"/>
        <w:left w:val="none" w:sz="0" w:space="0" w:color="auto"/>
        <w:bottom w:val="none" w:sz="0" w:space="0" w:color="auto"/>
        <w:right w:val="none" w:sz="0" w:space="0" w:color="auto"/>
      </w:divBdr>
      <w:divsChild>
        <w:div w:id="168257178">
          <w:marLeft w:val="0"/>
          <w:marRight w:val="0"/>
          <w:marTop w:val="0"/>
          <w:marBottom w:val="0"/>
          <w:divBdr>
            <w:top w:val="none" w:sz="0" w:space="0" w:color="auto"/>
            <w:left w:val="none" w:sz="0" w:space="0" w:color="auto"/>
            <w:bottom w:val="none" w:sz="0" w:space="0" w:color="auto"/>
            <w:right w:val="none" w:sz="0" w:space="0" w:color="auto"/>
          </w:divBdr>
          <w:divsChild>
            <w:div w:id="190337259">
              <w:marLeft w:val="0"/>
              <w:marRight w:val="0"/>
              <w:marTop w:val="0"/>
              <w:marBottom w:val="0"/>
              <w:divBdr>
                <w:top w:val="none" w:sz="0" w:space="0" w:color="auto"/>
                <w:left w:val="none" w:sz="0" w:space="0" w:color="auto"/>
                <w:bottom w:val="none" w:sz="0" w:space="0" w:color="auto"/>
                <w:right w:val="none" w:sz="0" w:space="0" w:color="auto"/>
              </w:divBdr>
            </w:div>
            <w:div w:id="1705517989">
              <w:marLeft w:val="0"/>
              <w:marRight w:val="0"/>
              <w:marTop w:val="0"/>
              <w:marBottom w:val="0"/>
              <w:divBdr>
                <w:top w:val="none" w:sz="0" w:space="0" w:color="auto"/>
                <w:left w:val="none" w:sz="0" w:space="0" w:color="auto"/>
                <w:bottom w:val="none" w:sz="0" w:space="0" w:color="auto"/>
                <w:right w:val="none" w:sz="0" w:space="0" w:color="auto"/>
              </w:divBdr>
            </w:div>
          </w:divsChild>
        </w:div>
        <w:div w:id="759759078">
          <w:marLeft w:val="0"/>
          <w:marRight w:val="0"/>
          <w:marTop w:val="0"/>
          <w:marBottom w:val="0"/>
          <w:divBdr>
            <w:top w:val="none" w:sz="0" w:space="0" w:color="auto"/>
            <w:left w:val="none" w:sz="0" w:space="0" w:color="auto"/>
            <w:bottom w:val="none" w:sz="0" w:space="0" w:color="auto"/>
            <w:right w:val="none" w:sz="0" w:space="0" w:color="auto"/>
          </w:divBdr>
        </w:div>
        <w:div w:id="942032357">
          <w:marLeft w:val="0"/>
          <w:marRight w:val="0"/>
          <w:marTop w:val="0"/>
          <w:marBottom w:val="0"/>
          <w:divBdr>
            <w:top w:val="none" w:sz="0" w:space="0" w:color="auto"/>
            <w:left w:val="none" w:sz="0" w:space="0" w:color="auto"/>
            <w:bottom w:val="none" w:sz="0" w:space="0" w:color="auto"/>
            <w:right w:val="none" w:sz="0" w:space="0" w:color="auto"/>
          </w:divBdr>
          <w:divsChild>
            <w:div w:id="287441178">
              <w:marLeft w:val="0"/>
              <w:marRight w:val="0"/>
              <w:marTop w:val="0"/>
              <w:marBottom w:val="0"/>
              <w:divBdr>
                <w:top w:val="none" w:sz="0" w:space="0" w:color="auto"/>
                <w:left w:val="none" w:sz="0" w:space="0" w:color="auto"/>
                <w:bottom w:val="none" w:sz="0" w:space="0" w:color="auto"/>
                <w:right w:val="none" w:sz="0" w:space="0" w:color="auto"/>
              </w:divBdr>
            </w:div>
            <w:div w:id="1123501908">
              <w:marLeft w:val="0"/>
              <w:marRight w:val="0"/>
              <w:marTop w:val="0"/>
              <w:marBottom w:val="0"/>
              <w:divBdr>
                <w:top w:val="none" w:sz="0" w:space="0" w:color="auto"/>
                <w:left w:val="none" w:sz="0" w:space="0" w:color="auto"/>
                <w:bottom w:val="none" w:sz="0" w:space="0" w:color="auto"/>
                <w:right w:val="none" w:sz="0" w:space="0" w:color="auto"/>
              </w:divBdr>
            </w:div>
          </w:divsChild>
        </w:div>
        <w:div w:id="1414820316">
          <w:marLeft w:val="0"/>
          <w:marRight w:val="0"/>
          <w:marTop w:val="0"/>
          <w:marBottom w:val="0"/>
          <w:divBdr>
            <w:top w:val="none" w:sz="0" w:space="0" w:color="auto"/>
            <w:left w:val="none" w:sz="0" w:space="0" w:color="auto"/>
            <w:bottom w:val="none" w:sz="0" w:space="0" w:color="auto"/>
            <w:right w:val="none" w:sz="0" w:space="0" w:color="auto"/>
          </w:divBdr>
        </w:div>
        <w:div w:id="1494174674">
          <w:marLeft w:val="0"/>
          <w:marRight w:val="0"/>
          <w:marTop w:val="0"/>
          <w:marBottom w:val="0"/>
          <w:divBdr>
            <w:top w:val="none" w:sz="0" w:space="0" w:color="auto"/>
            <w:left w:val="none" w:sz="0" w:space="0" w:color="auto"/>
            <w:bottom w:val="none" w:sz="0" w:space="0" w:color="auto"/>
            <w:right w:val="none" w:sz="0" w:space="0" w:color="auto"/>
          </w:divBdr>
          <w:divsChild>
            <w:div w:id="151606811">
              <w:marLeft w:val="0"/>
              <w:marRight w:val="0"/>
              <w:marTop w:val="0"/>
              <w:marBottom w:val="0"/>
              <w:divBdr>
                <w:top w:val="none" w:sz="0" w:space="0" w:color="auto"/>
                <w:left w:val="none" w:sz="0" w:space="0" w:color="auto"/>
                <w:bottom w:val="none" w:sz="0" w:space="0" w:color="auto"/>
                <w:right w:val="none" w:sz="0" w:space="0" w:color="auto"/>
              </w:divBdr>
            </w:div>
            <w:div w:id="1535271531">
              <w:marLeft w:val="0"/>
              <w:marRight w:val="0"/>
              <w:marTop w:val="0"/>
              <w:marBottom w:val="0"/>
              <w:divBdr>
                <w:top w:val="none" w:sz="0" w:space="0" w:color="auto"/>
                <w:left w:val="none" w:sz="0" w:space="0" w:color="auto"/>
                <w:bottom w:val="none" w:sz="0" w:space="0" w:color="auto"/>
                <w:right w:val="none" w:sz="0" w:space="0" w:color="auto"/>
              </w:divBdr>
            </w:div>
          </w:divsChild>
        </w:div>
        <w:div w:id="1563174425">
          <w:marLeft w:val="0"/>
          <w:marRight w:val="0"/>
          <w:marTop w:val="0"/>
          <w:marBottom w:val="0"/>
          <w:divBdr>
            <w:top w:val="none" w:sz="0" w:space="0" w:color="auto"/>
            <w:left w:val="none" w:sz="0" w:space="0" w:color="auto"/>
            <w:bottom w:val="none" w:sz="0" w:space="0" w:color="auto"/>
            <w:right w:val="none" w:sz="0" w:space="0" w:color="auto"/>
          </w:divBdr>
        </w:div>
        <w:div w:id="1918588166">
          <w:marLeft w:val="0"/>
          <w:marRight w:val="0"/>
          <w:marTop w:val="0"/>
          <w:marBottom w:val="0"/>
          <w:divBdr>
            <w:top w:val="none" w:sz="0" w:space="0" w:color="auto"/>
            <w:left w:val="none" w:sz="0" w:space="0" w:color="auto"/>
            <w:bottom w:val="none" w:sz="0" w:space="0" w:color="auto"/>
            <w:right w:val="none" w:sz="0" w:space="0" w:color="auto"/>
          </w:divBdr>
        </w:div>
      </w:divsChild>
    </w:div>
    <w:div w:id="944118516">
      <w:bodyDiv w:val="1"/>
      <w:marLeft w:val="0"/>
      <w:marRight w:val="0"/>
      <w:marTop w:val="0"/>
      <w:marBottom w:val="0"/>
      <w:divBdr>
        <w:top w:val="none" w:sz="0" w:space="0" w:color="auto"/>
        <w:left w:val="none" w:sz="0" w:space="0" w:color="auto"/>
        <w:bottom w:val="none" w:sz="0" w:space="0" w:color="auto"/>
        <w:right w:val="none" w:sz="0" w:space="0" w:color="auto"/>
      </w:divBdr>
      <w:divsChild>
        <w:div w:id="287781923">
          <w:marLeft w:val="0"/>
          <w:marRight w:val="0"/>
          <w:marTop w:val="0"/>
          <w:marBottom w:val="0"/>
          <w:divBdr>
            <w:top w:val="none" w:sz="0" w:space="0" w:color="auto"/>
            <w:left w:val="none" w:sz="0" w:space="0" w:color="auto"/>
            <w:bottom w:val="none" w:sz="0" w:space="0" w:color="auto"/>
            <w:right w:val="none" w:sz="0" w:space="0" w:color="auto"/>
          </w:divBdr>
          <w:divsChild>
            <w:div w:id="224265046">
              <w:marLeft w:val="0"/>
              <w:marRight w:val="0"/>
              <w:marTop w:val="0"/>
              <w:marBottom w:val="0"/>
              <w:divBdr>
                <w:top w:val="none" w:sz="0" w:space="0" w:color="auto"/>
                <w:left w:val="none" w:sz="0" w:space="0" w:color="auto"/>
                <w:bottom w:val="none" w:sz="0" w:space="0" w:color="auto"/>
                <w:right w:val="none" w:sz="0" w:space="0" w:color="auto"/>
              </w:divBdr>
            </w:div>
            <w:div w:id="1034234169">
              <w:marLeft w:val="0"/>
              <w:marRight w:val="0"/>
              <w:marTop w:val="0"/>
              <w:marBottom w:val="0"/>
              <w:divBdr>
                <w:top w:val="none" w:sz="0" w:space="0" w:color="auto"/>
                <w:left w:val="none" w:sz="0" w:space="0" w:color="auto"/>
                <w:bottom w:val="none" w:sz="0" w:space="0" w:color="auto"/>
                <w:right w:val="none" w:sz="0" w:space="0" w:color="auto"/>
              </w:divBdr>
            </w:div>
          </w:divsChild>
        </w:div>
        <w:div w:id="466314686">
          <w:marLeft w:val="0"/>
          <w:marRight w:val="0"/>
          <w:marTop w:val="0"/>
          <w:marBottom w:val="0"/>
          <w:divBdr>
            <w:top w:val="none" w:sz="0" w:space="0" w:color="auto"/>
            <w:left w:val="none" w:sz="0" w:space="0" w:color="auto"/>
            <w:bottom w:val="none" w:sz="0" w:space="0" w:color="auto"/>
            <w:right w:val="none" w:sz="0" w:space="0" w:color="auto"/>
          </w:divBdr>
        </w:div>
        <w:div w:id="1093206247">
          <w:marLeft w:val="0"/>
          <w:marRight w:val="0"/>
          <w:marTop w:val="0"/>
          <w:marBottom w:val="0"/>
          <w:divBdr>
            <w:top w:val="none" w:sz="0" w:space="0" w:color="auto"/>
            <w:left w:val="none" w:sz="0" w:space="0" w:color="auto"/>
            <w:bottom w:val="none" w:sz="0" w:space="0" w:color="auto"/>
            <w:right w:val="none" w:sz="0" w:space="0" w:color="auto"/>
          </w:divBdr>
        </w:div>
        <w:div w:id="1275215558">
          <w:marLeft w:val="0"/>
          <w:marRight w:val="0"/>
          <w:marTop w:val="0"/>
          <w:marBottom w:val="0"/>
          <w:divBdr>
            <w:top w:val="none" w:sz="0" w:space="0" w:color="auto"/>
            <w:left w:val="none" w:sz="0" w:space="0" w:color="auto"/>
            <w:bottom w:val="none" w:sz="0" w:space="0" w:color="auto"/>
            <w:right w:val="none" w:sz="0" w:space="0" w:color="auto"/>
          </w:divBdr>
        </w:div>
        <w:div w:id="1291519791">
          <w:marLeft w:val="0"/>
          <w:marRight w:val="0"/>
          <w:marTop w:val="0"/>
          <w:marBottom w:val="0"/>
          <w:divBdr>
            <w:top w:val="none" w:sz="0" w:space="0" w:color="auto"/>
            <w:left w:val="none" w:sz="0" w:space="0" w:color="auto"/>
            <w:bottom w:val="none" w:sz="0" w:space="0" w:color="auto"/>
            <w:right w:val="none" w:sz="0" w:space="0" w:color="auto"/>
          </w:divBdr>
        </w:div>
      </w:divsChild>
    </w:div>
    <w:div w:id="1085226503">
      <w:bodyDiv w:val="1"/>
      <w:marLeft w:val="0"/>
      <w:marRight w:val="0"/>
      <w:marTop w:val="0"/>
      <w:marBottom w:val="0"/>
      <w:divBdr>
        <w:top w:val="none" w:sz="0" w:space="0" w:color="auto"/>
        <w:left w:val="none" w:sz="0" w:space="0" w:color="auto"/>
        <w:bottom w:val="none" w:sz="0" w:space="0" w:color="auto"/>
        <w:right w:val="none" w:sz="0" w:space="0" w:color="auto"/>
      </w:divBdr>
    </w:div>
    <w:div w:id="1170214830">
      <w:bodyDiv w:val="1"/>
      <w:marLeft w:val="0"/>
      <w:marRight w:val="0"/>
      <w:marTop w:val="0"/>
      <w:marBottom w:val="0"/>
      <w:divBdr>
        <w:top w:val="none" w:sz="0" w:space="0" w:color="auto"/>
        <w:left w:val="none" w:sz="0" w:space="0" w:color="auto"/>
        <w:bottom w:val="none" w:sz="0" w:space="0" w:color="auto"/>
        <w:right w:val="none" w:sz="0" w:space="0" w:color="auto"/>
      </w:divBdr>
      <w:divsChild>
        <w:div w:id="163279057">
          <w:marLeft w:val="0"/>
          <w:marRight w:val="0"/>
          <w:marTop w:val="0"/>
          <w:marBottom w:val="0"/>
          <w:divBdr>
            <w:top w:val="none" w:sz="0" w:space="0" w:color="auto"/>
            <w:left w:val="none" w:sz="0" w:space="0" w:color="auto"/>
            <w:bottom w:val="none" w:sz="0" w:space="0" w:color="auto"/>
            <w:right w:val="none" w:sz="0" w:space="0" w:color="auto"/>
          </w:divBdr>
        </w:div>
        <w:div w:id="870344958">
          <w:marLeft w:val="0"/>
          <w:marRight w:val="0"/>
          <w:marTop w:val="0"/>
          <w:marBottom w:val="0"/>
          <w:divBdr>
            <w:top w:val="none" w:sz="0" w:space="0" w:color="auto"/>
            <w:left w:val="none" w:sz="0" w:space="0" w:color="auto"/>
            <w:bottom w:val="none" w:sz="0" w:space="0" w:color="auto"/>
            <w:right w:val="none" w:sz="0" w:space="0" w:color="auto"/>
          </w:divBdr>
        </w:div>
        <w:div w:id="1570000499">
          <w:marLeft w:val="0"/>
          <w:marRight w:val="0"/>
          <w:marTop w:val="0"/>
          <w:marBottom w:val="0"/>
          <w:divBdr>
            <w:top w:val="none" w:sz="0" w:space="0" w:color="auto"/>
            <w:left w:val="none" w:sz="0" w:space="0" w:color="auto"/>
            <w:bottom w:val="none" w:sz="0" w:space="0" w:color="auto"/>
            <w:right w:val="none" w:sz="0" w:space="0" w:color="auto"/>
          </w:divBdr>
          <w:divsChild>
            <w:div w:id="179976001">
              <w:marLeft w:val="0"/>
              <w:marRight w:val="0"/>
              <w:marTop w:val="0"/>
              <w:marBottom w:val="0"/>
              <w:divBdr>
                <w:top w:val="none" w:sz="0" w:space="0" w:color="auto"/>
                <w:left w:val="none" w:sz="0" w:space="0" w:color="auto"/>
                <w:bottom w:val="none" w:sz="0" w:space="0" w:color="auto"/>
                <w:right w:val="none" w:sz="0" w:space="0" w:color="auto"/>
              </w:divBdr>
              <w:divsChild>
                <w:div w:id="343173378">
                  <w:marLeft w:val="0"/>
                  <w:marRight w:val="0"/>
                  <w:marTop w:val="0"/>
                  <w:marBottom w:val="0"/>
                  <w:divBdr>
                    <w:top w:val="none" w:sz="0" w:space="0" w:color="auto"/>
                    <w:left w:val="none" w:sz="0" w:space="0" w:color="auto"/>
                    <w:bottom w:val="none" w:sz="0" w:space="0" w:color="auto"/>
                    <w:right w:val="none" w:sz="0" w:space="0" w:color="auto"/>
                  </w:divBdr>
                </w:div>
                <w:div w:id="696082906">
                  <w:marLeft w:val="0"/>
                  <w:marRight w:val="0"/>
                  <w:marTop w:val="0"/>
                  <w:marBottom w:val="0"/>
                  <w:divBdr>
                    <w:top w:val="none" w:sz="0" w:space="0" w:color="auto"/>
                    <w:left w:val="none" w:sz="0" w:space="0" w:color="auto"/>
                    <w:bottom w:val="none" w:sz="0" w:space="0" w:color="auto"/>
                    <w:right w:val="none" w:sz="0" w:space="0" w:color="auto"/>
                  </w:divBdr>
                </w:div>
              </w:divsChild>
            </w:div>
            <w:div w:id="528297761">
              <w:marLeft w:val="0"/>
              <w:marRight w:val="0"/>
              <w:marTop w:val="0"/>
              <w:marBottom w:val="0"/>
              <w:divBdr>
                <w:top w:val="none" w:sz="0" w:space="0" w:color="auto"/>
                <w:left w:val="none" w:sz="0" w:space="0" w:color="auto"/>
                <w:bottom w:val="none" w:sz="0" w:space="0" w:color="auto"/>
                <w:right w:val="none" w:sz="0" w:space="0" w:color="auto"/>
              </w:divBdr>
            </w:div>
          </w:divsChild>
        </w:div>
        <w:div w:id="1791896964">
          <w:marLeft w:val="0"/>
          <w:marRight w:val="0"/>
          <w:marTop w:val="0"/>
          <w:marBottom w:val="0"/>
          <w:divBdr>
            <w:top w:val="none" w:sz="0" w:space="0" w:color="auto"/>
            <w:left w:val="none" w:sz="0" w:space="0" w:color="auto"/>
            <w:bottom w:val="none" w:sz="0" w:space="0" w:color="auto"/>
            <w:right w:val="none" w:sz="0" w:space="0" w:color="auto"/>
          </w:divBdr>
          <w:divsChild>
            <w:div w:id="1741712237">
              <w:marLeft w:val="0"/>
              <w:marRight w:val="0"/>
              <w:marTop w:val="0"/>
              <w:marBottom w:val="0"/>
              <w:divBdr>
                <w:top w:val="none" w:sz="0" w:space="0" w:color="auto"/>
                <w:left w:val="none" w:sz="0" w:space="0" w:color="auto"/>
                <w:bottom w:val="none" w:sz="0" w:space="0" w:color="auto"/>
                <w:right w:val="none" w:sz="0" w:space="0" w:color="auto"/>
              </w:divBdr>
            </w:div>
            <w:div w:id="1885098526">
              <w:marLeft w:val="0"/>
              <w:marRight w:val="0"/>
              <w:marTop w:val="0"/>
              <w:marBottom w:val="0"/>
              <w:divBdr>
                <w:top w:val="none" w:sz="0" w:space="0" w:color="auto"/>
                <w:left w:val="none" w:sz="0" w:space="0" w:color="auto"/>
                <w:bottom w:val="none" w:sz="0" w:space="0" w:color="auto"/>
                <w:right w:val="none" w:sz="0" w:space="0" w:color="auto"/>
              </w:divBdr>
            </w:div>
            <w:div w:id="2136751838">
              <w:marLeft w:val="0"/>
              <w:marRight w:val="0"/>
              <w:marTop w:val="0"/>
              <w:marBottom w:val="0"/>
              <w:divBdr>
                <w:top w:val="none" w:sz="0" w:space="0" w:color="auto"/>
                <w:left w:val="none" w:sz="0" w:space="0" w:color="auto"/>
                <w:bottom w:val="none" w:sz="0" w:space="0" w:color="auto"/>
                <w:right w:val="none" w:sz="0" w:space="0" w:color="auto"/>
              </w:divBdr>
              <w:divsChild>
                <w:div w:id="1659574313">
                  <w:marLeft w:val="0"/>
                  <w:marRight w:val="0"/>
                  <w:marTop w:val="0"/>
                  <w:marBottom w:val="0"/>
                  <w:divBdr>
                    <w:top w:val="none" w:sz="0" w:space="0" w:color="auto"/>
                    <w:left w:val="none" w:sz="0" w:space="0" w:color="auto"/>
                    <w:bottom w:val="none" w:sz="0" w:space="0" w:color="auto"/>
                    <w:right w:val="none" w:sz="0" w:space="0" w:color="auto"/>
                  </w:divBdr>
                </w:div>
                <w:div w:id="17294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728">
          <w:marLeft w:val="0"/>
          <w:marRight w:val="0"/>
          <w:marTop w:val="0"/>
          <w:marBottom w:val="0"/>
          <w:divBdr>
            <w:top w:val="none" w:sz="0" w:space="0" w:color="auto"/>
            <w:left w:val="none" w:sz="0" w:space="0" w:color="auto"/>
            <w:bottom w:val="none" w:sz="0" w:space="0" w:color="auto"/>
            <w:right w:val="none" w:sz="0" w:space="0" w:color="auto"/>
          </w:divBdr>
        </w:div>
        <w:div w:id="2019889566">
          <w:marLeft w:val="0"/>
          <w:marRight w:val="0"/>
          <w:marTop w:val="0"/>
          <w:marBottom w:val="0"/>
          <w:divBdr>
            <w:top w:val="none" w:sz="0" w:space="0" w:color="auto"/>
            <w:left w:val="none" w:sz="0" w:space="0" w:color="auto"/>
            <w:bottom w:val="none" w:sz="0" w:space="0" w:color="auto"/>
            <w:right w:val="none" w:sz="0" w:space="0" w:color="auto"/>
          </w:divBdr>
        </w:div>
      </w:divsChild>
    </w:div>
    <w:div w:id="1500996251">
      <w:bodyDiv w:val="1"/>
      <w:marLeft w:val="0"/>
      <w:marRight w:val="0"/>
      <w:marTop w:val="0"/>
      <w:marBottom w:val="0"/>
      <w:divBdr>
        <w:top w:val="none" w:sz="0" w:space="0" w:color="auto"/>
        <w:left w:val="none" w:sz="0" w:space="0" w:color="auto"/>
        <w:bottom w:val="none" w:sz="0" w:space="0" w:color="auto"/>
        <w:right w:val="none" w:sz="0" w:space="0" w:color="auto"/>
      </w:divBdr>
      <w:divsChild>
        <w:div w:id="462160220">
          <w:marLeft w:val="0"/>
          <w:marRight w:val="0"/>
          <w:marTop w:val="0"/>
          <w:marBottom w:val="0"/>
          <w:divBdr>
            <w:top w:val="none" w:sz="0" w:space="0" w:color="auto"/>
            <w:left w:val="none" w:sz="0" w:space="0" w:color="auto"/>
            <w:bottom w:val="none" w:sz="0" w:space="0" w:color="auto"/>
            <w:right w:val="none" w:sz="0" w:space="0" w:color="auto"/>
          </w:divBdr>
        </w:div>
        <w:div w:id="1880167921">
          <w:marLeft w:val="0"/>
          <w:marRight w:val="0"/>
          <w:marTop w:val="0"/>
          <w:marBottom w:val="0"/>
          <w:divBdr>
            <w:top w:val="none" w:sz="0" w:space="0" w:color="auto"/>
            <w:left w:val="none" w:sz="0" w:space="0" w:color="auto"/>
            <w:bottom w:val="none" w:sz="0" w:space="0" w:color="auto"/>
            <w:right w:val="none" w:sz="0" w:space="0" w:color="auto"/>
          </w:divBdr>
          <w:divsChild>
            <w:div w:id="857700993">
              <w:marLeft w:val="0"/>
              <w:marRight w:val="0"/>
              <w:marTop w:val="0"/>
              <w:marBottom w:val="0"/>
              <w:divBdr>
                <w:top w:val="none" w:sz="0" w:space="0" w:color="auto"/>
                <w:left w:val="none" w:sz="0" w:space="0" w:color="auto"/>
                <w:bottom w:val="none" w:sz="0" w:space="0" w:color="auto"/>
                <w:right w:val="none" w:sz="0" w:space="0" w:color="auto"/>
              </w:divBdr>
            </w:div>
            <w:div w:id="1582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424">
      <w:bodyDiv w:val="1"/>
      <w:marLeft w:val="0"/>
      <w:marRight w:val="0"/>
      <w:marTop w:val="0"/>
      <w:marBottom w:val="0"/>
      <w:divBdr>
        <w:top w:val="none" w:sz="0" w:space="0" w:color="auto"/>
        <w:left w:val="none" w:sz="0" w:space="0" w:color="auto"/>
        <w:bottom w:val="none" w:sz="0" w:space="0" w:color="auto"/>
        <w:right w:val="none" w:sz="0" w:space="0" w:color="auto"/>
      </w:divBdr>
      <w:divsChild>
        <w:div w:id="1221020313">
          <w:blockQuote w:val="1"/>
          <w:marLeft w:val="300"/>
          <w:marRight w:val="300"/>
          <w:marTop w:val="240"/>
          <w:marBottom w:val="240"/>
          <w:divBdr>
            <w:top w:val="none" w:sz="0" w:space="0" w:color="auto"/>
            <w:left w:val="none" w:sz="0" w:space="0" w:color="auto"/>
            <w:bottom w:val="none" w:sz="0" w:space="0" w:color="auto"/>
            <w:right w:val="none" w:sz="0" w:space="0" w:color="auto"/>
          </w:divBdr>
          <w:divsChild>
            <w:div w:id="1311441992">
              <w:marLeft w:val="0"/>
              <w:marRight w:val="0"/>
              <w:marTop w:val="0"/>
              <w:marBottom w:val="0"/>
              <w:divBdr>
                <w:top w:val="none" w:sz="0" w:space="0" w:color="auto"/>
                <w:left w:val="none" w:sz="0" w:space="0" w:color="auto"/>
                <w:bottom w:val="none" w:sz="0" w:space="0" w:color="auto"/>
                <w:right w:val="none" w:sz="0" w:space="0" w:color="auto"/>
              </w:divBdr>
              <w:divsChild>
                <w:div w:id="158809615">
                  <w:marLeft w:val="0"/>
                  <w:marRight w:val="0"/>
                  <w:marTop w:val="0"/>
                  <w:marBottom w:val="0"/>
                  <w:divBdr>
                    <w:top w:val="none" w:sz="0" w:space="0" w:color="auto"/>
                    <w:left w:val="none" w:sz="0" w:space="0" w:color="auto"/>
                    <w:bottom w:val="none" w:sz="0" w:space="0" w:color="auto"/>
                    <w:right w:val="none" w:sz="0" w:space="0" w:color="auto"/>
                  </w:divBdr>
                  <w:divsChild>
                    <w:div w:id="1631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082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462">
          <w:marLeft w:val="0"/>
          <w:marRight w:val="0"/>
          <w:marTop w:val="240"/>
          <w:marBottom w:val="240"/>
          <w:divBdr>
            <w:top w:val="none" w:sz="0" w:space="0" w:color="auto"/>
            <w:left w:val="none" w:sz="0" w:space="0" w:color="auto"/>
            <w:bottom w:val="none" w:sz="0" w:space="0" w:color="auto"/>
            <w:right w:val="none" w:sz="0" w:space="0" w:color="auto"/>
          </w:divBdr>
          <w:divsChild>
            <w:div w:id="1198273087">
              <w:marLeft w:val="0"/>
              <w:marRight w:val="0"/>
              <w:marTop w:val="240"/>
              <w:marBottom w:val="240"/>
              <w:divBdr>
                <w:top w:val="none" w:sz="0" w:space="0" w:color="auto"/>
                <w:left w:val="none" w:sz="0" w:space="0" w:color="auto"/>
                <w:bottom w:val="none" w:sz="0" w:space="0" w:color="auto"/>
                <w:right w:val="none" w:sz="0" w:space="0" w:color="auto"/>
              </w:divBdr>
            </w:div>
          </w:divsChild>
        </w:div>
        <w:div w:id="511377721">
          <w:marLeft w:val="0"/>
          <w:marRight w:val="0"/>
          <w:marTop w:val="240"/>
          <w:marBottom w:val="240"/>
          <w:divBdr>
            <w:top w:val="none" w:sz="0" w:space="0" w:color="auto"/>
            <w:left w:val="none" w:sz="0" w:space="0" w:color="auto"/>
            <w:bottom w:val="none" w:sz="0" w:space="0" w:color="auto"/>
            <w:right w:val="none" w:sz="0" w:space="0" w:color="auto"/>
          </w:divBdr>
          <w:divsChild>
            <w:div w:id="943146610">
              <w:marLeft w:val="0"/>
              <w:marRight w:val="0"/>
              <w:marTop w:val="240"/>
              <w:marBottom w:val="240"/>
              <w:divBdr>
                <w:top w:val="none" w:sz="0" w:space="0" w:color="auto"/>
                <w:left w:val="none" w:sz="0" w:space="0" w:color="auto"/>
                <w:bottom w:val="none" w:sz="0" w:space="0" w:color="auto"/>
                <w:right w:val="none" w:sz="0" w:space="0" w:color="auto"/>
              </w:divBdr>
            </w:div>
          </w:divsChild>
        </w:div>
        <w:div w:id="2050258661">
          <w:marLeft w:val="0"/>
          <w:marRight w:val="0"/>
          <w:marTop w:val="240"/>
          <w:marBottom w:val="240"/>
          <w:divBdr>
            <w:top w:val="none" w:sz="0" w:space="0" w:color="auto"/>
            <w:left w:val="none" w:sz="0" w:space="0" w:color="auto"/>
            <w:bottom w:val="none" w:sz="0" w:space="0" w:color="auto"/>
            <w:right w:val="none" w:sz="0" w:space="0" w:color="auto"/>
          </w:divBdr>
          <w:divsChild>
            <w:div w:id="1741363682">
              <w:marLeft w:val="0"/>
              <w:marRight w:val="0"/>
              <w:marTop w:val="240"/>
              <w:marBottom w:val="240"/>
              <w:divBdr>
                <w:top w:val="none" w:sz="0" w:space="0" w:color="auto"/>
                <w:left w:val="none" w:sz="0" w:space="0" w:color="auto"/>
                <w:bottom w:val="none" w:sz="0" w:space="0" w:color="auto"/>
                <w:right w:val="none" w:sz="0" w:space="0" w:color="auto"/>
              </w:divBdr>
            </w:div>
          </w:divsChild>
        </w:div>
        <w:div w:id="1588540045">
          <w:marLeft w:val="0"/>
          <w:marRight w:val="0"/>
          <w:marTop w:val="240"/>
          <w:marBottom w:val="240"/>
          <w:divBdr>
            <w:top w:val="none" w:sz="0" w:space="0" w:color="auto"/>
            <w:left w:val="none" w:sz="0" w:space="0" w:color="auto"/>
            <w:bottom w:val="none" w:sz="0" w:space="0" w:color="auto"/>
            <w:right w:val="none" w:sz="0" w:space="0" w:color="auto"/>
          </w:divBdr>
          <w:divsChild>
            <w:div w:id="1366910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98668109">
      <w:bodyDiv w:val="1"/>
      <w:marLeft w:val="0"/>
      <w:marRight w:val="0"/>
      <w:marTop w:val="0"/>
      <w:marBottom w:val="0"/>
      <w:divBdr>
        <w:top w:val="none" w:sz="0" w:space="0" w:color="auto"/>
        <w:left w:val="none" w:sz="0" w:space="0" w:color="auto"/>
        <w:bottom w:val="none" w:sz="0" w:space="0" w:color="auto"/>
        <w:right w:val="none" w:sz="0" w:space="0" w:color="auto"/>
      </w:divBdr>
    </w:div>
    <w:div w:id="2026469412">
      <w:bodyDiv w:val="1"/>
      <w:marLeft w:val="0"/>
      <w:marRight w:val="0"/>
      <w:marTop w:val="0"/>
      <w:marBottom w:val="0"/>
      <w:divBdr>
        <w:top w:val="none" w:sz="0" w:space="0" w:color="auto"/>
        <w:left w:val="none" w:sz="0" w:space="0" w:color="auto"/>
        <w:bottom w:val="none" w:sz="0" w:space="0" w:color="auto"/>
        <w:right w:val="none" w:sz="0" w:space="0" w:color="auto"/>
      </w:divBdr>
      <w:divsChild>
        <w:div w:id="333269264">
          <w:marLeft w:val="0"/>
          <w:marRight w:val="0"/>
          <w:marTop w:val="0"/>
          <w:marBottom w:val="0"/>
          <w:divBdr>
            <w:top w:val="none" w:sz="0" w:space="0" w:color="auto"/>
            <w:left w:val="none" w:sz="0" w:space="0" w:color="auto"/>
            <w:bottom w:val="none" w:sz="0" w:space="0" w:color="auto"/>
            <w:right w:val="none" w:sz="0" w:space="0" w:color="auto"/>
          </w:divBdr>
        </w:div>
        <w:div w:id="1987316493">
          <w:marLeft w:val="0"/>
          <w:marRight w:val="0"/>
          <w:marTop w:val="0"/>
          <w:marBottom w:val="0"/>
          <w:divBdr>
            <w:top w:val="none" w:sz="0" w:space="0" w:color="auto"/>
            <w:left w:val="none" w:sz="0" w:space="0" w:color="auto"/>
            <w:bottom w:val="none" w:sz="0" w:space="0" w:color="auto"/>
            <w:right w:val="none" w:sz="0" w:space="0" w:color="auto"/>
          </w:divBdr>
          <w:divsChild>
            <w:div w:id="353772009">
              <w:marLeft w:val="0"/>
              <w:marRight w:val="0"/>
              <w:marTop w:val="0"/>
              <w:marBottom w:val="0"/>
              <w:divBdr>
                <w:top w:val="none" w:sz="0" w:space="0" w:color="auto"/>
                <w:left w:val="none" w:sz="0" w:space="0" w:color="auto"/>
                <w:bottom w:val="none" w:sz="0" w:space="0" w:color="auto"/>
                <w:right w:val="none" w:sz="0" w:space="0" w:color="auto"/>
              </w:divBdr>
            </w:div>
            <w:div w:id="20018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k.practicallaw.thomsonreuters.com/Link/Document/FullText?findType=Y&amp;serNum=1989189740&amp;pubNum=4697&amp;originatingDoc=I41BACCE055CC11E78319D6A2C48AD597&amp;refType=UC&amp;originationContext=document&amp;transitionType=CommentaryUKLink&amp;contextData=(sc.Category)" TargetMode="External"/><Relationship Id="rId2" Type="http://schemas.openxmlformats.org/officeDocument/2006/relationships/hyperlink" Target="https://uk.practicallaw.thomsonreuters.com/Link/Document/FullText?findType=Y&amp;serNum=1988183539&amp;pubNum=3586&amp;originatingDoc=I41BACCE055CC11E78319D6A2C48AD597&amp;refType=UC&amp;originationContext=document&amp;transitionType=CommentaryUKLink&amp;contextData=(sc.Category)" TargetMode="External"/><Relationship Id="rId1" Type="http://schemas.openxmlformats.org/officeDocument/2006/relationships/hyperlink" Target="https://uk.practicallaw.thomsonreuters.com/Link/Document/FullText?findType=Y&amp;serNum=1870091588&amp;pubNum=3898&amp;originatingDoc=I41BACCE055CC11E78319D6A2C48AD597&amp;refType=UC&amp;originationContext=document&amp;transitionType=CommentaryUKLink&amp;contextData=(sc.Category)&amp;navId=E7682B95003F9036C0B31A7FCB5A24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8" ma:contentTypeDescription="Create a new document." ma:contentTypeScope="" ma:versionID="7b1ba8e4c461f5f63d7cdfa9170d6883">
  <xsd:schema xmlns:xsd="http://www.w3.org/2001/XMLSchema" xmlns:xs="http://www.w3.org/2001/XMLSchema" xmlns:p="http://schemas.microsoft.com/office/2006/metadata/properties" xmlns:ns3="a11d867e-ae6d-47b7-b8d9-cf1f9c836ae8" targetNamespace="http://schemas.microsoft.com/office/2006/metadata/properties" ma:root="true" ma:fieldsID="5e177dbaa846bc92e49bee4812437466" ns3:_="">
    <xsd:import namespace="a11d867e-ae6d-47b7-b8d9-cf1f9c836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9EAA-2391-4C4D-A670-CFD0CA309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AE221-7DBB-426E-9313-7BE386A05C92}">
  <ds:schemaRefs>
    <ds:schemaRef ds:uri="http://schemas.microsoft.com/sharepoint/v3/contenttype/forms"/>
  </ds:schemaRefs>
</ds:datastoreItem>
</file>

<file path=customXml/itemProps3.xml><?xml version="1.0" encoding="utf-8"?>
<ds:datastoreItem xmlns:ds="http://schemas.openxmlformats.org/officeDocument/2006/customXml" ds:itemID="{08E09A51-90C1-4D08-900D-AF25C7CD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BF241-33E1-46CF-BDD8-65C37604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56892</Words>
  <Characters>324286</Characters>
  <Application>Microsoft Office Word</Application>
  <DocSecurity>0</DocSecurity>
  <Lines>2702</Lines>
  <Paragraphs>760</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380418</CharactersWithSpaces>
  <SharedDoc>false</SharedDoc>
  <HLinks>
    <vt:vector size="18" baseType="variant">
      <vt:variant>
        <vt:i4>1704031</vt:i4>
      </vt:variant>
      <vt:variant>
        <vt:i4>6</vt:i4>
      </vt:variant>
      <vt:variant>
        <vt:i4>0</vt:i4>
      </vt:variant>
      <vt:variant>
        <vt:i4>5</vt:i4>
      </vt:variant>
      <vt:variant>
        <vt:lpwstr>https://uk.practicallaw.thomsonreuters.com/Link/Document/FullText?findType=Y&amp;serNum=1989189740&amp;pubNum=4697&amp;originatingDoc=I41BACCE055CC11E78319D6A2C48AD597&amp;refType=UC&amp;originationContext=document&amp;transitionType=CommentaryUKLink&amp;contextData=(sc.Category)</vt:lpwstr>
      </vt:variant>
      <vt:variant>
        <vt:lpwstr/>
      </vt:variant>
      <vt:variant>
        <vt:i4>1179732</vt:i4>
      </vt:variant>
      <vt:variant>
        <vt:i4>3</vt:i4>
      </vt:variant>
      <vt:variant>
        <vt:i4>0</vt:i4>
      </vt:variant>
      <vt:variant>
        <vt:i4>5</vt:i4>
      </vt:variant>
      <vt:variant>
        <vt:lpwstr>https://uk.practicallaw.thomsonreuters.com/Link/Document/FullText?findType=Y&amp;serNum=1988183539&amp;pubNum=3586&amp;originatingDoc=I41BACCE055CC11E78319D6A2C48AD597&amp;refType=UC&amp;originationContext=document&amp;transitionType=CommentaryUKLink&amp;contextData=(sc.Category)</vt:lpwstr>
      </vt:variant>
      <vt:variant>
        <vt:lpwstr/>
      </vt:variant>
      <vt:variant>
        <vt:i4>7733364</vt:i4>
      </vt:variant>
      <vt:variant>
        <vt:i4>0</vt:i4>
      </vt:variant>
      <vt:variant>
        <vt:i4>0</vt:i4>
      </vt:variant>
      <vt:variant>
        <vt:i4>5</vt:i4>
      </vt:variant>
      <vt:variant>
        <vt:lpwstr>https://uk.practicallaw.thomsonreuters.com/Link/Document/FullText?findType=Y&amp;serNum=1870091588&amp;pubNum=3898&amp;originatingDoc=I41BACCE055CC11E78319D6A2C48AD597&amp;refType=UC&amp;originationContext=document&amp;transitionType=CommentaryUKLink&amp;contextData=(sc.Category)&amp;navId=E7682B95003F9036C0B31A7FCB5A24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Mr Justice Marcus</dc:creator>
  <cp:keywords/>
  <cp:lastModifiedBy>Charlotte Hegley</cp:lastModifiedBy>
  <cp:revision>2</cp:revision>
  <cp:lastPrinted>2019-09-27T07:53:00Z</cp:lastPrinted>
  <dcterms:created xsi:type="dcterms:W3CDTF">2019-10-02T09:15:00Z</dcterms:created>
  <dcterms:modified xsi:type="dcterms:W3CDTF">2019-10-02T09:15:00Z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0x010100E3BCC8DC048D724C80446CFA3EDF2D1D</vt:lpwstr>
  </property>
</Properties>
</file>