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B1CB1" w14:textId="19B118E2" w:rsidR="003F6D9D" w:rsidRDefault="002D37BA" w:rsidP="002D37BA">
      <w:pPr>
        <w:jc w:val="center"/>
      </w:pPr>
      <w:bookmarkStart w:id="0" w:name="_GoBack"/>
      <w:bookmarkEnd w:id="0"/>
      <w:r w:rsidRPr="002D37BA">
        <w:rPr>
          <w:noProof/>
        </w:rPr>
        <w:drawing>
          <wp:inline distT="0" distB="0" distL="0" distR="0" wp14:anchorId="3A145591" wp14:editId="36616022">
            <wp:extent cx="969010" cy="960120"/>
            <wp:effectExtent l="0" t="0" r="2540" b="0"/>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65E828F5" w14:textId="77777777" w:rsidR="002D37BA" w:rsidRDefault="002D37BA" w:rsidP="003F6D9D">
      <w:pPr>
        <w:jc w:val="right"/>
      </w:pPr>
    </w:p>
    <w:p w14:paraId="73C87C8D" w14:textId="6008B268" w:rsidR="003F6D9D" w:rsidRDefault="003F6D9D" w:rsidP="003F6D9D">
      <w:pPr>
        <w:pStyle w:val="CoverText"/>
        <w:jc w:val="left"/>
        <w:rPr>
          <w:bCs/>
          <w:sz w:val="20"/>
          <w:u w:val="none"/>
        </w:rPr>
      </w:pPr>
      <w:r>
        <w:rPr>
          <w:bCs/>
        </w:rPr>
        <w:t xml:space="preserve">Neutral Citation Number: </w:t>
      </w:r>
      <w:r w:rsidR="002D37BA">
        <w:rPr>
          <w:bCs/>
        </w:rPr>
        <w:t>[2020] EWC</w:t>
      </w:r>
      <w:r w:rsidR="00B912C0">
        <w:rPr>
          <w:bCs/>
        </w:rPr>
        <w:t>A</w:t>
      </w:r>
      <w:r w:rsidR="002D37BA">
        <w:rPr>
          <w:bCs/>
        </w:rPr>
        <w:t xml:space="preserve"> </w:t>
      </w:r>
      <w:r w:rsidR="00344401">
        <w:rPr>
          <w:bCs/>
        </w:rPr>
        <w:t>374</w:t>
      </w:r>
      <w:r w:rsidR="00E241EA">
        <w:rPr>
          <w:bCs/>
        </w:rPr>
        <w:t xml:space="preserve"> </w:t>
      </w:r>
      <w:r w:rsidR="00F41734">
        <w:rPr>
          <w:bCs/>
        </w:rPr>
        <w:t>(Civ)</w:t>
      </w:r>
      <w:r>
        <w:rPr>
          <w:bCs/>
        </w:rPr>
        <w:br/>
      </w:r>
    </w:p>
    <w:p w14:paraId="6D5F2DA6" w14:textId="77777777" w:rsidR="003F6D9D" w:rsidRDefault="003F6D9D" w:rsidP="003F6D9D">
      <w:pPr>
        <w:pStyle w:val="CoverText"/>
        <w:rPr>
          <w:b/>
          <w:spacing w:val="-3"/>
        </w:rPr>
      </w:pPr>
      <w:r>
        <w:t>Case No: C1/2018/1998</w:t>
      </w:r>
    </w:p>
    <w:p w14:paraId="77672007" w14:textId="77777777" w:rsidR="003F6D9D" w:rsidRDefault="003F6D9D" w:rsidP="003F6D9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(CIVIL DIVISION)</w:t>
      </w:r>
    </w:p>
    <w:p w14:paraId="4A44ADF2" w14:textId="77777777" w:rsidR="003F6D9D" w:rsidRDefault="003F6D9D" w:rsidP="003F6D9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the </w:t>
      </w:r>
      <w:r w:rsidRPr="003F6D9D">
        <w:t>Administrative Court</w:t>
      </w:r>
    </w:p>
    <w:p w14:paraId="47D1EB10" w14:textId="77777777" w:rsidR="003F6D9D" w:rsidRDefault="003F6D9D" w:rsidP="003F6D9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3F6D9D">
        <w:t>Mrs Justice Carr DBE</w:t>
      </w:r>
    </w:p>
    <w:p w14:paraId="5B33AFF5" w14:textId="77777777" w:rsidR="003F6D9D" w:rsidRDefault="003F6D9D" w:rsidP="003F6D9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68F24077" w14:textId="77777777" w:rsidR="003F6D9D" w:rsidRDefault="003F6D9D" w:rsidP="003F6D9D">
      <w:pPr>
        <w:pStyle w:val="CoverText"/>
      </w:pPr>
      <w:r>
        <w:t>Royal Courts of Justice</w:t>
      </w:r>
    </w:p>
    <w:p w14:paraId="309FF5BD" w14:textId="77777777" w:rsidR="003F6D9D" w:rsidRDefault="003F6D9D" w:rsidP="003F6D9D">
      <w:pPr>
        <w:pStyle w:val="CoverText"/>
      </w:pPr>
      <w:r>
        <w:t>Strand, London, WC2A 2LL</w:t>
      </w:r>
    </w:p>
    <w:p w14:paraId="03A32BB4" w14:textId="77777777" w:rsidR="003F6D9D" w:rsidRDefault="003F6D9D" w:rsidP="003F6D9D">
      <w:pPr>
        <w:suppressAutoHyphens/>
        <w:jc w:val="right"/>
        <w:rPr>
          <w:spacing w:val="-3"/>
          <w:u w:val="single"/>
        </w:rPr>
      </w:pPr>
    </w:p>
    <w:p w14:paraId="25D05C47" w14:textId="5E19F050" w:rsidR="003F6D9D" w:rsidRDefault="003F6D9D" w:rsidP="003F6D9D">
      <w:pPr>
        <w:pStyle w:val="CoverText"/>
        <w:rPr>
          <w:b/>
        </w:rPr>
      </w:pPr>
      <w:r>
        <w:t xml:space="preserve">Date: </w:t>
      </w:r>
      <w:r w:rsidR="002D37BA">
        <w:t>13/03/2020</w:t>
      </w:r>
    </w:p>
    <w:p w14:paraId="4570D8FF" w14:textId="77777777" w:rsidR="003F6D9D" w:rsidRDefault="003F6D9D" w:rsidP="003F6D9D">
      <w:pPr>
        <w:suppressAutoHyphens/>
        <w:jc w:val="center"/>
        <w:rPr>
          <w:b/>
          <w:spacing w:val="-3"/>
        </w:rPr>
      </w:pPr>
      <w:r>
        <w:rPr>
          <w:b/>
          <w:spacing w:val="-3"/>
        </w:rPr>
        <w:t>Before :</w:t>
      </w:r>
    </w:p>
    <w:p w14:paraId="15419A3D" w14:textId="77777777" w:rsidR="003F6D9D" w:rsidRDefault="003F6D9D" w:rsidP="003F6D9D">
      <w:pPr>
        <w:suppressAutoHyphens/>
        <w:jc w:val="center"/>
        <w:rPr>
          <w:spacing w:val="-3"/>
        </w:rPr>
      </w:pPr>
    </w:p>
    <w:p w14:paraId="10C6C358" w14:textId="77777777" w:rsidR="003F6D9D" w:rsidRDefault="003F6D9D" w:rsidP="003F6D9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UNDERHILL</w:t>
      </w:r>
    </w:p>
    <w:p w14:paraId="3440CEC0" w14:textId="77777777" w:rsidR="003F6D9D" w:rsidRDefault="003F6D9D" w:rsidP="003F6D9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(Vice-President of the Court of Appeal (Civil Division))</w:t>
      </w:r>
    </w:p>
    <w:p w14:paraId="3548760A" w14:textId="0A00991A" w:rsidR="003F6D9D" w:rsidRDefault="002D37BA" w:rsidP="003F6D9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GREEN</w:t>
      </w:r>
      <w:r w:rsidR="003F6D9D">
        <w:br/>
      </w:r>
      <w:r w:rsidR="003F6D9D">
        <w:rPr>
          <w:b w:val="0"/>
          <w:bCs/>
          <w:u w:val="none"/>
        </w:rPr>
        <w:t>and</w:t>
      </w:r>
    </w:p>
    <w:p w14:paraId="37E532C1" w14:textId="5A5C9B16" w:rsidR="003F6D9D" w:rsidRDefault="002D37BA" w:rsidP="003F6D9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ARNOLD</w:t>
      </w:r>
    </w:p>
    <w:p w14:paraId="6ED8D6C6" w14:textId="77777777" w:rsidR="003F6D9D" w:rsidRDefault="003F6D9D" w:rsidP="003F6D9D">
      <w:pPr>
        <w:suppressAutoHyphens/>
        <w:jc w:val="center"/>
        <w:rPr>
          <w:spacing w:val="-3"/>
        </w:rPr>
      </w:pPr>
      <w:r>
        <w:rPr>
          <w:spacing w:val="-3"/>
        </w:rPr>
        <w:t>- - - - - - - - - - - - - - - - - - - - -</w:t>
      </w:r>
    </w:p>
    <w:p w14:paraId="0FB460C5" w14:textId="77777777" w:rsidR="003F6D9D" w:rsidRDefault="003F6D9D" w:rsidP="003F6D9D">
      <w:pPr>
        <w:suppressAutoHyphens/>
        <w:jc w:val="center"/>
        <w:rPr>
          <w:b/>
          <w:spacing w:val="-3"/>
        </w:rPr>
      </w:pPr>
      <w:r>
        <w:rPr>
          <w:b/>
          <w:spacing w:val="-3"/>
        </w:rPr>
        <w:t>Between :</w:t>
      </w:r>
    </w:p>
    <w:p w14:paraId="15F11C58" w14:textId="77777777" w:rsidR="003F6D9D" w:rsidRDefault="003F6D9D" w:rsidP="003F6D9D">
      <w:pPr>
        <w:suppressAutoHyphens/>
        <w:rPr>
          <w:b/>
          <w:spacing w:val="-3"/>
        </w:rPr>
      </w:pPr>
    </w:p>
    <w:tbl>
      <w:tblPr>
        <w:tblW w:w="0" w:type="auto"/>
        <w:tblInd w:w="144" w:type="dxa"/>
        <w:tblLayout w:type="fixed"/>
        <w:tblLook w:val="0000" w:firstRow="0" w:lastRow="0" w:firstColumn="0" w:lastColumn="0" w:noHBand="0" w:noVBand="0"/>
      </w:tblPr>
      <w:tblGrid>
        <w:gridCol w:w="1314"/>
        <w:gridCol w:w="6210"/>
        <w:gridCol w:w="1440"/>
      </w:tblGrid>
      <w:tr w:rsidR="003F6D9D" w14:paraId="5DC231EA" w14:textId="77777777" w:rsidTr="00282878">
        <w:tc>
          <w:tcPr>
            <w:tcW w:w="1314" w:type="dxa"/>
          </w:tcPr>
          <w:p w14:paraId="5DD906FA" w14:textId="77777777" w:rsidR="003F6D9D" w:rsidRDefault="003F6D9D" w:rsidP="00282878">
            <w:pPr>
              <w:suppressAutoHyphens/>
              <w:rPr>
                <w:b/>
                <w:spacing w:val="-3"/>
              </w:rPr>
            </w:pPr>
          </w:p>
        </w:tc>
        <w:tc>
          <w:tcPr>
            <w:tcW w:w="6210" w:type="dxa"/>
          </w:tcPr>
          <w:p w14:paraId="69ED88B3" w14:textId="77777777" w:rsidR="003F6D9D" w:rsidRDefault="003F6D9D" w:rsidP="00282878">
            <w:pPr>
              <w:suppressAutoHyphens/>
              <w:jc w:val="center"/>
              <w:rPr>
                <w:b/>
                <w:spacing w:val="-3"/>
              </w:rPr>
            </w:pPr>
            <w:r>
              <w:rPr>
                <w:b/>
                <w:spacing w:val="-3"/>
              </w:rPr>
              <w:t>THE QUEEN (KATHLEEN ELIZABETH SIMONIS)</w:t>
            </w:r>
          </w:p>
        </w:tc>
        <w:tc>
          <w:tcPr>
            <w:tcW w:w="1440" w:type="dxa"/>
          </w:tcPr>
          <w:p w14:paraId="58A219BC" w14:textId="77777777" w:rsidR="003F6D9D" w:rsidRDefault="003F6D9D" w:rsidP="002C48E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Appellant</w:t>
            </w:r>
          </w:p>
        </w:tc>
      </w:tr>
      <w:tr w:rsidR="003F6D9D" w14:paraId="619A2B51" w14:textId="77777777" w:rsidTr="00282878">
        <w:tc>
          <w:tcPr>
            <w:tcW w:w="1314" w:type="dxa"/>
          </w:tcPr>
          <w:p w14:paraId="7E01B811" w14:textId="77777777" w:rsidR="003F6D9D" w:rsidRDefault="003F6D9D" w:rsidP="00282878">
            <w:pPr>
              <w:suppressAutoHyphens/>
              <w:rPr>
                <w:b/>
                <w:spacing w:val="-3"/>
              </w:rPr>
            </w:pPr>
          </w:p>
        </w:tc>
        <w:tc>
          <w:tcPr>
            <w:tcW w:w="6210" w:type="dxa"/>
          </w:tcPr>
          <w:p w14:paraId="22FF711E" w14:textId="77777777" w:rsidR="003F6D9D" w:rsidRDefault="003F6D9D" w:rsidP="00282878">
            <w:pPr>
              <w:tabs>
                <w:tab w:val="center" w:pos="3312"/>
              </w:tabs>
              <w:suppressAutoHyphens/>
              <w:jc w:val="center"/>
              <w:rPr>
                <w:b/>
                <w:spacing w:val="-3"/>
              </w:rPr>
            </w:pPr>
            <w:r>
              <w:rPr>
                <w:b/>
                <w:spacing w:val="-3"/>
              </w:rPr>
              <w:t>- and -</w:t>
            </w:r>
          </w:p>
        </w:tc>
        <w:tc>
          <w:tcPr>
            <w:tcW w:w="1440" w:type="dxa"/>
          </w:tcPr>
          <w:p w14:paraId="3CA35900" w14:textId="77777777" w:rsidR="003F6D9D" w:rsidRDefault="003F6D9D" w:rsidP="00282878">
            <w:pPr>
              <w:suppressAutoHyphens/>
              <w:jc w:val="right"/>
              <w:rPr>
                <w:b/>
                <w:spacing w:val="-3"/>
              </w:rPr>
            </w:pPr>
          </w:p>
        </w:tc>
      </w:tr>
      <w:tr w:rsidR="003F6D9D" w14:paraId="0EEB42A1" w14:textId="77777777" w:rsidTr="00282878">
        <w:tc>
          <w:tcPr>
            <w:tcW w:w="1314" w:type="dxa"/>
          </w:tcPr>
          <w:p w14:paraId="727CA5DA" w14:textId="77777777" w:rsidR="003F6D9D" w:rsidRDefault="003F6D9D" w:rsidP="00282878">
            <w:pPr>
              <w:suppressAutoHyphens/>
              <w:rPr>
                <w:b/>
                <w:spacing w:val="-3"/>
              </w:rPr>
            </w:pPr>
          </w:p>
        </w:tc>
        <w:tc>
          <w:tcPr>
            <w:tcW w:w="6210" w:type="dxa"/>
          </w:tcPr>
          <w:p w14:paraId="32F39DD3" w14:textId="77777777" w:rsidR="003F6D9D" w:rsidRDefault="003F6D9D" w:rsidP="00282878">
            <w:pPr>
              <w:tabs>
                <w:tab w:val="center" w:pos="3312"/>
              </w:tabs>
              <w:suppressAutoHyphens/>
              <w:jc w:val="center"/>
              <w:rPr>
                <w:b/>
                <w:spacing w:val="-3"/>
              </w:rPr>
            </w:pPr>
            <w:r>
              <w:rPr>
                <w:b/>
                <w:spacing w:val="-3"/>
              </w:rPr>
              <w:t>ARTS COUNCIL ENGLAND</w:t>
            </w:r>
          </w:p>
        </w:tc>
        <w:tc>
          <w:tcPr>
            <w:tcW w:w="1440" w:type="dxa"/>
          </w:tcPr>
          <w:p w14:paraId="46FA646B" w14:textId="77777777" w:rsidR="003F6D9D" w:rsidRDefault="003F6D9D" w:rsidP="002C48E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Respondent</w:t>
            </w:r>
          </w:p>
        </w:tc>
      </w:tr>
      <w:tr w:rsidR="003F6D9D" w14:paraId="5104F6F4" w14:textId="77777777" w:rsidTr="00282878">
        <w:tc>
          <w:tcPr>
            <w:tcW w:w="1314" w:type="dxa"/>
          </w:tcPr>
          <w:p w14:paraId="7267C139" w14:textId="77777777" w:rsidR="003F6D9D" w:rsidRDefault="003F6D9D" w:rsidP="00282878">
            <w:pPr>
              <w:suppressAutoHyphens/>
              <w:rPr>
                <w:b/>
                <w:spacing w:val="-3"/>
              </w:rPr>
            </w:pPr>
          </w:p>
        </w:tc>
        <w:tc>
          <w:tcPr>
            <w:tcW w:w="6210" w:type="dxa"/>
          </w:tcPr>
          <w:p w14:paraId="116CA464" w14:textId="77777777" w:rsidR="003F6D9D" w:rsidRDefault="003F6D9D" w:rsidP="00282878">
            <w:pPr>
              <w:tabs>
                <w:tab w:val="center" w:pos="3312"/>
              </w:tabs>
              <w:suppressAutoHyphens/>
              <w:jc w:val="center"/>
              <w:rPr>
                <w:b/>
                <w:spacing w:val="-3"/>
              </w:rPr>
            </w:pPr>
            <w:r>
              <w:rPr>
                <w:b/>
                <w:spacing w:val="-3"/>
              </w:rPr>
              <w:t>- and -</w:t>
            </w:r>
          </w:p>
        </w:tc>
        <w:tc>
          <w:tcPr>
            <w:tcW w:w="1440" w:type="dxa"/>
          </w:tcPr>
          <w:p w14:paraId="0FEB4D66" w14:textId="77777777" w:rsidR="003F6D9D" w:rsidRDefault="003F6D9D" w:rsidP="0028287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tc>
      </w:tr>
      <w:tr w:rsidR="003F6D9D" w14:paraId="2549FEF9" w14:textId="77777777" w:rsidTr="00282878">
        <w:tc>
          <w:tcPr>
            <w:tcW w:w="1314" w:type="dxa"/>
          </w:tcPr>
          <w:p w14:paraId="4682D19F" w14:textId="77777777" w:rsidR="003F6D9D" w:rsidRDefault="003F6D9D" w:rsidP="003F6D9D">
            <w:pPr>
              <w:suppressAutoHyphens/>
              <w:rPr>
                <w:b/>
                <w:spacing w:val="-3"/>
              </w:rPr>
            </w:pPr>
          </w:p>
        </w:tc>
        <w:tc>
          <w:tcPr>
            <w:tcW w:w="6210" w:type="dxa"/>
          </w:tcPr>
          <w:p w14:paraId="23B09894" w14:textId="77777777" w:rsidR="003F6D9D" w:rsidRDefault="003F6D9D" w:rsidP="003F6D9D">
            <w:pPr>
              <w:numPr>
                <w:ilvl w:val="0"/>
                <w:numId w:val="29"/>
              </w:numPr>
              <w:tabs>
                <w:tab w:val="center" w:pos="673"/>
              </w:tabs>
              <w:suppressAutoHyphens/>
              <w:jc w:val="center"/>
              <w:rPr>
                <w:b/>
                <w:spacing w:val="-3"/>
              </w:rPr>
            </w:pPr>
            <w:r>
              <w:rPr>
                <w:b/>
                <w:spacing w:val="-3"/>
              </w:rPr>
              <w:t>MINISTERO DEI BENI E DELLE ATTIVIT</w:t>
            </w:r>
            <w:r w:rsidR="006B23CB">
              <w:rPr>
                <w:b/>
                <w:spacing w:val="-3"/>
              </w:rPr>
              <w:t>À</w:t>
            </w:r>
            <w:r>
              <w:rPr>
                <w:b/>
                <w:spacing w:val="-3"/>
              </w:rPr>
              <w:t xml:space="preserve"> CULTURALI E DEL TURISMO</w:t>
            </w:r>
          </w:p>
          <w:p w14:paraId="48DA3B1C" w14:textId="77777777" w:rsidR="003F6D9D" w:rsidRDefault="003F6D9D" w:rsidP="003F6D9D">
            <w:pPr>
              <w:numPr>
                <w:ilvl w:val="0"/>
                <w:numId w:val="29"/>
              </w:numPr>
              <w:tabs>
                <w:tab w:val="center" w:pos="673"/>
              </w:tabs>
              <w:suppressAutoHyphens/>
              <w:jc w:val="center"/>
              <w:rPr>
                <w:b/>
                <w:spacing w:val="-3"/>
              </w:rPr>
            </w:pPr>
            <w:r>
              <w:rPr>
                <w:b/>
                <w:spacing w:val="-3"/>
              </w:rPr>
              <w:t>THE SECRETARY OF STATE FOR DIGITAL, CULTURE, MEDIA AND SPORT</w:t>
            </w:r>
          </w:p>
        </w:tc>
        <w:tc>
          <w:tcPr>
            <w:tcW w:w="1440" w:type="dxa"/>
          </w:tcPr>
          <w:p w14:paraId="771A76BD" w14:textId="77777777" w:rsidR="003F6D9D" w:rsidRDefault="003F6D9D" w:rsidP="003F6D9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p w14:paraId="4D4A1B22" w14:textId="77777777" w:rsidR="003F6D9D" w:rsidRDefault="003F6D9D" w:rsidP="003F6D9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p w14:paraId="2EFFC58A" w14:textId="77777777" w:rsidR="003F6D9D" w:rsidRDefault="003F6D9D" w:rsidP="002C48E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 xml:space="preserve">Interested Parties </w:t>
            </w:r>
          </w:p>
        </w:tc>
      </w:tr>
    </w:tbl>
    <w:p w14:paraId="22C76702" w14:textId="77777777" w:rsidR="003F6D9D" w:rsidRDefault="003F6D9D" w:rsidP="002C48EE">
      <w:pPr>
        <w:tabs>
          <w:tab w:val="left" w:pos="8931"/>
        </w:tabs>
        <w:suppressAutoHyphens/>
        <w:rPr>
          <w:b/>
          <w:spacing w:val="-3"/>
        </w:rPr>
      </w:pPr>
    </w:p>
    <w:p w14:paraId="56C77551" w14:textId="77777777" w:rsidR="003F6D9D" w:rsidRDefault="003F6D9D" w:rsidP="003F6D9D">
      <w:pPr>
        <w:suppressAutoHyphens/>
        <w:jc w:val="center"/>
        <w:rPr>
          <w:spacing w:val="-3"/>
        </w:rPr>
      </w:pPr>
      <w:r>
        <w:rPr>
          <w:spacing w:val="-3"/>
        </w:rPr>
        <w:t>- - - - - - - - - - - - - - - - - - - - -</w:t>
      </w:r>
    </w:p>
    <w:p w14:paraId="3CEC8A1B" w14:textId="77777777" w:rsidR="003F6D9D" w:rsidRDefault="003F6D9D" w:rsidP="003F6D9D">
      <w:pPr>
        <w:suppressAutoHyphens/>
        <w:jc w:val="center"/>
        <w:rPr>
          <w:spacing w:val="-3"/>
        </w:rPr>
      </w:pPr>
      <w:r>
        <w:rPr>
          <w:spacing w:val="-3"/>
        </w:rPr>
        <w:t>- - - - - - - - - - - - - - - - - - - - -</w:t>
      </w:r>
    </w:p>
    <w:p w14:paraId="597AF3F1" w14:textId="77777777" w:rsidR="003F6D9D" w:rsidRDefault="003F6D9D" w:rsidP="003F6D9D">
      <w:pPr>
        <w:suppressAutoHyphens/>
        <w:jc w:val="center"/>
        <w:rPr>
          <w:spacing w:val="-3"/>
        </w:rPr>
      </w:pPr>
    </w:p>
    <w:p w14:paraId="5CED3EFD" w14:textId="51470B5C" w:rsidR="003F6D9D" w:rsidRDefault="00B1367D" w:rsidP="003F6D9D">
      <w:pPr>
        <w:suppressAutoHyphens/>
        <w:jc w:val="center"/>
        <w:rPr>
          <w:bCs/>
          <w:spacing w:val="-3"/>
        </w:rPr>
      </w:pPr>
      <w:r w:rsidRPr="00B1367D">
        <w:rPr>
          <w:b/>
          <w:bCs/>
          <w:spacing w:val="-3"/>
        </w:rPr>
        <w:t>Mr Aid</w:t>
      </w:r>
      <w:r w:rsidR="00E241EA">
        <w:rPr>
          <w:b/>
          <w:bCs/>
          <w:spacing w:val="-3"/>
        </w:rPr>
        <w:t>a</w:t>
      </w:r>
      <w:r w:rsidRPr="00B1367D">
        <w:rPr>
          <w:b/>
          <w:bCs/>
          <w:spacing w:val="-3"/>
        </w:rPr>
        <w:t>n O’Neill QC</w:t>
      </w:r>
      <w:r>
        <w:rPr>
          <w:bCs/>
          <w:spacing w:val="-3"/>
        </w:rPr>
        <w:t xml:space="preserve"> and </w:t>
      </w:r>
      <w:r w:rsidRPr="00B1367D">
        <w:rPr>
          <w:b/>
          <w:bCs/>
          <w:spacing w:val="-3"/>
        </w:rPr>
        <w:t>Mr Chris But</w:t>
      </w:r>
      <w:r w:rsidR="009B54B7">
        <w:rPr>
          <w:b/>
          <w:bCs/>
          <w:spacing w:val="-3"/>
        </w:rPr>
        <w:t>t</w:t>
      </w:r>
      <w:r w:rsidRPr="00B1367D">
        <w:rPr>
          <w:b/>
          <w:bCs/>
          <w:spacing w:val="-3"/>
        </w:rPr>
        <w:t>ler</w:t>
      </w:r>
      <w:r w:rsidR="003F6D9D">
        <w:rPr>
          <w:bCs/>
          <w:spacing w:val="-3"/>
        </w:rPr>
        <w:t xml:space="preserve"> (instructed by </w:t>
      </w:r>
      <w:r>
        <w:rPr>
          <w:b/>
          <w:spacing w:val="-3"/>
        </w:rPr>
        <w:t>Howard Kennedy L</w:t>
      </w:r>
      <w:r w:rsidR="006B23CB">
        <w:rPr>
          <w:b/>
          <w:spacing w:val="-3"/>
        </w:rPr>
        <w:t>LP</w:t>
      </w:r>
      <w:r w:rsidR="003F6D9D">
        <w:rPr>
          <w:bCs/>
          <w:spacing w:val="-3"/>
        </w:rPr>
        <w:t xml:space="preserve">) for the </w:t>
      </w:r>
      <w:r w:rsidR="003F6D9D">
        <w:rPr>
          <w:b/>
          <w:spacing w:val="-3"/>
        </w:rPr>
        <w:t>Appellant</w:t>
      </w:r>
    </w:p>
    <w:p w14:paraId="149652F8" w14:textId="77777777" w:rsidR="003F6D9D" w:rsidRDefault="00B1367D" w:rsidP="003F6D9D">
      <w:pPr>
        <w:suppressAutoHyphens/>
        <w:jc w:val="center"/>
        <w:rPr>
          <w:bCs/>
          <w:spacing w:val="-3"/>
        </w:rPr>
      </w:pPr>
      <w:r>
        <w:rPr>
          <w:b/>
          <w:spacing w:val="-3"/>
        </w:rPr>
        <w:t>Mr Ben Jaffey QC</w:t>
      </w:r>
      <w:r>
        <w:rPr>
          <w:spacing w:val="-3"/>
        </w:rPr>
        <w:t xml:space="preserve"> and</w:t>
      </w:r>
      <w:r>
        <w:rPr>
          <w:b/>
          <w:spacing w:val="-3"/>
        </w:rPr>
        <w:t xml:space="preserve"> Mr Ravi Mehta</w:t>
      </w:r>
      <w:r w:rsidR="003F6D9D">
        <w:rPr>
          <w:b/>
          <w:spacing w:val="-3"/>
        </w:rPr>
        <w:t xml:space="preserve"> </w:t>
      </w:r>
      <w:r w:rsidR="003F6D9D">
        <w:rPr>
          <w:bCs/>
          <w:spacing w:val="-3"/>
        </w:rPr>
        <w:t>(instructed by</w:t>
      </w:r>
      <w:r w:rsidR="003F6D9D">
        <w:rPr>
          <w:b/>
          <w:spacing w:val="-3"/>
        </w:rPr>
        <w:t xml:space="preserve"> </w:t>
      </w:r>
      <w:r>
        <w:rPr>
          <w:b/>
          <w:spacing w:val="-3"/>
        </w:rPr>
        <w:t>Government Legal Department</w:t>
      </w:r>
      <w:r w:rsidR="003F6D9D">
        <w:rPr>
          <w:bCs/>
          <w:spacing w:val="-3"/>
        </w:rPr>
        <w:t xml:space="preserve">) for the </w:t>
      </w:r>
      <w:r w:rsidR="003F6D9D">
        <w:rPr>
          <w:b/>
          <w:spacing w:val="-3"/>
        </w:rPr>
        <w:t>Respondent</w:t>
      </w:r>
    </w:p>
    <w:p w14:paraId="65F9AC83" w14:textId="77777777" w:rsidR="003F6D9D" w:rsidRDefault="003F6D9D" w:rsidP="003F6D9D">
      <w:pPr>
        <w:suppressAutoHyphens/>
        <w:jc w:val="center"/>
        <w:rPr>
          <w:b/>
          <w:spacing w:val="-3"/>
        </w:rPr>
      </w:pPr>
    </w:p>
    <w:p w14:paraId="365C152D" w14:textId="77777777" w:rsidR="003F6D9D" w:rsidRDefault="003F6D9D" w:rsidP="003F6D9D">
      <w:pPr>
        <w:suppressAutoHyphens/>
        <w:jc w:val="center"/>
        <w:rPr>
          <w:spacing w:val="-3"/>
        </w:rPr>
      </w:pPr>
      <w:r>
        <w:rPr>
          <w:spacing w:val="-3"/>
        </w:rPr>
        <w:t>Hearing date: 4</w:t>
      </w:r>
      <w:r w:rsidRPr="003F6D9D">
        <w:rPr>
          <w:spacing w:val="-3"/>
          <w:vertAlign w:val="superscript"/>
        </w:rPr>
        <w:t>th</w:t>
      </w:r>
      <w:r>
        <w:rPr>
          <w:spacing w:val="-3"/>
        </w:rPr>
        <w:t xml:space="preserve"> February 2020</w:t>
      </w:r>
    </w:p>
    <w:p w14:paraId="05A5354B" w14:textId="77777777" w:rsidR="003F6D9D" w:rsidRDefault="003F6D9D" w:rsidP="003F6D9D">
      <w:pPr>
        <w:suppressAutoHyphens/>
        <w:jc w:val="center"/>
        <w:rPr>
          <w:spacing w:val="-3"/>
        </w:rPr>
      </w:pPr>
      <w:r>
        <w:rPr>
          <w:spacing w:val="-3"/>
        </w:rPr>
        <w:t>- - - - - - - - - - - - - - - - - - - - -</w:t>
      </w:r>
    </w:p>
    <w:p w14:paraId="2DFA3ED6" w14:textId="7CBD015F" w:rsidR="003F6D9D" w:rsidRDefault="002D37BA" w:rsidP="002D37BA">
      <w:pPr>
        <w:pStyle w:val="CoverDesc"/>
      </w:pPr>
      <w:r>
        <w:t>Approved Judgment</w:t>
      </w:r>
    </w:p>
    <w:p w14:paraId="7449613E" w14:textId="77777777" w:rsidR="003F6D9D" w:rsidRDefault="003F6D9D" w:rsidP="003F6D9D">
      <w:pPr>
        <w:pStyle w:val="CoverDesc"/>
        <w:rPr>
          <w:sz w:val="24"/>
        </w:rPr>
      </w:pPr>
    </w:p>
    <w:p w14:paraId="1B8E8FB3" w14:textId="77777777" w:rsidR="003F6D9D" w:rsidRDefault="003F6D9D" w:rsidP="003F6D9D"/>
    <w:p w14:paraId="472B8F4F" w14:textId="77777777" w:rsidR="005E2342" w:rsidRPr="000E0CA0" w:rsidRDefault="005E2342" w:rsidP="00021B45">
      <w:pPr>
        <w:suppressAutoHyphens/>
        <w:spacing w:line="480" w:lineRule="auto"/>
        <w:jc w:val="right"/>
        <w:rPr>
          <w:bCs/>
          <w:spacing w:val="-3"/>
          <w:u w:val="single"/>
        </w:rPr>
      </w:pPr>
    </w:p>
    <w:p w14:paraId="6D2595E6" w14:textId="77777777" w:rsidR="005E2342" w:rsidRDefault="005E2342" w:rsidP="00021B45">
      <w:pPr>
        <w:spacing w:line="480" w:lineRule="auto"/>
        <w:rPr>
          <w:bCs/>
        </w:rPr>
      </w:pPr>
    </w:p>
    <w:p w14:paraId="55F48E57" w14:textId="77777777" w:rsidR="003F6D9D" w:rsidRPr="000E0CA0" w:rsidRDefault="003F6D9D" w:rsidP="003F6D9D">
      <w:pPr>
        <w:pStyle w:val="Quote"/>
        <w:sectPr w:rsidR="003F6D9D" w:rsidRPr="000E0CA0">
          <w:headerReference w:type="even" r:id="rId12"/>
          <w:headerReference w:type="default" r:id="rId13"/>
          <w:footerReference w:type="even" r:id="rId14"/>
          <w:footerReference w:type="default" r:id="rId15"/>
          <w:headerReference w:type="first" r:id="rId16"/>
          <w:footerReference w:type="first" r:id="rId17"/>
          <w:pgSz w:w="11909" w:h="16834" w:code="9"/>
          <w:pgMar w:top="720" w:right="1440" w:bottom="720" w:left="1440" w:header="720" w:footer="720" w:gutter="0"/>
          <w:pgNumType w:start="1"/>
          <w:cols w:space="720"/>
        </w:sectPr>
      </w:pPr>
    </w:p>
    <w:p w14:paraId="22058E20" w14:textId="77777777" w:rsidR="005E2342" w:rsidRPr="00B1367D" w:rsidRDefault="0092565D" w:rsidP="00B1367D">
      <w:pPr>
        <w:spacing w:after="240" w:line="480" w:lineRule="auto"/>
        <w:rPr>
          <w:b/>
        </w:rPr>
        <w:sectPr w:rsidR="005E2342" w:rsidRPr="00B1367D">
          <w:headerReference w:type="default" r:id="rId18"/>
          <w:footerReference w:type="default" r:id="rId19"/>
          <w:pgSz w:w="11909" w:h="16834" w:code="9"/>
          <w:pgMar w:top="1440" w:right="1440" w:bottom="1440" w:left="1440" w:header="709" w:footer="709" w:gutter="0"/>
          <w:cols w:space="720"/>
          <w:formProt w:val="0"/>
        </w:sectPr>
      </w:pPr>
      <w:r w:rsidRPr="0092565D">
        <w:rPr>
          <w:b/>
        </w:rPr>
        <w:lastRenderedPageBreak/>
        <w:t>Lord Justice Green:</w:t>
      </w:r>
      <w:r w:rsidR="00B1367D">
        <w:rPr>
          <w:b/>
        </w:rPr>
        <w:t xml:space="preserve"> </w:t>
      </w:r>
    </w:p>
    <w:p w14:paraId="4A2A3864" w14:textId="77777777" w:rsidR="007973B9" w:rsidRPr="000E0CA0" w:rsidRDefault="007973B9" w:rsidP="009A22EB">
      <w:pPr>
        <w:pStyle w:val="ParaLevel1"/>
        <w:tabs>
          <w:tab w:val="num" w:pos="709"/>
        </w:tabs>
        <w:ind w:left="567" w:hanging="567"/>
        <w:rPr>
          <w:b/>
          <w:szCs w:val="24"/>
          <w:u w:val="single"/>
        </w:rPr>
      </w:pPr>
      <w:r w:rsidRPr="000E0CA0">
        <w:rPr>
          <w:b/>
          <w:szCs w:val="24"/>
          <w:u w:val="single"/>
        </w:rPr>
        <w:t>Introduction</w:t>
      </w:r>
      <w:r w:rsidR="002662AF" w:rsidRPr="000E0CA0">
        <w:rPr>
          <w:b/>
          <w:szCs w:val="24"/>
          <w:u w:val="single"/>
        </w:rPr>
        <w:t xml:space="preserve">/the issues </w:t>
      </w:r>
    </w:p>
    <w:p w14:paraId="50C23B34" w14:textId="10026A4C" w:rsidR="00DA1A0E" w:rsidRPr="000E0CA0" w:rsidRDefault="00785597" w:rsidP="002D37BA">
      <w:pPr>
        <w:pStyle w:val="ParaLevel1"/>
        <w:numPr>
          <w:ilvl w:val="0"/>
          <w:numId w:val="13"/>
        </w:numPr>
        <w:ind w:left="567" w:hanging="567"/>
        <w:rPr>
          <w:bCs/>
          <w:szCs w:val="24"/>
        </w:rPr>
      </w:pPr>
      <w:r>
        <w:rPr>
          <w:bCs/>
          <w:szCs w:val="24"/>
        </w:rPr>
        <w:t>T</w:t>
      </w:r>
      <w:r w:rsidR="007973B9" w:rsidRPr="000E0CA0">
        <w:rPr>
          <w:bCs/>
          <w:szCs w:val="24"/>
        </w:rPr>
        <w:t>h</w:t>
      </w:r>
      <w:r w:rsidR="002662AF" w:rsidRPr="000E0CA0">
        <w:rPr>
          <w:bCs/>
          <w:szCs w:val="24"/>
        </w:rPr>
        <w:t xml:space="preserve">is </w:t>
      </w:r>
      <w:r w:rsidR="007973B9" w:rsidRPr="000E0CA0">
        <w:rPr>
          <w:bCs/>
          <w:szCs w:val="24"/>
        </w:rPr>
        <w:t>appeal concerns an oil painting on a wood pane</w:t>
      </w:r>
      <w:r w:rsidR="0036771E" w:rsidRPr="000E0CA0">
        <w:rPr>
          <w:bCs/>
          <w:szCs w:val="24"/>
        </w:rPr>
        <w:t>l, with measurements of 116 x 69 cm,</w:t>
      </w:r>
      <w:r w:rsidR="007973B9" w:rsidRPr="000E0CA0">
        <w:rPr>
          <w:bCs/>
          <w:szCs w:val="24"/>
        </w:rPr>
        <w:t xml:space="preserve"> entitled "</w:t>
      </w:r>
      <w:r w:rsidR="007973B9" w:rsidRPr="000E0CA0">
        <w:rPr>
          <w:bCs/>
          <w:i/>
          <w:iCs/>
          <w:szCs w:val="24"/>
        </w:rPr>
        <w:t>Madonna con Bambino</w:t>
      </w:r>
      <w:r w:rsidR="007973B9" w:rsidRPr="000E0CA0">
        <w:rPr>
          <w:bCs/>
          <w:szCs w:val="24"/>
        </w:rPr>
        <w:t>"</w:t>
      </w:r>
      <w:r w:rsidR="0036771E" w:rsidRPr="000E0CA0">
        <w:rPr>
          <w:bCs/>
          <w:szCs w:val="24"/>
        </w:rPr>
        <w:t>.  It is</w:t>
      </w:r>
      <w:r w:rsidR="00075F11" w:rsidRPr="000E0CA0">
        <w:rPr>
          <w:bCs/>
          <w:szCs w:val="24"/>
        </w:rPr>
        <w:t xml:space="preserve"> presently situated in London</w:t>
      </w:r>
      <w:r w:rsidR="0036771E" w:rsidRPr="000E0CA0">
        <w:rPr>
          <w:bCs/>
          <w:szCs w:val="24"/>
        </w:rPr>
        <w:t xml:space="preserve"> and </w:t>
      </w:r>
      <w:r w:rsidR="007973B9" w:rsidRPr="000E0CA0">
        <w:rPr>
          <w:bCs/>
          <w:szCs w:val="24"/>
        </w:rPr>
        <w:t>is attributed to Giotto di Bondone ("</w:t>
      </w:r>
      <w:r w:rsidR="007973B9" w:rsidRPr="000E0CA0">
        <w:rPr>
          <w:bCs/>
          <w:i/>
          <w:iCs/>
          <w:szCs w:val="24"/>
        </w:rPr>
        <w:t>Giotto</w:t>
      </w:r>
      <w:r w:rsidR="007973B9" w:rsidRPr="000E0CA0">
        <w:rPr>
          <w:bCs/>
          <w:szCs w:val="24"/>
        </w:rPr>
        <w:t xml:space="preserve">") </w:t>
      </w:r>
      <w:r w:rsidR="00B97037" w:rsidRPr="000E0CA0">
        <w:rPr>
          <w:bCs/>
          <w:szCs w:val="24"/>
        </w:rPr>
        <w:t>(</w:t>
      </w:r>
      <w:r w:rsidR="00C10EFD" w:rsidRPr="000E0CA0">
        <w:rPr>
          <w:bCs/>
          <w:szCs w:val="24"/>
        </w:rPr>
        <w:t>1266-1337</w:t>
      </w:r>
      <w:r w:rsidR="0036771E" w:rsidRPr="000E0CA0">
        <w:rPr>
          <w:bCs/>
          <w:szCs w:val="24"/>
        </w:rPr>
        <w:t>)</w:t>
      </w:r>
      <w:r w:rsidR="007973B9" w:rsidRPr="000E0CA0">
        <w:rPr>
          <w:bCs/>
          <w:szCs w:val="24"/>
        </w:rPr>
        <w:t xml:space="preserve">.  </w:t>
      </w:r>
      <w:r w:rsidR="00075F11" w:rsidRPr="000E0CA0">
        <w:rPr>
          <w:bCs/>
          <w:szCs w:val="24"/>
        </w:rPr>
        <w:t xml:space="preserve">It was </w:t>
      </w:r>
      <w:r w:rsidR="006D70BF" w:rsidRPr="000E0CA0">
        <w:rPr>
          <w:bCs/>
          <w:szCs w:val="24"/>
        </w:rPr>
        <w:t>purchased</w:t>
      </w:r>
      <w:r w:rsidR="00075F11" w:rsidRPr="000E0CA0">
        <w:rPr>
          <w:bCs/>
          <w:szCs w:val="24"/>
        </w:rPr>
        <w:t xml:space="preserve"> </w:t>
      </w:r>
      <w:r w:rsidR="0036771E" w:rsidRPr="000E0CA0">
        <w:rPr>
          <w:bCs/>
          <w:szCs w:val="24"/>
        </w:rPr>
        <w:t xml:space="preserve">in 1990 </w:t>
      </w:r>
      <w:r w:rsidR="00075F11" w:rsidRPr="000E0CA0">
        <w:rPr>
          <w:bCs/>
          <w:szCs w:val="24"/>
        </w:rPr>
        <w:t xml:space="preserve">for a relatively nominal sum as </w:t>
      </w:r>
      <w:r w:rsidR="007973B9" w:rsidRPr="000E0CA0">
        <w:rPr>
          <w:bCs/>
          <w:szCs w:val="24"/>
        </w:rPr>
        <w:t>a</w:t>
      </w:r>
      <w:r w:rsidR="00075F11" w:rsidRPr="000E0CA0">
        <w:rPr>
          <w:bCs/>
          <w:szCs w:val="24"/>
        </w:rPr>
        <w:t xml:space="preserve"> </w:t>
      </w:r>
      <w:r w:rsidR="007973B9" w:rsidRPr="000E0CA0">
        <w:rPr>
          <w:bCs/>
          <w:szCs w:val="24"/>
        </w:rPr>
        <w:t>19</w:t>
      </w:r>
      <w:r w:rsidR="007973B9" w:rsidRPr="000E0CA0">
        <w:rPr>
          <w:bCs/>
          <w:szCs w:val="24"/>
          <w:vertAlign w:val="superscript"/>
        </w:rPr>
        <w:t>th</w:t>
      </w:r>
      <w:r w:rsidR="007973B9" w:rsidRPr="000E0CA0">
        <w:rPr>
          <w:bCs/>
          <w:szCs w:val="24"/>
        </w:rPr>
        <w:t xml:space="preserve"> century imitation</w:t>
      </w:r>
      <w:r w:rsidR="006D70BF" w:rsidRPr="000E0CA0">
        <w:rPr>
          <w:bCs/>
          <w:szCs w:val="24"/>
        </w:rPr>
        <w:t xml:space="preserve">.  Its </w:t>
      </w:r>
      <w:r w:rsidR="00C10EFD" w:rsidRPr="000E0CA0">
        <w:rPr>
          <w:bCs/>
          <w:szCs w:val="24"/>
        </w:rPr>
        <w:t xml:space="preserve">subsequent </w:t>
      </w:r>
      <w:r w:rsidR="006D70BF" w:rsidRPr="000E0CA0">
        <w:rPr>
          <w:bCs/>
          <w:szCs w:val="24"/>
        </w:rPr>
        <w:t xml:space="preserve">authoritative attribution to Giotto means that it has a </w:t>
      </w:r>
      <w:r w:rsidR="00075F11" w:rsidRPr="000E0CA0">
        <w:rPr>
          <w:bCs/>
          <w:szCs w:val="24"/>
        </w:rPr>
        <w:t xml:space="preserve">present </w:t>
      </w:r>
      <w:r w:rsidR="006D70BF" w:rsidRPr="000E0CA0">
        <w:rPr>
          <w:bCs/>
          <w:szCs w:val="24"/>
        </w:rPr>
        <w:t xml:space="preserve">value of about £10million and unsurprisingly it is now treated by </w:t>
      </w:r>
      <w:r w:rsidR="007973B9" w:rsidRPr="000E0CA0">
        <w:rPr>
          <w:bCs/>
          <w:szCs w:val="24"/>
        </w:rPr>
        <w:t xml:space="preserve">the Italian authorities </w:t>
      </w:r>
      <w:r w:rsidR="006D70BF" w:rsidRPr="000E0CA0">
        <w:rPr>
          <w:bCs/>
          <w:szCs w:val="24"/>
        </w:rPr>
        <w:t xml:space="preserve">as of </w:t>
      </w:r>
      <w:r w:rsidR="007973B9" w:rsidRPr="000E0CA0">
        <w:rPr>
          <w:bCs/>
          <w:szCs w:val="24"/>
        </w:rPr>
        <w:t>exceptional cultural and historical importance.</w:t>
      </w:r>
      <w:r w:rsidR="00B97037" w:rsidRPr="000E0CA0">
        <w:rPr>
          <w:bCs/>
          <w:szCs w:val="24"/>
        </w:rPr>
        <w:t xml:space="preserve"> </w:t>
      </w:r>
    </w:p>
    <w:p w14:paraId="466622CA" w14:textId="5E298F15" w:rsidR="00DA1A0E" w:rsidRPr="000E0CA0" w:rsidRDefault="00075F11" w:rsidP="002D37BA">
      <w:pPr>
        <w:pStyle w:val="ParaLevel1"/>
        <w:numPr>
          <w:ilvl w:val="0"/>
          <w:numId w:val="13"/>
        </w:numPr>
        <w:ind w:left="567" w:hanging="567"/>
        <w:rPr>
          <w:bCs/>
          <w:szCs w:val="24"/>
        </w:rPr>
      </w:pPr>
      <w:r w:rsidRPr="000E0CA0">
        <w:rPr>
          <w:bCs/>
          <w:szCs w:val="24"/>
        </w:rPr>
        <w:t xml:space="preserve">The painting arrived in London </w:t>
      </w:r>
      <w:r w:rsidR="00817F38" w:rsidRPr="000E0CA0">
        <w:rPr>
          <w:bCs/>
          <w:szCs w:val="24"/>
        </w:rPr>
        <w:t xml:space="preserve">from Italy </w:t>
      </w:r>
      <w:r w:rsidR="0020787B" w:rsidRPr="000E0CA0">
        <w:rPr>
          <w:bCs/>
          <w:szCs w:val="24"/>
        </w:rPr>
        <w:t>on 14</w:t>
      </w:r>
      <w:r w:rsidR="0020787B" w:rsidRPr="000E0CA0">
        <w:rPr>
          <w:bCs/>
          <w:szCs w:val="24"/>
          <w:vertAlign w:val="superscript"/>
        </w:rPr>
        <w:t>th</w:t>
      </w:r>
      <w:r w:rsidR="0020787B" w:rsidRPr="000E0CA0">
        <w:rPr>
          <w:bCs/>
          <w:szCs w:val="24"/>
        </w:rPr>
        <w:t xml:space="preserve"> </w:t>
      </w:r>
      <w:r w:rsidRPr="000E0CA0">
        <w:rPr>
          <w:bCs/>
          <w:szCs w:val="24"/>
        </w:rPr>
        <w:t xml:space="preserve">February 2007. But it </w:t>
      </w:r>
      <w:r w:rsidR="006B23CB">
        <w:rPr>
          <w:bCs/>
          <w:szCs w:val="24"/>
        </w:rPr>
        <w:t xml:space="preserve">is </w:t>
      </w:r>
      <w:r w:rsidRPr="000E0CA0">
        <w:rPr>
          <w:bCs/>
          <w:szCs w:val="24"/>
        </w:rPr>
        <w:t>common ground in</w:t>
      </w:r>
      <w:r w:rsidR="006D70BF" w:rsidRPr="000E0CA0">
        <w:rPr>
          <w:bCs/>
          <w:szCs w:val="24"/>
        </w:rPr>
        <w:t xml:space="preserve"> this appeal that under the law of Italy </w:t>
      </w:r>
      <w:r w:rsidR="00B97037" w:rsidRPr="000E0CA0">
        <w:rPr>
          <w:bCs/>
          <w:szCs w:val="24"/>
        </w:rPr>
        <w:t>that export</w:t>
      </w:r>
      <w:r w:rsidRPr="000E0CA0">
        <w:rPr>
          <w:bCs/>
          <w:szCs w:val="24"/>
        </w:rPr>
        <w:t xml:space="preserve"> </w:t>
      </w:r>
      <w:r w:rsidR="00B97037" w:rsidRPr="000E0CA0">
        <w:rPr>
          <w:bCs/>
          <w:szCs w:val="24"/>
        </w:rPr>
        <w:t>was unlawful.</w:t>
      </w:r>
      <w:r w:rsidR="006D70BF" w:rsidRPr="000E0CA0">
        <w:rPr>
          <w:bCs/>
          <w:szCs w:val="24"/>
        </w:rPr>
        <w:t xml:space="preserve"> </w:t>
      </w:r>
      <w:r w:rsidR="00B97037" w:rsidRPr="000E0CA0">
        <w:rPr>
          <w:bCs/>
          <w:szCs w:val="24"/>
        </w:rPr>
        <w:t xml:space="preserve">This was because an </w:t>
      </w:r>
      <w:r w:rsidRPr="000E0CA0">
        <w:rPr>
          <w:bCs/>
          <w:szCs w:val="24"/>
        </w:rPr>
        <w:t xml:space="preserve">earlier </w:t>
      </w:r>
      <w:r w:rsidR="00B97037" w:rsidRPr="000E0CA0">
        <w:rPr>
          <w:bCs/>
          <w:szCs w:val="24"/>
        </w:rPr>
        <w:t xml:space="preserve">licence </w:t>
      </w:r>
      <w:r w:rsidRPr="000E0CA0">
        <w:rPr>
          <w:bCs/>
          <w:szCs w:val="24"/>
        </w:rPr>
        <w:t>held by</w:t>
      </w:r>
      <w:r w:rsidR="00BB65F5" w:rsidRPr="000E0CA0">
        <w:rPr>
          <w:bCs/>
          <w:szCs w:val="24"/>
        </w:rPr>
        <w:t xml:space="preserve"> </w:t>
      </w:r>
      <w:r w:rsidR="00B97037" w:rsidRPr="000E0CA0">
        <w:rPr>
          <w:bCs/>
          <w:szCs w:val="24"/>
        </w:rPr>
        <w:t>Mrs Simonis</w:t>
      </w:r>
      <w:r w:rsidR="00BB65F5" w:rsidRPr="000E0CA0">
        <w:rPr>
          <w:bCs/>
          <w:szCs w:val="24"/>
        </w:rPr>
        <w:t xml:space="preserve">, the Appellant, </w:t>
      </w:r>
      <w:r w:rsidR="00B97037" w:rsidRPr="000E0CA0">
        <w:rPr>
          <w:bCs/>
          <w:szCs w:val="24"/>
        </w:rPr>
        <w:t>had expired</w:t>
      </w:r>
      <w:r w:rsidR="00567F14" w:rsidRPr="000E0CA0">
        <w:rPr>
          <w:bCs/>
          <w:szCs w:val="24"/>
        </w:rPr>
        <w:t xml:space="preserve"> </w:t>
      </w:r>
      <w:r w:rsidRPr="000E0CA0">
        <w:rPr>
          <w:bCs/>
          <w:szCs w:val="24"/>
        </w:rPr>
        <w:t xml:space="preserve">before the date of export </w:t>
      </w:r>
      <w:r w:rsidR="00567F14" w:rsidRPr="000E0CA0">
        <w:rPr>
          <w:bCs/>
          <w:szCs w:val="24"/>
        </w:rPr>
        <w:t xml:space="preserve">and </w:t>
      </w:r>
      <w:r w:rsidRPr="000E0CA0">
        <w:rPr>
          <w:bCs/>
          <w:szCs w:val="24"/>
        </w:rPr>
        <w:t xml:space="preserve">consequently </w:t>
      </w:r>
      <w:r w:rsidR="00567F14" w:rsidRPr="000E0CA0">
        <w:rPr>
          <w:bCs/>
          <w:szCs w:val="24"/>
        </w:rPr>
        <w:t xml:space="preserve">the dispatch of the painting from Italy was unauthorised </w:t>
      </w:r>
      <w:r w:rsidR="00827B37" w:rsidRPr="000E0CA0">
        <w:rPr>
          <w:bCs/>
          <w:szCs w:val="24"/>
        </w:rPr>
        <w:t>under the extant licensing regime</w:t>
      </w:r>
      <w:r w:rsidR="00817F38" w:rsidRPr="000E0CA0">
        <w:rPr>
          <w:bCs/>
          <w:szCs w:val="24"/>
        </w:rPr>
        <w:t>.</w:t>
      </w:r>
      <w:r w:rsidR="006D70BF" w:rsidRPr="000E0CA0">
        <w:rPr>
          <w:bCs/>
          <w:szCs w:val="24"/>
        </w:rPr>
        <w:t xml:space="preserve"> </w:t>
      </w:r>
    </w:p>
    <w:p w14:paraId="5751849C" w14:textId="0134036E" w:rsidR="00DA1A0E" w:rsidRPr="000E0CA0" w:rsidRDefault="00DA1A0E" w:rsidP="002D37BA">
      <w:pPr>
        <w:pStyle w:val="ParaLevel1"/>
        <w:numPr>
          <w:ilvl w:val="0"/>
          <w:numId w:val="13"/>
        </w:numPr>
        <w:ind w:left="567" w:hanging="567"/>
        <w:rPr>
          <w:bCs/>
          <w:szCs w:val="24"/>
        </w:rPr>
      </w:pPr>
      <w:r w:rsidRPr="000E0CA0">
        <w:rPr>
          <w:bCs/>
          <w:szCs w:val="24"/>
        </w:rPr>
        <w:t xml:space="preserve">The </w:t>
      </w:r>
      <w:r w:rsidR="00BB65F5" w:rsidRPr="000E0CA0">
        <w:rPr>
          <w:bCs/>
          <w:szCs w:val="24"/>
        </w:rPr>
        <w:t>A</w:t>
      </w:r>
      <w:r w:rsidRPr="000E0CA0">
        <w:rPr>
          <w:bCs/>
          <w:szCs w:val="24"/>
        </w:rPr>
        <w:t xml:space="preserve">ppellant wishes to remove the painting to Switzerland, which is outside of the EU.  She sought an export licence to this effect from the Arts Council, the relevant competent authority in this jurisdiction.  By a decision of </w:t>
      </w:r>
      <w:r w:rsidR="00093A2D" w:rsidRPr="000E0CA0">
        <w:rPr>
          <w:bCs/>
          <w:szCs w:val="24"/>
        </w:rPr>
        <w:t>8</w:t>
      </w:r>
      <w:r w:rsidR="00093A2D" w:rsidRPr="000E0CA0">
        <w:rPr>
          <w:bCs/>
          <w:szCs w:val="24"/>
          <w:vertAlign w:val="superscript"/>
        </w:rPr>
        <w:t>th</w:t>
      </w:r>
      <w:r w:rsidR="00093A2D" w:rsidRPr="000E0CA0">
        <w:rPr>
          <w:bCs/>
          <w:szCs w:val="24"/>
        </w:rPr>
        <w:t xml:space="preserve"> May 2017,</w:t>
      </w:r>
      <w:r w:rsidRPr="000E0CA0">
        <w:rPr>
          <w:bCs/>
          <w:szCs w:val="24"/>
        </w:rPr>
        <w:t xml:space="preserve"> the Arts Council decided that it had no power </w:t>
      </w:r>
      <w:r w:rsidR="00BB65F5" w:rsidRPr="000E0CA0">
        <w:rPr>
          <w:bCs/>
          <w:szCs w:val="24"/>
        </w:rPr>
        <w:t xml:space="preserve">in law </w:t>
      </w:r>
      <w:r w:rsidRPr="000E0CA0">
        <w:rPr>
          <w:bCs/>
          <w:szCs w:val="24"/>
        </w:rPr>
        <w:t>to grant a licence for the export from the EU of the painting since it was not the relevant competent authority</w:t>
      </w:r>
      <w:r w:rsidR="00093A2D" w:rsidRPr="000E0CA0">
        <w:rPr>
          <w:bCs/>
          <w:szCs w:val="24"/>
        </w:rPr>
        <w:t xml:space="preserve"> under the </w:t>
      </w:r>
      <w:r w:rsidR="00817F38" w:rsidRPr="000E0CA0">
        <w:rPr>
          <w:bCs/>
          <w:szCs w:val="24"/>
        </w:rPr>
        <w:t xml:space="preserve">applicable </w:t>
      </w:r>
      <w:r w:rsidR="00093A2D" w:rsidRPr="000E0CA0">
        <w:rPr>
          <w:bCs/>
          <w:szCs w:val="24"/>
        </w:rPr>
        <w:t>EU law</w:t>
      </w:r>
      <w:r w:rsidRPr="000E0CA0">
        <w:rPr>
          <w:bCs/>
          <w:szCs w:val="24"/>
        </w:rPr>
        <w:t xml:space="preserve">.  </w:t>
      </w:r>
      <w:r w:rsidR="00817F38" w:rsidRPr="000E0CA0">
        <w:rPr>
          <w:bCs/>
          <w:szCs w:val="24"/>
        </w:rPr>
        <w:t xml:space="preserve">The </w:t>
      </w:r>
      <w:r w:rsidRPr="000E0CA0">
        <w:rPr>
          <w:bCs/>
          <w:szCs w:val="24"/>
        </w:rPr>
        <w:t xml:space="preserve">Arts Council could only </w:t>
      </w:r>
      <w:r w:rsidR="00BB65F5" w:rsidRPr="000E0CA0">
        <w:rPr>
          <w:bCs/>
          <w:szCs w:val="24"/>
        </w:rPr>
        <w:t xml:space="preserve">acquire </w:t>
      </w:r>
      <w:r w:rsidRPr="000E0CA0">
        <w:rPr>
          <w:bCs/>
          <w:szCs w:val="24"/>
        </w:rPr>
        <w:t xml:space="preserve">jurisdiction to grant </w:t>
      </w:r>
      <w:r w:rsidR="00093A2D" w:rsidRPr="000E0CA0">
        <w:rPr>
          <w:bCs/>
          <w:szCs w:val="24"/>
        </w:rPr>
        <w:t xml:space="preserve">such </w:t>
      </w:r>
      <w:r w:rsidRPr="000E0CA0">
        <w:rPr>
          <w:bCs/>
          <w:szCs w:val="24"/>
        </w:rPr>
        <w:t xml:space="preserve">a licence following the </w:t>
      </w:r>
      <w:r w:rsidRPr="000E0CA0">
        <w:rPr>
          <w:bCs/>
          <w:i/>
          <w:iCs/>
          <w:szCs w:val="24"/>
        </w:rPr>
        <w:t>lawful</w:t>
      </w:r>
      <w:r w:rsidRPr="000E0CA0">
        <w:rPr>
          <w:bCs/>
          <w:szCs w:val="24"/>
        </w:rPr>
        <w:t xml:space="preserve"> dispatch to the United Kingdom of the painting; but since the dispatch had been in violation of Italian law, and was hence not “</w:t>
      </w:r>
      <w:r w:rsidRPr="000E0CA0">
        <w:rPr>
          <w:bCs/>
          <w:i/>
          <w:iCs/>
          <w:szCs w:val="24"/>
        </w:rPr>
        <w:t>lawful</w:t>
      </w:r>
      <w:r w:rsidRPr="000E0CA0">
        <w:rPr>
          <w:bCs/>
          <w:szCs w:val="24"/>
        </w:rPr>
        <w:t>”, the Arts Council had no power to grant a licence for removal of the painting out of the EU.</w:t>
      </w:r>
      <w:r w:rsidR="0099587C" w:rsidRPr="000E0CA0">
        <w:rPr>
          <w:bCs/>
          <w:szCs w:val="24"/>
        </w:rPr>
        <w:t xml:space="preserve"> That power lay with the Italian authorities. </w:t>
      </w:r>
      <w:r w:rsidRPr="000E0CA0">
        <w:rPr>
          <w:bCs/>
          <w:szCs w:val="24"/>
        </w:rPr>
        <w:t xml:space="preserve">  </w:t>
      </w:r>
      <w:r w:rsidR="00BB65F5" w:rsidRPr="000E0CA0">
        <w:rPr>
          <w:bCs/>
          <w:szCs w:val="24"/>
        </w:rPr>
        <w:t xml:space="preserve">In short it was the wrong competent authority to grant any such licence. </w:t>
      </w:r>
      <w:r w:rsidRPr="000E0CA0">
        <w:rPr>
          <w:bCs/>
          <w:szCs w:val="24"/>
        </w:rPr>
        <w:t>However, the Arts Council did confirm that it could grant a licence to Mrs Simonis to return the painting to Italy</w:t>
      </w:r>
      <w:r w:rsidR="0099587C" w:rsidRPr="000E0CA0">
        <w:rPr>
          <w:bCs/>
          <w:szCs w:val="24"/>
        </w:rPr>
        <w:t xml:space="preserve">. </w:t>
      </w:r>
      <w:r w:rsidRPr="000E0CA0">
        <w:rPr>
          <w:bCs/>
          <w:szCs w:val="24"/>
        </w:rPr>
        <w:t xml:space="preserve"> </w:t>
      </w:r>
      <w:r w:rsidR="001920D2" w:rsidRPr="000E0CA0">
        <w:rPr>
          <w:bCs/>
          <w:szCs w:val="24"/>
        </w:rPr>
        <w:t xml:space="preserve">The competent authority in Italy is the </w:t>
      </w:r>
      <w:r w:rsidR="001920D2" w:rsidRPr="000E0CA0">
        <w:rPr>
          <w:bCs/>
          <w:i/>
          <w:iCs/>
          <w:szCs w:val="24"/>
          <w:lang w:val="en"/>
        </w:rPr>
        <w:t>Ministero de</w:t>
      </w:r>
      <w:r w:rsidR="009B54B7">
        <w:rPr>
          <w:bCs/>
          <w:i/>
          <w:iCs/>
          <w:szCs w:val="24"/>
          <w:lang w:val="en"/>
        </w:rPr>
        <w:t>i</w:t>
      </w:r>
      <w:r w:rsidR="001920D2" w:rsidRPr="000E0CA0">
        <w:rPr>
          <w:bCs/>
          <w:i/>
          <w:iCs/>
          <w:szCs w:val="24"/>
          <w:lang w:val="en"/>
        </w:rPr>
        <w:t xml:space="preserve"> Beni </w:t>
      </w:r>
      <w:r w:rsidR="009B54B7">
        <w:rPr>
          <w:bCs/>
          <w:i/>
          <w:iCs/>
          <w:szCs w:val="24"/>
          <w:lang w:val="en"/>
        </w:rPr>
        <w:t>e</w:t>
      </w:r>
      <w:r w:rsidR="001920D2" w:rsidRPr="000E0CA0">
        <w:rPr>
          <w:bCs/>
          <w:i/>
          <w:iCs/>
          <w:szCs w:val="24"/>
          <w:lang w:val="en"/>
        </w:rPr>
        <w:t xml:space="preserve"> delle Attivit</w:t>
      </w:r>
      <w:r w:rsidR="006B23CB">
        <w:rPr>
          <w:bCs/>
          <w:i/>
          <w:iCs/>
          <w:szCs w:val="24"/>
          <w:lang w:val="en"/>
        </w:rPr>
        <w:t>à</w:t>
      </w:r>
      <w:r w:rsidR="001920D2" w:rsidRPr="000E0CA0">
        <w:rPr>
          <w:bCs/>
          <w:i/>
          <w:iCs/>
          <w:szCs w:val="24"/>
          <w:lang w:val="en"/>
        </w:rPr>
        <w:t xml:space="preserve"> Cultural</w:t>
      </w:r>
      <w:r w:rsidR="006B23CB">
        <w:rPr>
          <w:bCs/>
          <w:i/>
          <w:iCs/>
          <w:szCs w:val="24"/>
          <w:lang w:val="en"/>
        </w:rPr>
        <w:t>i</w:t>
      </w:r>
      <w:r w:rsidR="001920D2" w:rsidRPr="000E0CA0">
        <w:rPr>
          <w:bCs/>
          <w:i/>
          <w:iCs/>
          <w:szCs w:val="24"/>
          <w:lang w:val="en"/>
        </w:rPr>
        <w:t xml:space="preserve"> e del Turismo</w:t>
      </w:r>
      <w:r w:rsidR="001920D2" w:rsidRPr="000E0CA0">
        <w:rPr>
          <w:bCs/>
          <w:szCs w:val="24"/>
          <w:lang w:val="en"/>
        </w:rPr>
        <w:t xml:space="preserve"> (“</w:t>
      </w:r>
      <w:r w:rsidR="001920D2" w:rsidRPr="000E0CA0">
        <w:rPr>
          <w:bCs/>
          <w:i/>
          <w:iCs/>
          <w:szCs w:val="24"/>
          <w:lang w:val="en"/>
        </w:rPr>
        <w:t>MIBAC</w:t>
      </w:r>
      <w:r w:rsidR="001920D2" w:rsidRPr="000E0CA0">
        <w:rPr>
          <w:bCs/>
          <w:szCs w:val="24"/>
          <w:lang w:val="en"/>
        </w:rPr>
        <w:t>”)</w:t>
      </w:r>
    </w:p>
    <w:p w14:paraId="6D593DB8" w14:textId="77777777" w:rsidR="006D70BF" w:rsidRPr="000E0CA0" w:rsidRDefault="000C19D8" w:rsidP="002D37BA">
      <w:pPr>
        <w:pStyle w:val="ParaLevel1"/>
        <w:numPr>
          <w:ilvl w:val="0"/>
          <w:numId w:val="13"/>
        </w:numPr>
        <w:tabs>
          <w:tab w:val="num" w:pos="567"/>
        </w:tabs>
        <w:ind w:left="567" w:hanging="567"/>
        <w:rPr>
          <w:bCs/>
          <w:szCs w:val="24"/>
        </w:rPr>
      </w:pPr>
      <w:r w:rsidRPr="000E0CA0">
        <w:rPr>
          <w:bCs/>
          <w:szCs w:val="24"/>
        </w:rPr>
        <w:t xml:space="preserve">At the outset of this appeal there were two quite discrete grounds of appeal.  The first involved the Appellant arguing that the law which governed the legality of the </w:t>
      </w:r>
      <w:r w:rsidR="0099587C" w:rsidRPr="000E0CA0">
        <w:rPr>
          <w:bCs/>
          <w:szCs w:val="24"/>
        </w:rPr>
        <w:t>“</w:t>
      </w:r>
      <w:r w:rsidRPr="000E0CA0">
        <w:rPr>
          <w:bCs/>
          <w:i/>
          <w:iCs/>
          <w:szCs w:val="24"/>
        </w:rPr>
        <w:t>dispatch</w:t>
      </w:r>
      <w:r w:rsidR="0099587C" w:rsidRPr="000E0CA0">
        <w:rPr>
          <w:bCs/>
          <w:i/>
          <w:iCs/>
          <w:szCs w:val="24"/>
        </w:rPr>
        <w:t>”</w:t>
      </w:r>
      <w:r w:rsidRPr="000E0CA0">
        <w:rPr>
          <w:bCs/>
          <w:szCs w:val="24"/>
        </w:rPr>
        <w:t xml:space="preserve"> </w:t>
      </w:r>
      <w:r w:rsidR="00817F38" w:rsidRPr="000E0CA0">
        <w:rPr>
          <w:bCs/>
          <w:szCs w:val="24"/>
        </w:rPr>
        <w:t xml:space="preserve">of the painting from Italy </w:t>
      </w:r>
      <w:r w:rsidRPr="000E0CA0">
        <w:rPr>
          <w:bCs/>
          <w:szCs w:val="24"/>
        </w:rPr>
        <w:t>was EU law which attributed</w:t>
      </w:r>
      <w:r w:rsidR="0099587C" w:rsidRPr="000E0CA0">
        <w:rPr>
          <w:bCs/>
          <w:szCs w:val="24"/>
        </w:rPr>
        <w:t xml:space="preserve"> an</w:t>
      </w:r>
      <w:r w:rsidRPr="000E0CA0">
        <w:rPr>
          <w:bCs/>
          <w:szCs w:val="24"/>
        </w:rPr>
        <w:t xml:space="preserve"> autonomous </w:t>
      </w:r>
      <w:r w:rsidR="009B54B7">
        <w:rPr>
          <w:bCs/>
          <w:szCs w:val="24"/>
        </w:rPr>
        <w:t xml:space="preserve">meaning </w:t>
      </w:r>
      <w:r w:rsidR="0099587C" w:rsidRPr="000E0CA0">
        <w:rPr>
          <w:bCs/>
          <w:szCs w:val="24"/>
        </w:rPr>
        <w:t>to th</w:t>
      </w:r>
      <w:r w:rsidR="009B54B7">
        <w:rPr>
          <w:bCs/>
          <w:szCs w:val="24"/>
        </w:rPr>
        <w:t>at</w:t>
      </w:r>
      <w:r w:rsidR="0099587C" w:rsidRPr="000E0CA0">
        <w:rPr>
          <w:bCs/>
          <w:szCs w:val="24"/>
        </w:rPr>
        <w:t xml:space="preserve"> phrase and which led to the conclusion that the competent authority was not MIBAC. </w:t>
      </w:r>
      <w:r w:rsidRPr="000E0CA0">
        <w:rPr>
          <w:bCs/>
          <w:szCs w:val="24"/>
        </w:rPr>
        <w:t xml:space="preserve"> But in the alternative </w:t>
      </w:r>
      <w:r w:rsidRPr="000E0CA0">
        <w:rPr>
          <w:bCs/>
          <w:szCs w:val="24"/>
          <w:u w:val="single"/>
        </w:rPr>
        <w:t>if</w:t>
      </w:r>
      <w:r w:rsidRPr="000E0CA0">
        <w:rPr>
          <w:bCs/>
          <w:szCs w:val="24"/>
        </w:rPr>
        <w:t xml:space="preserve"> this was wrong and “</w:t>
      </w:r>
      <w:r w:rsidRPr="000E0CA0">
        <w:rPr>
          <w:bCs/>
          <w:i/>
          <w:szCs w:val="24"/>
        </w:rPr>
        <w:t>dispatch”</w:t>
      </w:r>
      <w:r w:rsidRPr="000E0CA0">
        <w:rPr>
          <w:bCs/>
          <w:szCs w:val="24"/>
        </w:rPr>
        <w:t xml:space="preserve"> was governed by Italian law then </w:t>
      </w:r>
      <w:r w:rsidR="003F0517" w:rsidRPr="000E0CA0">
        <w:rPr>
          <w:bCs/>
          <w:szCs w:val="24"/>
        </w:rPr>
        <w:t xml:space="preserve">the second argument was that </w:t>
      </w:r>
      <w:r w:rsidRPr="000E0CA0">
        <w:rPr>
          <w:bCs/>
          <w:szCs w:val="24"/>
        </w:rPr>
        <w:t xml:space="preserve">the </w:t>
      </w:r>
      <w:r w:rsidR="00817F38" w:rsidRPr="000E0CA0">
        <w:rPr>
          <w:bCs/>
          <w:szCs w:val="24"/>
        </w:rPr>
        <w:t xml:space="preserve">relevant </w:t>
      </w:r>
      <w:r w:rsidRPr="000E0CA0">
        <w:rPr>
          <w:bCs/>
          <w:szCs w:val="24"/>
        </w:rPr>
        <w:t>Italian law was unlawful, at least in so far as it applied to the facts of the present case.</w:t>
      </w:r>
    </w:p>
    <w:p w14:paraId="13A1AF03" w14:textId="5E6561C1" w:rsidR="000C19D8" w:rsidRPr="000E0CA0" w:rsidRDefault="007973B9" w:rsidP="002D37BA">
      <w:pPr>
        <w:pStyle w:val="ParaLevel1"/>
        <w:numPr>
          <w:ilvl w:val="0"/>
          <w:numId w:val="13"/>
        </w:numPr>
        <w:ind w:left="567" w:hanging="567"/>
        <w:rPr>
          <w:bCs/>
          <w:szCs w:val="24"/>
        </w:rPr>
      </w:pPr>
      <w:r w:rsidRPr="000E0CA0">
        <w:rPr>
          <w:bCs/>
          <w:szCs w:val="24"/>
        </w:rPr>
        <w:t xml:space="preserve">The </w:t>
      </w:r>
      <w:r w:rsidRPr="006D0E3C">
        <w:rPr>
          <w:bCs/>
          <w:szCs w:val="24"/>
        </w:rPr>
        <w:t xml:space="preserve">first </w:t>
      </w:r>
      <w:r w:rsidR="000C19D8" w:rsidRPr="000E0CA0">
        <w:rPr>
          <w:bCs/>
          <w:szCs w:val="24"/>
        </w:rPr>
        <w:t xml:space="preserve">ground </w:t>
      </w:r>
      <w:r w:rsidRPr="000E0CA0">
        <w:rPr>
          <w:bCs/>
          <w:szCs w:val="24"/>
        </w:rPr>
        <w:t xml:space="preserve">concerns </w:t>
      </w:r>
      <w:r w:rsidR="006D70BF" w:rsidRPr="000E0CA0">
        <w:rPr>
          <w:bCs/>
          <w:szCs w:val="24"/>
        </w:rPr>
        <w:t xml:space="preserve">the identity of the competent authority empowered to </w:t>
      </w:r>
      <w:r w:rsidR="000C19D8" w:rsidRPr="000E0CA0">
        <w:rPr>
          <w:bCs/>
          <w:szCs w:val="24"/>
        </w:rPr>
        <w:t>govern the “</w:t>
      </w:r>
      <w:r w:rsidR="000C19D8" w:rsidRPr="000E0CA0">
        <w:rPr>
          <w:bCs/>
          <w:i/>
          <w:iCs/>
          <w:szCs w:val="24"/>
        </w:rPr>
        <w:t>dispatch</w:t>
      </w:r>
      <w:r w:rsidR="000C19D8" w:rsidRPr="000E0CA0">
        <w:rPr>
          <w:bCs/>
          <w:szCs w:val="24"/>
        </w:rPr>
        <w:t>” of a cultural item</w:t>
      </w:r>
      <w:r w:rsidR="00E31866" w:rsidRPr="000E0CA0">
        <w:rPr>
          <w:bCs/>
          <w:szCs w:val="24"/>
        </w:rPr>
        <w:t xml:space="preserve"> from a Member State.</w:t>
      </w:r>
      <w:r w:rsidR="006D70BF" w:rsidRPr="000E0CA0">
        <w:rPr>
          <w:bCs/>
          <w:szCs w:val="24"/>
        </w:rPr>
        <w:t xml:space="preserve">  The </w:t>
      </w:r>
      <w:r w:rsidR="00BB65F5" w:rsidRPr="000E0CA0">
        <w:rPr>
          <w:bCs/>
          <w:szCs w:val="24"/>
        </w:rPr>
        <w:t>A</w:t>
      </w:r>
      <w:r w:rsidR="006D70BF" w:rsidRPr="000E0CA0">
        <w:rPr>
          <w:bCs/>
          <w:szCs w:val="24"/>
        </w:rPr>
        <w:t xml:space="preserve">ppellant </w:t>
      </w:r>
      <w:r w:rsidR="00E31866" w:rsidRPr="000E0CA0">
        <w:rPr>
          <w:bCs/>
          <w:szCs w:val="24"/>
        </w:rPr>
        <w:t xml:space="preserve">originally </w:t>
      </w:r>
      <w:r w:rsidR="006D70BF" w:rsidRPr="000E0CA0">
        <w:rPr>
          <w:bCs/>
          <w:szCs w:val="24"/>
        </w:rPr>
        <w:t>argue</w:t>
      </w:r>
      <w:r w:rsidR="00E31866" w:rsidRPr="000E0CA0">
        <w:rPr>
          <w:bCs/>
          <w:szCs w:val="24"/>
        </w:rPr>
        <w:t>d</w:t>
      </w:r>
      <w:r w:rsidR="006D70BF" w:rsidRPr="000E0CA0">
        <w:rPr>
          <w:bCs/>
          <w:szCs w:val="24"/>
        </w:rPr>
        <w:t xml:space="preserve"> that since the painting is situated in the United Kingdom the competent authority is the Arts Council which has statutory responsibility in this jurisdiction over the export of cultural items</w:t>
      </w:r>
      <w:r w:rsidR="000C19D8" w:rsidRPr="000E0CA0">
        <w:rPr>
          <w:bCs/>
          <w:szCs w:val="24"/>
        </w:rPr>
        <w:t xml:space="preserve"> from the EU</w:t>
      </w:r>
      <w:r w:rsidR="006D70BF" w:rsidRPr="000E0CA0">
        <w:rPr>
          <w:bCs/>
          <w:szCs w:val="24"/>
        </w:rPr>
        <w:t xml:space="preserve">.  </w:t>
      </w:r>
      <w:r w:rsidR="00BB65F5" w:rsidRPr="000E0CA0">
        <w:rPr>
          <w:bCs/>
          <w:szCs w:val="24"/>
        </w:rPr>
        <w:t>T</w:t>
      </w:r>
      <w:r w:rsidR="006D70BF" w:rsidRPr="000E0CA0">
        <w:rPr>
          <w:bCs/>
          <w:szCs w:val="24"/>
        </w:rPr>
        <w:t xml:space="preserve">he Arts Council, and the Italian competent authority, </w:t>
      </w:r>
      <w:r w:rsidR="00BB65F5" w:rsidRPr="000E0CA0">
        <w:rPr>
          <w:bCs/>
          <w:szCs w:val="24"/>
        </w:rPr>
        <w:t xml:space="preserve">disagree and say that it is </w:t>
      </w:r>
      <w:r w:rsidR="00075F11" w:rsidRPr="000E0CA0">
        <w:rPr>
          <w:bCs/>
          <w:szCs w:val="24"/>
        </w:rPr>
        <w:t xml:space="preserve">the </w:t>
      </w:r>
      <w:r w:rsidR="006D70BF" w:rsidRPr="000E0CA0">
        <w:rPr>
          <w:bCs/>
          <w:szCs w:val="24"/>
        </w:rPr>
        <w:t>Italian authority</w:t>
      </w:r>
      <w:r w:rsidR="00075F11" w:rsidRPr="000E0CA0">
        <w:rPr>
          <w:bCs/>
          <w:szCs w:val="24"/>
        </w:rPr>
        <w:t xml:space="preserve"> that has jurisdiction</w:t>
      </w:r>
      <w:r w:rsidR="006D70BF" w:rsidRPr="000E0CA0">
        <w:rPr>
          <w:bCs/>
          <w:szCs w:val="24"/>
        </w:rPr>
        <w:t xml:space="preserve">.  </w:t>
      </w:r>
      <w:r w:rsidR="00BB65F5" w:rsidRPr="000E0CA0">
        <w:rPr>
          <w:bCs/>
          <w:szCs w:val="24"/>
        </w:rPr>
        <w:t xml:space="preserve">Resolution of this dispute turns </w:t>
      </w:r>
      <w:r w:rsidR="005E5E7E" w:rsidRPr="000E0CA0">
        <w:rPr>
          <w:bCs/>
          <w:szCs w:val="24"/>
        </w:rPr>
        <w:t xml:space="preserve">primarily </w:t>
      </w:r>
      <w:r w:rsidR="00BB65F5" w:rsidRPr="000E0CA0">
        <w:rPr>
          <w:bCs/>
          <w:szCs w:val="24"/>
        </w:rPr>
        <w:t xml:space="preserve">upon the </w:t>
      </w:r>
      <w:r w:rsidRPr="000E0CA0">
        <w:rPr>
          <w:bCs/>
          <w:szCs w:val="24"/>
        </w:rPr>
        <w:t>construction of the expression “</w:t>
      </w:r>
      <w:r w:rsidRPr="000E0CA0">
        <w:rPr>
          <w:bCs/>
          <w:i/>
          <w:iCs/>
          <w:szCs w:val="24"/>
        </w:rPr>
        <w:t>lawfully and definitively dispatched</w:t>
      </w:r>
      <w:r w:rsidRPr="000E0CA0">
        <w:rPr>
          <w:bCs/>
          <w:szCs w:val="24"/>
        </w:rPr>
        <w:t>”</w:t>
      </w:r>
      <w:r w:rsidR="00827B37" w:rsidRPr="000E0CA0">
        <w:rPr>
          <w:bCs/>
          <w:szCs w:val="24"/>
        </w:rPr>
        <w:t xml:space="preserve"> contained in </w:t>
      </w:r>
      <w:r w:rsidR="00E31866" w:rsidRPr="000E0CA0">
        <w:rPr>
          <w:bCs/>
          <w:szCs w:val="24"/>
        </w:rPr>
        <w:t xml:space="preserve">an EU </w:t>
      </w:r>
      <w:r w:rsidR="00827B37" w:rsidRPr="000E0CA0">
        <w:rPr>
          <w:bCs/>
          <w:szCs w:val="24"/>
        </w:rPr>
        <w:t>Regulation</w:t>
      </w:r>
      <w:r w:rsidRPr="000E0CA0">
        <w:rPr>
          <w:bCs/>
          <w:szCs w:val="24"/>
        </w:rPr>
        <w:t xml:space="preserve">.  </w:t>
      </w:r>
      <w:r w:rsidR="000C19D8" w:rsidRPr="000E0CA0">
        <w:rPr>
          <w:bCs/>
          <w:szCs w:val="24"/>
        </w:rPr>
        <w:t xml:space="preserve">What is the </w:t>
      </w:r>
      <w:r w:rsidR="00BB65F5" w:rsidRPr="000E0CA0">
        <w:rPr>
          <w:bCs/>
          <w:szCs w:val="24"/>
        </w:rPr>
        <w:t xml:space="preserve">body or corpus of law that is </w:t>
      </w:r>
      <w:r w:rsidR="00827B37" w:rsidRPr="000E0CA0">
        <w:rPr>
          <w:bCs/>
          <w:szCs w:val="24"/>
        </w:rPr>
        <w:t xml:space="preserve">implicitly </w:t>
      </w:r>
      <w:r w:rsidR="00BB65F5" w:rsidRPr="000E0CA0">
        <w:rPr>
          <w:bCs/>
          <w:szCs w:val="24"/>
        </w:rPr>
        <w:t>referred to in the word “</w:t>
      </w:r>
      <w:r w:rsidR="00BB65F5" w:rsidRPr="000E0CA0">
        <w:rPr>
          <w:bCs/>
          <w:i/>
          <w:szCs w:val="24"/>
        </w:rPr>
        <w:t>lawfully</w:t>
      </w:r>
      <w:r w:rsidR="00BB65F5" w:rsidRPr="000E0CA0">
        <w:rPr>
          <w:bCs/>
          <w:szCs w:val="24"/>
        </w:rPr>
        <w:t>”</w:t>
      </w:r>
      <w:r w:rsidR="00827B37" w:rsidRPr="000E0CA0">
        <w:rPr>
          <w:bCs/>
          <w:szCs w:val="24"/>
        </w:rPr>
        <w:t xml:space="preserve"> which then </w:t>
      </w:r>
      <w:r w:rsidR="00BB65F5" w:rsidRPr="000E0CA0">
        <w:rPr>
          <w:bCs/>
          <w:szCs w:val="24"/>
        </w:rPr>
        <w:t>govern</w:t>
      </w:r>
      <w:r w:rsidR="00827B37" w:rsidRPr="000E0CA0">
        <w:rPr>
          <w:bCs/>
          <w:szCs w:val="24"/>
        </w:rPr>
        <w:t>s</w:t>
      </w:r>
      <w:r w:rsidR="00BB65F5" w:rsidRPr="000E0CA0">
        <w:rPr>
          <w:bCs/>
          <w:szCs w:val="24"/>
        </w:rPr>
        <w:t xml:space="preserve"> the lawfulness of dispatch? There</w:t>
      </w:r>
      <w:r w:rsidR="00075F11" w:rsidRPr="000E0CA0">
        <w:rPr>
          <w:bCs/>
          <w:szCs w:val="24"/>
        </w:rPr>
        <w:t xml:space="preserve"> are three alternatives.  </w:t>
      </w:r>
      <w:r w:rsidR="00BB65F5" w:rsidRPr="000E0CA0">
        <w:rPr>
          <w:bCs/>
          <w:szCs w:val="24"/>
        </w:rPr>
        <w:t>This</w:t>
      </w:r>
      <w:r w:rsidR="00075F11" w:rsidRPr="000E0CA0">
        <w:rPr>
          <w:bCs/>
          <w:szCs w:val="24"/>
        </w:rPr>
        <w:t xml:space="preserve"> could be a reference back </w:t>
      </w:r>
      <w:r w:rsidRPr="000E0CA0">
        <w:rPr>
          <w:bCs/>
          <w:szCs w:val="24"/>
        </w:rPr>
        <w:t xml:space="preserve">to national law (by a form of </w:t>
      </w:r>
      <w:r w:rsidRPr="000E0CA0">
        <w:rPr>
          <w:bCs/>
          <w:i/>
          <w:iCs/>
          <w:szCs w:val="24"/>
        </w:rPr>
        <w:t>renvoi</w:t>
      </w:r>
      <w:r w:rsidR="00075F11" w:rsidRPr="000E0CA0">
        <w:rPr>
          <w:bCs/>
          <w:i/>
          <w:iCs/>
          <w:szCs w:val="24"/>
        </w:rPr>
        <w:t>)</w:t>
      </w:r>
      <w:r w:rsidR="006D70BF" w:rsidRPr="000E0CA0">
        <w:rPr>
          <w:bCs/>
          <w:i/>
          <w:iCs/>
          <w:szCs w:val="24"/>
        </w:rPr>
        <w:t xml:space="preserve"> </w:t>
      </w:r>
      <w:r w:rsidR="006D70BF" w:rsidRPr="000E0CA0">
        <w:rPr>
          <w:bCs/>
          <w:szCs w:val="24"/>
        </w:rPr>
        <w:t>which wo</w:t>
      </w:r>
      <w:r w:rsidR="00B97037" w:rsidRPr="000E0CA0">
        <w:rPr>
          <w:bCs/>
          <w:szCs w:val="24"/>
        </w:rPr>
        <w:t>u</w:t>
      </w:r>
      <w:r w:rsidR="006D70BF" w:rsidRPr="000E0CA0">
        <w:rPr>
          <w:bCs/>
          <w:szCs w:val="24"/>
        </w:rPr>
        <w:t>ld</w:t>
      </w:r>
      <w:r w:rsidR="000C19D8" w:rsidRPr="000E0CA0">
        <w:rPr>
          <w:bCs/>
          <w:szCs w:val="24"/>
        </w:rPr>
        <w:t xml:space="preserve"> in this case</w:t>
      </w:r>
      <w:r w:rsidR="006D70BF" w:rsidRPr="000E0CA0">
        <w:rPr>
          <w:bCs/>
          <w:szCs w:val="24"/>
        </w:rPr>
        <w:t xml:space="preserve"> </w:t>
      </w:r>
      <w:r w:rsidR="006B468E" w:rsidRPr="000E0CA0">
        <w:rPr>
          <w:bCs/>
          <w:szCs w:val="24"/>
        </w:rPr>
        <w:t xml:space="preserve">make </w:t>
      </w:r>
      <w:r w:rsidR="006D70BF" w:rsidRPr="000E0CA0">
        <w:rPr>
          <w:bCs/>
          <w:szCs w:val="24"/>
        </w:rPr>
        <w:t xml:space="preserve">the relevant law and the </w:t>
      </w:r>
      <w:r w:rsidR="006B468E" w:rsidRPr="000E0CA0">
        <w:rPr>
          <w:bCs/>
          <w:szCs w:val="24"/>
        </w:rPr>
        <w:t xml:space="preserve">governing </w:t>
      </w:r>
      <w:r w:rsidR="006B468E" w:rsidRPr="000E0CA0">
        <w:rPr>
          <w:bCs/>
          <w:szCs w:val="24"/>
        </w:rPr>
        <w:lastRenderedPageBreak/>
        <w:t xml:space="preserve">competent </w:t>
      </w:r>
      <w:r w:rsidR="006D70BF" w:rsidRPr="000E0CA0">
        <w:rPr>
          <w:bCs/>
          <w:szCs w:val="24"/>
        </w:rPr>
        <w:t xml:space="preserve">authority </w:t>
      </w:r>
      <w:r w:rsidR="00075F11" w:rsidRPr="000E0CA0">
        <w:rPr>
          <w:bCs/>
          <w:szCs w:val="24"/>
        </w:rPr>
        <w:t xml:space="preserve">either the UK </w:t>
      </w:r>
      <w:r w:rsidR="00A12C5F" w:rsidRPr="000E0CA0">
        <w:rPr>
          <w:bCs/>
          <w:szCs w:val="24"/>
        </w:rPr>
        <w:t xml:space="preserve">or </w:t>
      </w:r>
      <w:r w:rsidR="006D70BF" w:rsidRPr="000E0CA0">
        <w:rPr>
          <w:bCs/>
          <w:szCs w:val="24"/>
        </w:rPr>
        <w:t>Italy</w:t>
      </w:r>
      <w:r w:rsidR="00BB65F5" w:rsidRPr="000E0CA0">
        <w:rPr>
          <w:bCs/>
          <w:szCs w:val="24"/>
        </w:rPr>
        <w:t xml:space="preserve">.  </w:t>
      </w:r>
      <w:r w:rsidR="00827B37" w:rsidRPr="000E0CA0">
        <w:rPr>
          <w:bCs/>
          <w:szCs w:val="24"/>
        </w:rPr>
        <w:t>Alternatively,</w:t>
      </w:r>
      <w:r w:rsidR="00BB65F5" w:rsidRPr="000E0CA0">
        <w:rPr>
          <w:bCs/>
          <w:szCs w:val="24"/>
        </w:rPr>
        <w:t xml:space="preserve"> the applicable law governing dispatch could be some provision of EU law, in other words the </w:t>
      </w:r>
      <w:r w:rsidRPr="000E0CA0">
        <w:rPr>
          <w:bCs/>
          <w:szCs w:val="24"/>
        </w:rPr>
        <w:t xml:space="preserve">phrase </w:t>
      </w:r>
      <w:r w:rsidR="00A12C5F" w:rsidRPr="000E0CA0">
        <w:rPr>
          <w:bCs/>
          <w:szCs w:val="24"/>
        </w:rPr>
        <w:t xml:space="preserve">could have an </w:t>
      </w:r>
      <w:r w:rsidRPr="000E0CA0">
        <w:rPr>
          <w:bCs/>
          <w:szCs w:val="24"/>
        </w:rPr>
        <w:t xml:space="preserve">autonomous meaning </w:t>
      </w:r>
      <w:r w:rsidR="00A12C5F" w:rsidRPr="000E0CA0">
        <w:rPr>
          <w:bCs/>
          <w:szCs w:val="24"/>
        </w:rPr>
        <w:t>operat</w:t>
      </w:r>
      <w:r w:rsidR="006B468E" w:rsidRPr="000E0CA0">
        <w:rPr>
          <w:bCs/>
          <w:szCs w:val="24"/>
        </w:rPr>
        <w:t xml:space="preserve">ing </w:t>
      </w:r>
      <w:r w:rsidR="00A12C5F" w:rsidRPr="000E0CA0">
        <w:rPr>
          <w:bCs/>
          <w:szCs w:val="24"/>
        </w:rPr>
        <w:t xml:space="preserve">independently of any corpus of national law.  </w:t>
      </w:r>
    </w:p>
    <w:p w14:paraId="3CC3C09C" w14:textId="23B6C007" w:rsidR="003F0517" w:rsidRPr="000E0CA0" w:rsidRDefault="000C19D8" w:rsidP="002D37BA">
      <w:pPr>
        <w:pStyle w:val="ParaLevel1"/>
        <w:numPr>
          <w:ilvl w:val="0"/>
          <w:numId w:val="13"/>
        </w:numPr>
        <w:ind w:left="567" w:hanging="567"/>
        <w:rPr>
          <w:b/>
          <w:szCs w:val="24"/>
          <w:u w:val="single"/>
        </w:rPr>
      </w:pPr>
      <w:r w:rsidRPr="000E0CA0">
        <w:rPr>
          <w:bCs/>
          <w:szCs w:val="24"/>
        </w:rPr>
        <w:t xml:space="preserve">Subsequently, the position </w:t>
      </w:r>
      <w:r w:rsidR="00817F38" w:rsidRPr="000E0CA0">
        <w:rPr>
          <w:bCs/>
          <w:szCs w:val="24"/>
        </w:rPr>
        <w:t xml:space="preserve">has </w:t>
      </w:r>
      <w:r w:rsidRPr="000E0CA0">
        <w:rPr>
          <w:bCs/>
          <w:szCs w:val="24"/>
        </w:rPr>
        <w:t>changed.</w:t>
      </w:r>
      <w:r w:rsidR="006D0E3C">
        <w:rPr>
          <w:bCs/>
          <w:szCs w:val="24"/>
        </w:rPr>
        <w:t xml:space="preserve">  </w:t>
      </w:r>
      <w:r w:rsidR="005E5E7E" w:rsidRPr="000E0CA0">
        <w:rPr>
          <w:bCs/>
          <w:szCs w:val="24"/>
        </w:rPr>
        <w:t xml:space="preserve">As </w:t>
      </w:r>
      <w:r w:rsidR="00827B37" w:rsidRPr="000E0CA0">
        <w:rPr>
          <w:bCs/>
          <w:szCs w:val="24"/>
        </w:rPr>
        <w:t xml:space="preserve">developed </w:t>
      </w:r>
      <w:r w:rsidR="002600E4" w:rsidRPr="000E0CA0">
        <w:rPr>
          <w:bCs/>
          <w:szCs w:val="24"/>
        </w:rPr>
        <w:t xml:space="preserve">fully </w:t>
      </w:r>
      <w:r w:rsidR="00827B37" w:rsidRPr="000E0CA0">
        <w:rPr>
          <w:bCs/>
          <w:szCs w:val="24"/>
        </w:rPr>
        <w:t xml:space="preserve">in oral submissions </w:t>
      </w:r>
      <w:r w:rsidR="00817F38" w:rsidRPr="000E0CA0">
        <w:rPr>
          <w:bCs/>
          <w:szCs w:val="24"/>
        </w:rPr>
        <w:t xml:space="preserve">the thrust of the Appellant’s case </w:t>
      </w:r>
      <w:r w:rsidR="005E5E7E" w:rsidRPr="000E0CA0">
        <w:rPr>
          <w:bCs/>
          <w:szCs w:val="24"/>
        </w:rPr>
        <w:t xml:space="preserve">was that </w:t>
      </w:r>
      <w:r w:rsidR="00827B37" w:rsidRPr="000E0CA0">
        <w:rPr>
          <w:bCs/>
          <w:szCs w:val="24"/>
        </w:rPr>
        <w:t>the phrase “</w:t>
      </w:r>
      <w:r w:rsidR="00827B37" w:rsidRPr="000E0CA0">
        <w:rPr>
          <w:bCs/>
          <w:i/>
          <w:szCs w:val="24"/>
        </w:rPr>
        <w:t>lawfully</w:t>
      </w:r>
      <w:r w:rsidR="00827B37" w:rsidRPr="000E0CA0">
        <w:rPr>
          <w:bCs/>
          <w:szCs w:val="24"/>
        </w:rPr>
        <w:t xml:space="preserve">” </w:t>
      </w:r>
      <w:r w:rsidR="00827B37" w:rsidRPr="000E0CA0">
        <w:rPr>
          <w:bCs/>
          <w:i/>
          <w:szCs w:val="24"/>
        </w:rPr>
        <w:t>is</w:t>
      </w:r>
      <w:r w:rsidR="00827B37" w:rsidRPr="000E0CA0">
        <w:rPr>
          <w:bCs/>
          <w:szCs w:val="24"/>
        </w:rPr>
        <w:t xml:space="preserve"> a reference to national law </w:t>
      </w:r>
      <w:r w:rsidR="00827B37" w:rsidRPr="000E0CA0">
        <w:rPr>
          <w:bCs/>
          <w:i/>
          <w:szCs w:val="24"/>
        </w:rPr>
        <w:t>but</w:t>
      </w:r>
      <w:r w:rsidR="00827B37" w:rsidRPr="000E0CA0">
        <w:rPr>
          <w:bCs/>
          <w:szCs w:val="24"/>
        </w:rPr>
        <w:t xml:space="preserve"> with a powerful EU and interna</w:t>
      </w:r>
      <w:r w:rsidR="002600E4" w:rsidRPr="000E0CA0">
        <w:rPr>
          <w:bCs/>
          <w:szCs w:val="24"/>
        </w:rPr>
        <w:t xml:space="preserve">tional </w:t>
      </w:r>
      <w:r w:rsidR="00827B37" w:rsidRPr="000E0CA0">
        <w:rPr>
          <w:bCs/>
          <w:szCs w:val="24"/>
        </w:rPr>
        <w:t>law overlay in the form of the EU rules on freedom of movement of goods (Articles 35 and 36 TFEU</w:t>
      </w:r>
      <w:r w:rsidR="002600E4" w:rsidRPr="000E0CA0">
        <w:rPr>
          <w:bCs/>
          <w:szCs w:val="24"/>
        </w:rPr>
        <w:t>)</w:t>
      </w:r>
      <w:r w:rsidR="00827B37" w:rsidRPr="000E0CA0">
        <w:rPr>
          <w:bCs/>
          <w:szCs w:val="24"/>
        </w:rPr>
        <w:t xml:space="preserve">, </w:t>
      </w:r>
      <w:r w:rsidR="002600E4" w:rsidRPr="000E0CA0">
        <w:rPr>
          <w:bCs/>
          <w:szCs w:val="24"/>
        </w:rPr>
        <w:t>A</w:t>
      </w:r>
      <w:r w:rsidR="00827B37" w:rsidRPr="000E0CA0">
        <w:rPr>
          <w:bCs/>
          <w:szCs w:val="24"/>
        </w:rPr>
        <w:t>rticle</w:t>
      </w:r>
      <w:r w:rsidR="005C47EB" w:rsidRPr="000E0CA0">
        <w:rPr>
          <w:bCs/>
          <w:szCs w:val="24"/>
        </w:rPr>
        <w:t xml:space="preserve"> </w:t>
      </w:r>
      <w:r w:rsidR="00827B37" w:rsidRPr="000E0CA0">
        <w:rPr>
          <w:bCs/>
          <w:szCs w:val="24"/>
        </w:rPr>
        <w:t xml:space="preserve">52 of the </w:t>
      </w:r>
      <w:r w:rsidR="006B23CB" w:rsidRPr="000E0CA0">
        <w:rPr>
          <w:bCs/>
          <w:szCs w:val="24"/>
        </w:rPr>
        <w:t xml:space="preserve">Charter </w:t>
      </w:r>
      <w:r w:rsidR="006B23CB">
        <w:rPr>
          <w:bCs/>
          <w:szCs w:val="24"/>
        </w:rPr>
        <w:t xml:space="preserve">of </w:t>
      </w:r>
      <w:r w:rsidR="00827B37" w:rsidRPr="000E0CA0">
        <w:rPr>
          <w:bCs/>
          <w:szCs w:val="24"/>
        </w:rPr>
        <w:t>Fundamental</w:t>
      </w:r>
      <w:r w:rsidR="006B23CB">
        <w:rPr>
          <w:bCs/>
          <w:szCs w:val="24"/>
        </w:rPr>
        <w:t xml:space="preserve"> Rights</w:t>
      </w:r>
      <w:r w:rsidR="00827B37" w:rsidRPr="000E0CA0">
        <w:rPr>
          <w:bCs/>
          <w:szCs w:val="24"/>
        </w:rPr>
        <w:t xml:space="preserve"> on the </w:t>
      </w:r>
      <w:r w:rsidR="002600E4" w:rsidRPr="000E0CA0">
        <w:rPr>
          <w:bCs/>
          <w:szCs w:val="24"/>
        </w:rPr>
        <w:t xml:space="preserve">principle </w:t>
      </w:r>
      <w:r w:rsidR="00827B37" w:rsidRPr="000E0CA0">
        <w:rPr>
          <w:bCs/>
          <w:szCs w:val="24"/>
        </w:rPr>
        <w:t>of legality</w:t>
      </w:r>
      <w:r w:rsidR="002600E4" w:rsidRPr="000E0CA0">
        <w:rPr>
          <w:bCs/>
          <w:szCs w:val="24"/>
        </w:rPr>
        <w:t>,</w:t>
      </w:r>
      <w:r w:rsidR="00827B37" w:rsidRPr="000E0CA0">
        <w:rPr>
          <w:bCs/>
          <w:szCs w:val="24"/>
        </w:rPr>
        <w:t xml:space="preserve"> and A1P1</w:t>
      </w:r>
      <w:r w:rsidR="002600E4" w:rsidRPr="000E0CA0">
        <w:rPr>
          <w:bCs/>
          <w:szCs w:val="24"/>
        </w:rPr>
        <w:t xml:space="preserve"> of the </w:t>
      </w:r>
      <w:r w:rsidR="006B23CB">
        <w:rPr>
          <w:bCs/>
          <w:szCs w:val="24"/>
        </w:rPr>
        <w:t xml:space="preserve">European </w:t>
      </w:r>
      <w:r w:rsidR="002600E4" w:rsidRPr="000E0CA0">
        <w:rPr>
          <w:bCs/>
          <w:szCs w:val="24"/>
        </w:rPr>
        <w:t>Convention on Human Rights</w:t>
      </w:r>
      <w:r w:rsidR="00827B37" w:rsidRPr="000E0CA0">
        <w:rPr>
          <w:bCs/>
          <w:szCs w:val="24"/>
        </w:rPr>
        <w:t xml:space="preserve">.  Mr O’Neill QC </w:t>
      </w:r>
      <w:r w:rsidR="002600E4" w:rsidRPr="000E0CA0">
        <w:rPr>
          <w:bCs/>
          <w:szCs w:val="24"/>
        </w:rPr>
        <w:t>argued that, on the facts of this case, the Italian law requiring notice to be given to the Italian authorities prior to removal of the painting from Italy was an impediment to the free movement of goods (contrary to Article 35</w:t>
      </w:r>
      <w:r w:rsidR="00817F38" w:rsidRPr="000E0CA0">
        <w:rPr>
          <w:bCs/>
          <w:szCs w:val="24"/>
        </w:rPr>
        <w:t xml:space="preserve"> TFEU</w:t>
      </w:r>
      <w:r w:rsidR="002600E4" w:rsidRPr="000E0CA0">
        <w:rPr>
          <w:bCs/>
          <w:szCs w:val="24"/>
        </w:rPr>
        <w:t>) and was disproportionate and was not justified under Article 36 TFEU; it was also a violation of the principle of legality set out under Article 52(1) of the Charter</w:t>
      </w:r>
      <w:r w:rsidR="0063668B">
        <w:rPr>
          <w:bCs/>
          <w:szCs w:val="24"/>
        </w:rPr>
        <w:t>;</w:t>
      </w:r>
      <w:r w:rsidR="002600E4" w:rsidRPr="000E0CA0">
        <w:rPr>
          <w:bCs/>
          <w:szCs w:val="24"/>
        </w:rPr>
        <w:t xml:space="preserve"> and</w:t>
      </w:r>
      <w:r w:rsidR="0063668B">
        <w:rPr>
          <w:bCs/>
          <w:szCs w:val="24"/>
        </w:rPr>
        <w:t>,</w:t>
      </w:r>
      <w:r w:rsidR="002600E4" w:rsidRPr="000E0CA0">
        <w:rPr>
          <w:bCs/>
          <w:szCs w:val="24"/>
        </w:rPr>
        <w:t xml:space="preserve"> it adversely affected the property rights of Mrs Simonis and accordingly fell afoul of A1P1</w:t>
      </w:r>
      <w:r w:rsidR="005C47EB" w:rsidRPr="000E0CA0">
        <w:rPr>
          <w:bCs/>
          <w:szCs w:val="24"/>
        </w:rPr>
        <w:t xml:space="preserve"> of the Convention</w:t>
      </w:r>
      <w:r w:rsidR="002600E4" w:rsidRPr="000E0CA0">
        <w:rPr>
          <w:bCs/>
          <w:szCs w:val="24"/>
        </w:rPr>
        <w:t>. As such its application to the facts of this case was unlawful and whi</w:t>
      </w:r>
      <w:r w:rsidR="00C93C4B" w:rsidRPr="000E0CA0">
        <w:rPr>
          <w:bCs/>
          <w:szCs w:val="24"/>
        </w:rPr>
        <w:t xml:space="preserve">lst </w:t>
      </w:r>
      <w:r w:rsidR="005C47EB" w:rsidRPr="000E0CA0">
        <w:rPr>
          <w:bCs/>
          <w:szCs w:val="24"/>
        </w:rPr>
        <w:t xml:space="preserve">these </w:t>
      </w:r>
      <w:r w:rsidR="002600E4" w:rsidRPr="000E0CA0">
        <w:rPr>
          <w:bCs/>
          <w:szCs w:val="24"/>
        </w:rPr>
        <w:t xml:space="preserve">violations did not result in the Italian law being </w:t>
      </w:r>
      <w:r w:rsidR="002600E4" w:rsidRPr="000E0CA0">
        <w:rPr>
          <w:bCs/>
          <w:szCs w:val="24"/>
          <w:u w:val="single"/>
        </w:rPr>
        <w:t>generally</w:t>
      </w:r>
      <w:r w:rsidR="002600E4" w:rsidRPr="000E0CA0">
        <w:rPr>
          <w:bCs/>
          <w:szCs w:val="24"/>
        </w:rPr>
        <w:t xml:space="preserve"> unlawful, </w:t>
      </w:r>
      <w:r w:rsidR="00C93C4B" w:rsidRPr="000E0CA0">
        <w:rPr>
          <w:bCs/>
          <w:szCs w:val="24"/>
        </w:rPr>
        <w:t xml:space="preserve">they </w:t>
      </w:r>
      <w:r w:rsidR="002600E4" w:rsidRPr="000E0CA0">
        <w:rPr>
          <w:bCs/>
          <w:szCs w:val="24"/>
        </w:rPr>
        <w:t xml:space="preserve">did have the consequence that </w:t>
      </w:r>
      <w:r w:rsidR="00C93C4B" w:rsidRPr="000E0CA0">
        <w:rPr>
          <w:bCs/>
          <w:szCs w:val="24"/>
        </w:rPr>
        <w:t xml:space="preserve">the Italian </w:t>
      </w:r>
      <w:r w:rsidR="00817F38" w:rsidRPr="000E0CA0">
        <w:rPr>
          <w:bCs/>
          <w:szCs w:val="24"/>
        </w:rPr>
        <w:t xml:space="preserve">law </w:t>
      </w:r>
      <w:r w:rsidR="00C93C4B" w:rsidRPr="000E0CA0">
        <w:rPr>
          <w:bCs/>
          <w:szCs w:val="24"/>
        </w:rPr>
        <w:t xml:space="preserve">was </w:t>
      </w:r>
      <w:r w:rsidR="002600E4" w:rsidRPr="000E0CA0">
        <w:rPr>
          <w:bCs/>
          <w:szCs w:val="24"/>
        </w:rPr>
        <w:t xml:space="preserve">inapplicable </w:t>
      </w:r>
      <w:r w:rsidR="003F0517" w:rsidRPr="000E0CA0">
        <w:rPr>
          <w:bCs/>
          <w:szCs w:val="24"/>
        </w:rPr>
        <w:t>in the</w:t>
      </w:r>
      <w:r w:rsidR="005C47EB" w:rsidRPr="000E0CA0">
        <w:rPr>
          <w:bCs/>
          <w:szCs w:val="24"/>
        </w:rPr>
        <w:t xml:space="preserve"> case of </w:t>
      </w:r>
      <w:r w:rsidR="002600E4" w:rsidRPr="000E0CA0">
        <w:rPr>
          <w:bCs/>
          <w:szCs w:val="24"/>
        </w:rPr>
        <w:t>Mrs Simonis.  It followed that since</w:t>
      </w:r>
      <w:r w:rsidR="00C93C4B" w:rsidRPr="000E0CA0">
        <w:rPr>
          <w:bCs/>
          <w:szCs w:val="24"/>
        </w:rPr>
        <w:t xml:space="preserve"> </w:t>
      </w:r>
      <w:r w:rsidR="00D5010D" w:rsidRPr="000E0CA0">
        <w:rPr>
          <w:bCs/>
          <w:szCs w:val="24"/>
        </w:rPr>
        <w:t>Italian</w:t>
      </w:r>
      <w:r w:rsidR="00C93C4B" w:rsidRPr="000E0CA0">
        <w:rPr>
          <w:bCs/>
          <w:szCs w:val="24"/>
        </w:rPr>
        <w:t xml:space="preserve"> law did not apply and the </w:t>
      </w:r>
      <w:r w:rsidR="002600E4" w:rsidRPr="000E0CA0">
        <w:rPr>
          <w:bCs/>
          <w:szCs w:val="24"/>
        </w:rPr>
        <w:t xml:space="preserve">painting was located in the United Kingdom it was the Arts Council that was the competent authority here and its refusal to accept that status was wrong in law. </w:t>
      </w:r>
      <w:r w:rsidR="003F0517" w:rsidRPr="000E0CA0">
        <w:rPr>
          <w:bCs/>
          <w:szCs w:val="24"/>
        </w:rPr>
        <w:t>It will be seen that the way in which the argument was ultimately dev</w:t>
      </w:r>
      <w:r w:rsidR="00817F38" w:rsidRPr="000E0CA0">
        <w:rPr>
          <w:bCs/>
          <w:szCs w:val="24"/>
        </w:rPr>
        <w:t xml:space="preserve">eloped </w:t>
      </w:r>
      <w:r w:rsidR="003F0517" w:rsidRPr="000E0CA0">
        <w:rPr>
          <w:bCs/>
          <w:szCs w:val="24"/>
        </w:rPr>
        <w:t>merge</w:t>
      </w:r>
      <w:r w:rsidR="00817F38" w:rsidRPr="000E0CA0">
        <w:rPr>
          <w:bCs/>
          <w:szCs w:val="24"/>
        </w:rPr>
        <w:t>d</w:t>
      </w:r>
      <w:r w:rsidR="003F0517" w:rsidRPr="000E0CA0">
        <w:rPr>
          <w:bCs/>
          <w:szCs w:val="24"/>
        </w:rPr>
        <w:t xml:space="preserve"> the first and second grounds of appeal. The argument </w:t>
      </w:r>
      <w:r w:rsidR="006D0E3C">
        <w:rPr>
          <w:bCs/>
          <w:szCs w:val="24"/>
        </w:rPr>
        <w:t xml:space="preserve">is </w:t>
      </w:r>
      <w:r w:rsidR="003F0517" w:rsidRPr="000E0CA0">
        <w:rPr>
          <w:bCs/>
          <w:szCs w:val="24"/>
        </w:rPr>
        <w:t>that “</w:t>
      </w:r>
      <w:r w:rsidR="003F0517" w:rsidRPr="000E0CA0">
        <w:rPr>
          <w:bCs/>
          <w:i/>
          <w:szCs w:val="24"/>
        </w:rPr>
        <w:t>lawfully</w:t>
      </w:r>
      <w:r w:rsidR="003F0517" w:rsidRPr="000E0CA0">
        <w:rPr>
          <w:bCs/>
          <w:szCs w:val="24"/>
        </w:rPr>
        <w:t xml:space="preserve">” (as the governing law of dispatch) was </w:t>
      </w:r>
      <w:r w:rsidR="006D0E3C">
        <w:rPr>
          <w:bCs/>
          <w:szCs w:val="24"/>
        </w:rPr>
        <w:t xml:space="preserve">regulated </w:t>
      </w:r>
      <w:r w:rsidR="00365DBB" w:rsidRPr="000E0CA0">
        <w:rPr>
          <w:bCs/>
          <w:szCs w:val="24"/>
        </w:rPr>
        <w:t xml:space="preserve">by a combination of </w:t>
      </w:r>
      <w:r w:rsidR="003F0517" w:rsidRPr="000E0CA0">
        <w:rPr>
          <w:bCs/>
          <w:szCs w:val="24"/>
        </w:rPr>
        <w:t xml:space="preserve">national (Italian) law </w:t>
      </w:r>
      <w:r w:rsidR="006D0E3C">
        <w:rPr>
          <w:bCs/>
          <w:szCs w:val="24"/>
        </w:rPr>
        <w:t xml:space="preserve">combined </w:t>
      </w:r>
      <w:r w:rsidR="003F0517" w:rsidRPr="000E0CA0">
        <w:rPr>
          <w:bCs/>
          <w:szCs w:val="24"/>
        </w:rPr>
        <w:t xml:space="preserve">with EU and </w:t>
      </w:r>
      <w:r w:rsidR="008C76C3">
        <w:rPr>
          <w:bCs/>
          <w:szCs w:val="24"/>
        </w:rPr>
        <w:t>i</w:t>
      </w:r>
      <w:r w:rsidR="003F0517" w:rsidRPr="000E0CA0">
        <w:rPr>
          <w:bCs/>
          <w:szCs w:val="24"/>
        </w:rPr>
        <w:t>nternational law.</w:t>
      </w:r>
    </w:p>
    <w:p w14:paraId="3CC0F531" w14:textId="306325DD" w:rsidR="005C47EB" w:rsidRPr="000E0CA0" w:rsidRDefault="005C47EB" w:rsidP="002D37BA">
      <w:pPr>
        <w:pStyle w:val="ParaLevel1"/>
        <w:numPr>
          <w:ilvl w:val="0"/>
          <w:numId w:val="13"/>
        </w:numPr>
        <w:ind w:left="567" w:hanging="567"/>
        <w:rPr>
          <w:bCs/>
          <w:szCs w:val="24"/>
        </w:rPr>
      </w:pPr>
      <w:r w:rsidRPr="000E0CA0">
        <w:rPr>
          <w:bCs/>
          <w:szCs w:val="24"/>
        </w:rPr>
        <w:t xml:space="preserve">Mr O’Neill QC adopted the stance that the law was pellucidly clear, in his favour; but if we did not agree then there was the possibility of a reference to the Court of Justice on the issue of the construction of the relevant EU </w:t>
      </w:r>
      <w:r w:rsidR="006B23CB">
        <w:rPr>
          <w:bCs/>
          <w:szCs w:val="24"/>
        </w:rPr>
        <w:t>R</w:t>
      </w:r>
      <w:r w:rsidRPr="000E0CA0">
        <w:rPr>
          <w:bCs/>
          <w:szCs w:val="24"/>
        </w:rPr>
        <w:t xml:space="preserve">egulation and/or the legality of Italian law with superior EU law. </w:t>
      </w:r>
    </w:p>
    <w:p w14:paraId="518B2E71" w14:textId="6C082EBD" w:rsidR="00D5010D" w:rsidRPr="000E0CA0" w:rsidRDefault="00D5010D" w:rsidP="002D37BA">
      <w:pPr>
        <w:pStyle w:val="ParaLevel1"/>
        <w:numPr>
          <w:ilvl w:val="0"/>
          <w:numId w:val="13"/>
        </w:numPr>
        <w:ind w:left="567" w:hanging="567"/>
        <w:rPr>
          <w:bCs/>
          <w:szCs w:val="24"/>
        </w:rPr>
      </w:pPr>
      <w:r w:rsidRPr="000E0CA0">
        <w:rPr>
          <w:bCs/>
          <w:szCs w:val="24"/>
        </w:rPr>
        <w:t xml:space="preserve">To analyse properly the various strands to the </w:t>
      </w:r>
      <w:r w:rsidR="003F0517" w:rsidRPr="000E0CA0">
        <w:rPr>
          <w:bCs/>
          <w:szCs w:val="24"/>
        </w:rPr>
        <w:t xml:space="preserve">Appellant’s grounds </w:t>
      </w:r>
      <w:r w:rsidRPr="000E0CA0">
        <w:rPr>
          <w:bCs/>
          <w:szCs w:val="24"/>
        </w:rPr>
        <w:t xml:space="preserve">it </w:t>
      </w:r>
      <w:r w:rsidR="00DE1FAB" w:rsidRPr="000E0CA0">
        <w:rPr>
          <w:bCs/>
          <w:szCs w:val="24"/>
        </w:rPr>
        <w:t xml:space="preserve">remains </w:t>
      </w:r>
      <w:r w:rsidRPr="000E0CA0">
        <w:rPr>
          <w:bCs/>
          <w:szCs w:val="24"/>
        </w:rPr>
        <w:t xml:space="preserve">convenient to divide them into two. </w:t>
      </w:r>
    </w:p>
    <w:p w14:paraId="6381967E" w14:textId="77777777" w:rsidR="008B1B7C" w:rsidRPr="006D0E3C" w:rsidRDefault="00B97037" w:rsidP="002D37BA">
      <w:pPr>
        <w:pStyle w:val="ParaLevel1"/>
        <w:tabs>
          <w:tab w:val="clear" w:pos="1996"/>
          <w:tab w:val="num" w:pos="567"/>
        </w:tabs>
        <w:ind w:left="567" w:hanging="567"/>
        <w:rPr>
          <w:b/>
          <w:bCs/>
          <w:u w:val="single"/>
        </w:rPr>
      </w:pPr>
      <w:r w:rsidRPr="006D0E3C">
        <w:rPr>
          <w:b/>
          <w:bCs/>
          <w:u w:val="single"/>
        </w:rPr>
        <w:t>Pre</w:t>
      </w:r>
      <w:r w:rsidR="00567F14" w:rsidRPr="006D0E3C">
        <w:rPr>
          <w:b/>
          <w:bCs/>
          <w:u w:val="single"/>
        </w:rPr>
        <w:t>liminary</w:t>
      </w:r>
      <w:r w:rsidRPr="006D0E3C">
        <w:rPr>
          <w:b/>
          <w:bCs/>
          <w:u w:val="single"/>
        </w:rPr>
        <w:t xml:space="preserve"> </w:t>
      </w:r>
      <w:r w:rsidR="00D94BF9" w:rsidRPr="006D0E3C">
        <w:rPr>
          <w:b/>
          <w:bCs/>
          <w:u w:val="single"/>
        </w:rPr>
        <w:t>o</w:t>
      </w:r>
      <w:r w:rsidR="00567F14" w:rsidRPr="006D0E3C">
        <w:rPr>
          <w:b/>
          <w:bCs/>
          <w:u w:val="single"/>
        </w:rPr>
        <w:t>bservations on the applicability of EU law post 31</w:t>
      </w:r>
      <w:r w:rsidR="00A12C5F" w:rsidRPr="006D0E3C">
        <w:rPr>
          <w:b/>
          <w:bCs/>
          <w:u w:val="single"/>
          <w:vertAlign w:val="superscript"/>
        </w:rPr>
        <w:t>st</w:t>
      </w:r>
      <w:r w:rsidR="00A12C5F" w:rsidRPr="006D0E3C">
        <w:rPr>
          <w:b/>
          <w:bCs/>
          <w:u w:val="single"/>
        </w:rPr>
        <w:t xml:space="preserve"> January</w:t>
      </w:r>
      <w:r w:rsidR="00567F14" w:rsidRPr="006D0E3C">
        <w:rPr>
          <w:b/>
          <w:bCs/>
          <w:u w:val="single"/>
        </w:rPr>
        <w:t xml:space="preserve"> 2020</w:t>
      </w:r>
    </w:p>
    <w:p w14:paraId="7D7739C2" w14:textId="7EEE7410" w:rsidR="008B1B7C" w:rsidRPr="000E0CA0" w:rsidRDefault="008B1B7C" w:rsidP="002D37BA">
      <w:pPr>
        <w:numPr>
          <w:ilvl w:val="0"/>
          <w:numId w:val="13"/>
        </w:numPr>
        <w:suppressAutoHyphens/>
        <w:spacing w:before="240" w:after="240"/>
        <w:ind w:left="567" w:hanging="567"/>
        <w:jc w:val="both"/>
        <w:outlineLvl w:val="0"/>
        <w:rPr>
          <w:bCs/>
        </w:rPr>
      </w:pPr>
      <w:r w:rsidRPr="000E0CA0">
        <w:rPr>
          <w:bCs/>
        </w:rPr>
        <w:t>This appeal was heard on the second working day following the formal departure of the United Kingdom from the European Union.  The United Kingdom is in the transitional period which, as matter</w:t>
      </w:r>
      <w:r w:rsidR="00FF43BD">
        <w:rPr>
          <w:bCs/>
        </w:rPr>
        <w:t>s</w:t>
      </w:r>
      <w:r w:rsidRPr="000E0CA0">
        <w:rPr>
          <w:bCs/>
        </w:rPr>
        <w:t xml:space="preserve"> stand, lasts until 11pm </w:t>
      </w:r>
      <w:r w:rsidR="0028147B">
        <w:rPr>
          <w:bCs/>
        </w:rPr>
        <w:t xml:space="preserve">on </w:t>
      </w:r>
      <w:r w:rsidRPr="000E0CA0">
        <w:rPr>
          <w:bCs/>
        </w:rPr>
        <w:t>31</w:t>
      </w:r>
      <w:r w:rsidRPr="000E0CA0">
        <w:rPr>
          <w:bCs/>
          <w:vertAlign w:val="superscript"/>
        </w:rPr>
        <w:t>st</w:t>
      </w:r>
      <w:r w:rsidRPr="000E0CA0">
        <w:rPr>
          <w:bCs/>
        </w:rPr>
        <w:t xml:space="preserve"> December 2020. </w:t>
      </w:r>
      <w:r w:rsidR="001E12A4" w:rsidRPr="000E0CA0">
        <w:rPr>
          <w:bCs/>
        </w:rPr>
        <w:t xml:space="preserve">This case concerns: </w:t>
      </w:r>
      <w:r w:rsidR="000E0CA0" w:rsidRPr="000E0CA0">
        <w:rPr>
          <w:bCs/>
        </w:rPr>
        <w:t xml:space="preserve">EU </w:t>
      </w:r>
      <w:r w:rsidR="001E12A4" w:rsidRPr="000E0CA0">
        <w:rPr>
          <w:bCs/>
        </w:rPr>
        <w:t>treaty provisions; EU regulation</w:t>
      </w:r>
      <w:r w:rsidR="00D82D8C">
        <w:rPr>
          <w:bCs/>
        </w:rPr>
        <w:t>s</w:t>
      </w:r>
      <w:r w:rsidR="001E12A4" w:rsidRPr="000E0CA0">
        <w:rPr>
          <w:bCs/>
        </w:rPr>
        <w:t xml:space="preserve"> and directives; national measures implementing EU law; the Charter of Fundamental Rights; and</w:t>
      </w:r>
      <w:r w:rsidR="00D82D8C">
        <w:rPr>
          <w:bCs/>
        </w:rPr>
        <w:t>,</w:t>
      </w:r>
      <w:r w:rsidR="001E12A4" w:rsidRPr="000E0CA0">
        <w:rPr>
          <w:bCs/>
        </w:rPr>
        <w:t xml:space="preserve"> the right to make a reference to the Court of Justice. </w:t>
      </w:r>
      <w:r w:rsidRPr="000E0CA0">
        <w:rPr>
          <w:bCs/>
        </w:rPr>
        <w:t xml:space="preserve">The law which applies during this interim period can, insofar as relevant to this appeal, be </w:t>
      </w:r>
      <w:r w:rsidR="001E12A4" w:rsidRPr="000E0CA0">
        <w:rPr>
          <w:bCs/>
        </w:rPr>
        <w:t xml:space="preserve">briefly </w:t>
      </w:r>
      <w:r w:rsidRPr="000E0CA0">
        <w:rPr>
          <w:bCs/>
        </w:rPr>
        <w:t xml:space="preserve">summarised as follows. </w:t>
      </w:r>
    </w:p>
    <w:p w14:paraId="61EFCD72" w14:textId="075E0D91" w:rsidR="000E0CA0" w:rsidRPr="000E0CA0" w:rsidRDefault="0007217B" w:rsidP="002D37BA">
      <w:pPr>
        <w:numPr>
          <w:ilvl w:val="0"/>
          <w:numId w:val="13"/>
        </w:numPr>
        <w:suppressAutoHyphens/>
        <w:spacing w:before="240" w:after="240"/>
        <w:ind w:left="567" w:hanging="709"/>
        <w:jc w:val="both"/>
        <w:outlineLvl w:val="0"/>
        <w:rPr>
          <w:bCs/>
        </w:rPr>
      </w:pPr>
      <w:r>
        <w:rPr>
          <w:bCs/>
          <w:spacing w:val="2"/>
          <w:bdr w:val="none" w:sz="0" w:space="0" w:color="auto" w:frame="1"/>
        </w:rPr>
        <w:t xml:space="preserve">The position is governed by the relevant parts of the </w:t>
      </w:r>
      <w:r w:rsidR="001E12A4" w:rsidRPr="000E0CA0">
        <w:rPr>
          <w:bCs/>
          <w:spacing w:val="2"/>
          <w:bdr w:val="none" w:sz="0" w:space="0" w:color="auto" w:frame="1"/>
        </w:rPr>
        <w:t xml:space="preserve">Withdrawal </w:t>
      </w:r>
      <w:r w:rsidR="001E12A4" w:rsidRPr="000E0CA0">
        <w:rPr>
          <w:bCs/>
        </w:rPr>
        <w:t>Agreement</w:t>
      </w:r>
      <w:r w:rsidR="001E12A4" w:rsidRPr="000E0CA0">
        <w:rPr>
          <w:bCs/>
          <w:vertAlign w:val="superscript"/>
        </w:rPr>
        <w:footnoteReference w:id="1"/>
      </w:r>
      <w:r>
        <w:rPr>
          <w:bCs/>
        </w:rPr>
        <w:t xml:space="preserve">. </w:t>
      </w:r>
      <w:r w:rsidR="001E12A4" w:rsidRPr="000E0CA0">
        <w:rPr>
          <w:bCs/>
        </w:rPr>
        <w:t xml:space="preserve"> </w:t>
      </w:r>
      <w:r w:rsidRPr="000E0CA0">
        <w:rPr>
          <w:bCs/>
          <w:spacing w:val="2"/>
          <w:bdr w:val="none" w:sz="0" w:space="0" w:color="auto" w:frame="1"/>
        </w:rPr>
        <w:t xml:space="preserve">The obligations </w:t>
      </w:r>
      <w:r>
        <w:rPr>
          <w:bCs/>
          <w:spacing w:val="2"/>
          <w:bdr w:val="none" w:sz="0" w:space="0" w:color="auto" w:frame="1"/>
        </w:rPr>
        <w:t xml:space="preserve">in the Withdrawal Agreement </w:t>
      </w:r>
      <w:r w:rsidRPr="000E0CA0">
        <w:rPr>
          <w:bCs/>
          <w:spacing w:val="2"/>
          <w:bdr w:val="none" w:sz="0" w:space="0" w:color="auto" w:frame="1"/>
        </w:rPr>
        <w:t xml:space="preserve">were given effect to by </w:t>
      </w:r>
      <w:r w:rsidR="008C76C3">
        <w:rPr>
          <w:bCs/>
          <w:spacing w:val="2"/>
          <w:bdr w:val="none" w:sz="0" w:space="0" w:color="auto" w:frame="1"/>
        </w:rPr>
        <w:t>t</w:t>
      </w:r>
      <w:r w:rsidRPr="000E0CA0">
        <w:rPr>
          <w:bCs/>
          <w:spacing w:val="2"/>
          <w:bdr w:val="none" w:sz="0" w:space="0" w:color="auto" w:frame="1"/>
        </w:rPr>
        <w:t xml:space="preserve">he </w:t>
      </w:r>
      <w:r w:rsidRPr="000E0CA0">
        <w:rPr>
          <w:bCs/>
        </w:rPr>
        <w:t xml:space="preserve">European Union </w:t>
      </w:r>
      <w:r w:rsidRPr="000E0CA0">
        <w:rPr>
          <w:bCs/>
        </w:rPr>
        <w:lastRenderedPageBreak/>
        <w:t>(Withdrawal) Act 2018 (“</w:t>
      </w:r>
      <w:r w:rsidRPr="000E0CA0">
        <w:rPr>
          <w:bCs/>
          <w:i/>
          <w:iCs/>
        </w:rPr>
        <w:t>EUWA”</w:t>
      </w:r>
      <w:r w:rsidRPr="000E0CA0">
        <w:rPr>
          <w:bCs/>
        </w:rPr>
        <w:t>) as amended by the European Union (Withdrawal Agreement) Act 2020 (“</w:t>
      </w:r>
      <w:r w:rsidRPr="000E0CA0">
        <w:rPr>
          <w:bCs/>
          <w:i/>
          <w:iCs/>
        </w:rPr>
        <w:t>WAA</w:t>
      </w:r>
      <w:r w:rsidRPr="000E0CA0">
        <w:rPr>
          <w:bCs/>
        </w:rPr>
        <w:t xml:space="preserve">”) which received Royal </w:t>
      </w:r>
      <w:r w:rsidR="00451BC6">
        <w:rPr>
          <w:bCs/>
        </w:rPr>
        <w:t>A</w:t>
      </w:r>
      <w:r w:rsidRPr="000E0CA0">
        <w:rPr>
          <w:bCs/>
        </w:rPr>
        <w:t>ssent on 23</w:t>
      </w:r>
      <w:r w:rsidRPr="000E0CA0">
        <w:rPr>
          <w:bCs/>
          <w:vertAlign w:val="superscript"/>
        </w:rPr>
        <w:t>rd</w:t>
      </w:r>
      <w:r w:rsidRPr="000E0CA0">
        <w:rPr>
          <w:bCs/>
        </w:rPr>
        <w:t xml:space="preserve"> January 2020</w:t>
      </w:r>
      <w:r w:rsidRPr="000E0CA0">
        <w:rPr>
          <w:rStyle w:val="FootnoteReference"/>
          <w:bCs/>
        </w:rPr>
        <w:footnoteReference w:id="2"/>
      </w:r>
      <w:r w:rsidRPr="000E0CA0">
        <w:rPr>
          <w:bCs/>
        </w:rPr>
        <w:t>.</w:t>
      </w:r>
      <w:r>
        <w:rPr>
          <w:bCs/>
        </w:rPr>
        <w:t xml:space="preserve">  A</w:t>
      </w:r>
      <w:r w:rsidR="001E12A4" w:rsidRPr="000E0CA0">
        <w:rPr>
          <w:bCs/>
          <w:spacing w:val="2"/>
          <w:bdr w:val="none" w:sz="0" w:space="0" w:color="auto" w:frame="1"/>
        </w:rPr>
        <w:t>fter exit day “</w:t>
      </w:r>
      <w:r w:rsidR="001E12A4" w:rsidRPr="000E0CA0">
        <w:rPr>
          <w:bCs/>
          <w:i/>
          <w:iCs/>
          <w:spacing w:val="2"/>
          <w:bdr w:val="none" w:sz="0" w:space="0" w:color="auto" w:frame="1"/>
        </w:rPr>
        <w:t>Union law</w:t>
      </w:r>
      <w:r w:rsidR="001E12A4" w:rsidRPr="000E0CA0">
        <w:rPr>
          <w:bCs/>
          <w:spacing w:val="2"/>
          <w:bdr w:val="none" w:sz="0" w:space="0" w:color="auto" w:frame="1"/>
        </w:rPr>
        <w:t>”  (as defined</w:t>
      </w:r>
      <w:r>
        <w:rPr>
          <w:bCs/>
          <w:spacing w:val="2"/>
          <w:bdr w:val="none" w:sz="0" w:space="0" w:color="auto" w:frame="1"/>
        </w:rPr>
        <w:t xml:space="preserve"> in the Withdrawal Agreement</w:t>
      </w:r>
      <w:r w:rsidR="000E0CA0" w:rsidRPr="000E0CA0">
        <w:rPr>
          <w:rStyle w:val="FootnoteReference"/>
          <w:bCs/>
          <w:spacing w:val="2"/>
          <w:bdr w:val="none" w:sz="0" w:space="0" w:color="auto" w:frame="1"/>
        </w:rPr>
        <w:footnoteReference w:id="3"/>
      </w:r>
      <w:r w:rsidR="001E12A4" w:rsidRPr="000E0CA0">
        <w:rPr>
          <w:bCs/>
          <w:spacing w:val="2"/>
          <w:bdr w:val="none" w:sz="0" w:space="0" w:color="auto" w:frame="1"/>
        </w:rPr>
        <w:t xml:space="preserve">) </w:t>
      </w:r>
      <w:r w:rsidR="008B1B7C" w:rsidRPr="000E0CA0">
        <w:rPr>
          <w:bCs/>
          <w:spacing w:val="2"/>
          <w:bdr w:val="none" w:sz="0" w:space="0" w:color="auto" w:frame="1"/>
        </w:rPr>
        <w:t>continue</w:t>
      </w:r>
      <w:r w:rsidR="001E12A4" w:rsidRPr="000E0CA0">
        <w:rPr>
          <w:bCs/>
          <w:spacing w:val="2"/>
          <w:bdr w:val="none" w:sz="0" w:space="0" w:color="auto" w:frame="1"/>
        </w:rPr>
        <w:t>s</w:t>
      </w:r>
      <w:r w:rsidR="008B1B7C" w:rsidRPr="000E0CA0">
        <w:rPr>
          <w:bCs/>
          <w:spacing w:val="2"/>
          <w:bdr w:val="none" w:sz="0" w:space="0" w:color="auto" w:frame="1"/>
        </w:rPr>
        <w:t xml:space="preserve"> to have </w:t>
      </w:r>
      <w:r w:rsidR="001D4FDA" w:rsidRPr="000E0CA0">
        <w:rPr>
          <w:bCs/>
          <w:spacing w:val="2"/>
          <w:bdr w:val="none" w:sz="0" w:space="0" w:color="auto" w:frame="1"/>
        </w:rPr>
        <w:t xml:space="preserve">the same effect as </w:t>
      </w:r>
      <w:r w:rsidR="001E12A4" w:rsidRPr="000E0CA0">
        <w:rPr>
          <w:bCs/>
          <w:spacing w:val="2"/>
          <w:bdr w:val="none" w:sz="0" w:space="0" w:color="auto" w:frame="1"/>
        </w:rPr>
        <w:t xml:space="preserve">it </w:t>
      </w:r>
      <w:r w:rsidR="001D4FDA" w:rsidRPr="000E0CA0">
        <w:rPr>
          <w:bCs/>
          <w:spacing w:val="2"/>
          <w:bdr w:val="none" w:sz="0" w:space="0" w:color="auto" w:frame="1"/>
        </w:rPr>
        <w:t xml:space="preserve">did prior to exit, </w:t>
      </w:r>
      <w:r w:rsidR="008B1B7C" w:rsidRPr="000E0CA0">
        <w:rPr>
          <w:bCs/>
          <w:spacing w:val="2"/>
          <w:bdr w:val="none" w:sz="0" w:space="0" w:color="auto" w:frame="1"/>
        </w:rPr>
        <w:t xml:space="preserve">until 11pm </w:t>
      </w:r>
      <w:r w:rsidR="0028147B">
        <w:rPr>
          <w:bCs/>
          <w:spacing w:val="2"/>
          <w:bdr w:val="none" w:sz="0" w:space="0" w:color="auto" w:frame="1"/>
        </w:rPr>
        <w:t xml:space="preserve">on </w:t>
      </w:r>
      <w:r w:rsidR="008B1B7C" w:rsidRPr="000E0CA0">
        <w:rPr>
          <w:bCs/>
          <w:spacing w:val="2"/>
          <w:bdr w:val="none" w:sz="0" w:space="0" w:color="auto" w:frame="1"/>
        </w:rPr>
        <w:t>31</w:t>
      </w:r>
      <w:r w:rsidR="008B1B7C" w:rsidRPr="000E0CA0">
        <w:rPr>
          <w:bCs/>
          <w:spacing w:val="2"/>
          <w:bdr w:val="none" w:sz="0" w:space="0" w:color="auto" w:frame="1"/>
          <w:vertAlign w:val="superscript"/>
        </w:rPr>
        <w:t>st</w:t>
      </w:r>
      <w:r w:rsidR="008B1B7C" w:rsidRPr="000E0CA0">
        <w:rPr>
          <w:bCs/>
          <w:spacing w:val="2"/>
          <w:bdr w:val="none" w:sz="0" w:space="0" w:color="auto" w:frame="1"/>
        </w:rPr>
        <w:t xml:space="preserve"> December 2020, which is </w:t>
      </w:r>
      <w:r w:rsidR="0028147B">
        <w:rPr>
          <w:bCs/>
          <w:spacing w:val="2"/>
          <w:bdr w:val="none" w:sz="0" w:space="0" w:color="auto" w:frame="1"/>
        </w:rPr>
        <w:t xml:space="preserve">the </w:t>
      </w:r>
      <w:r w:rsidR="008B1B7C" w:rsidRPr="000E0CA0">
        <w:rPr>
          <w:bCs/>
          <w:spacing w:val="2"/>
          <w:bdr w:val="none" w:sz="0" w:space="0" w:color="auto" w:frame="1"/>
        </w:rPr>
        <w:t>end of the Implementation Period or “</w:t>
      </w:r>
      <w:r w:rsidR="008B1B7C" w:rsidRPr="000E0CA0">
        <w:rPr>
          <w:bCs/>
          <w:i/>
          <w:iCs/>
          <w:spacing w:val="2"/>
          <w:bdr w:val="none" w:sz="0" w:space="0" w:color="auto" w:frame="1"/>
        </w:rPr>
        <w:t>IP</w:t>
      </w:r>
      <w:r w:rsidR="008B1B7C" w:rsidRPr="000E0CA0">
        <w:rPr>
          <w:bCs/>
          <w:spacing w:val="2"/>
          <w:bdr w:val="none" w:sz="0" w:space="0" w:color="auto" w:frame="1"/>
        </w:rPr>
        <w:t>”</w:t>
      </w:r>
      <w:r w:rsidR="001E12A4" w:rsidRPr="000E0CA0">
        <w:rPr>
          <w:bCs/>
          <w:spacing w:val="2"/>
          <w:bdr w:val="none" w:sz="0" w:space="0" w:color="auto" w:frame="1"/>
        </w:rPr>
        <w:t>.</w:t>
      </w:r>
      <w:r w:rsidR="001E12A4" w:rsidRPr="000E0CA0">
        <w:rPr>
          <w:rStyle w:val="FootnoteReference"/>
          <w:bCs/>
          <w:spacing w:val="2"/>
          <w:bdr w:val="none" w:sz="0" w:space="0" w:color="auto" w:frame="1"/>
        </w:rPr>
        <w:footnoteReference w:id="4"/>
      </w:r>
      <w:r w:rsidR="001E12A4" w:rsidRPr="000E0CA0">
        <w:rPr>
          <w:bCs/>
          <w:spacing w:val="2"/>
          <w:bdr w:val="none" w:sz="0" w:space="0" w:color="auto" w:frame="1"/>
        </w:rPr>
        <w:t xml:space="preserve"> The expression “</w:t>
      </w:r>
      <w:r w:rsidR="001E12A4" w:rsidRPr="000E0CA0">
        <w:rPr>
          <w:bCs/>
          <w:i/>
          <w:iCs/>
          <w:spacing w:val="2"/>
          <w:bdr w:val="none" w:sz="0" w:space="0" w:color="auto" w:frame="1"/>
        </w:rPr>
        <w:t>Union law</w:t>
      </w:r>
      <w:r w:rsidR="001E12A4" w:rsidRPr="000E0CA0">
        <w:rPr>
          <w:bCs/>
          <w:spacing w:val="2"/>
          <w:bdr w:val="none" w:sz="0" w:space="0" w:color="auto" w:frame="1"/>
        </w:rPr>
        <w:t>” includes: the Treaty on the Functioning of the European Union (“</w:t>
      </w:r>
      <w:r w:rsidR="001E12A4" w:rsidRPr="000E0CA0">
        <w:rPr>
          <w:bCs/>
          <w:i/>
          <w:iCs/>
          <w:spacing w:val="2"/>
          <w:bdr w:val="none" w:sz="0" w:space="0" w:color="auto" w:frame="1"/>
        </w:rPr>
        <w:t>TFEU</w:t>
      </w:r>
      <w:r w:rsidR="001E12A4" w:rsidRPr="000E0CA0">
        <w:rPr>
          <w:bCs/>
          <w:spacing w:val="2"/>
          <w:bdr w:val="none" w:sz="0" w:space="0" w:color="auto" w:frame="1"/>
        </w:rPr>
        <w:t>”)</w:t>
      </w:r>
      <w:r w:rsidR="00F0139E" w:rsidRPr="000E0CA0">
        <w:rPr>
          <w:bCs/>
          <w:spacing w:val="2"/>
          <w:bdr w:val="none" w:sz="0" w:space="0" w:color="auto" w:frame="1"/>
        </w:rPr>
        <w:t>,</w:t>
      </w:r>
      <w:r w:rsidR="001E12A4" w:rsidRPr="000E0CA0">
        <w:rPr>
          <w:bCs/>
          <w:spacing w:val="2"/>
          <w:bdr w:val="none" w:sz="0" w:space="0" w:color="auto" w:frame="1"/>
        </w:rPr>
        <w:t xml:space="preserve"> the Charter on Fundamental Rights (“</w:t>
      </w:r>
      <w:r w:rsidR="001E12A4" w:rsidRPr="000E0CA0">
        <w:rPr>
          <w:bCs/>
          <w:i/>
          <w:iCs/>
          <w:spacing w:val="2"/>
          <w:bdr w:val="none" w:sz="0" w:space="0" w:color="auto" w:frame="1"/>
        </w:rPr>
        <w:t>the Charter</w:t>
      </w:r>
      <w:r w:rsidR="001E12A4" w:rsidRPr="000E0CA0">
        <w:rPr>
          <w:bCs/>
          <w:spacing w:val="2"/>
          <w:bdr w:val="none" w:sz="0" w:space="0" w:color="auto" w:frame="1"/>
        </w:rPr>
        <w:t>”</w:t>
      </w:r>
      <w:r w:rsidR="0028147B">
        <w:rPr>
          <w:bCs/>
          <w:spacing w:val="2"/>
          <w:bdr w:val="none" w:sz="0" w:space="0" w:color="auto" w:frame="1"/>
        </w:rPr>
        <w:t>)</w:t>
      </w:r>
      <w:r w:rsidR="00F0139E" w:rsidRPr="000E0CA0">
        <w:rPr>
          <w:bCs/>
          <w:spacing w:val="2"/>
          <w:bdr w:val="none" w:sz="0" w:space="0" w:color="auto" w:frame="1"/>
        </w:rPr>
        <w:t>,</w:t>
      </w:r>
      <w:r w:rsidR="001E12A4" w:rsidRPr="000E0CA0">
        <w:rPr>
          <w:bCs/>
          <w:spacing w:val="2"/>
          <w:bdr w:val="none" w:sz="0" w:space="0" w:color="auto" w:frame="1"/>
        </w:rPr>
        <w:t xml:space="preserve"> the general principles of EU law</w:t>
      </w:r>
      <w:r w:rsidR="00F0139E" w:rsidRPr="000E0CA0">
        <w:rPr>
          <w:bCs/>
          <w:spacing w:val="2"/>
          <w:bdr w:val="none" w:sz="0" w:space="0" w:color="auto" w:frame="1"/>
        </w:rPr>
        <w:t>,</w:t>
      </w:r>
      <w:r w:rsidR="001E12A4" w:rsidRPr="000E0CA0">
        <w:rPr>
          <w:bCs/>
          <w:spacing w:val="2"/>
          <w:bdr w:val="none" w:sz="0" w:space="0" w:color="auto" w:frame="1"/>
        </w:rPr>
        <w:t xml:space="preserve"> and the acts of the institution which therefore covers regulations and directives.   </w:t>
      </w:r>
      <w:r w:rsidR="008B1B7C" w:rsidRPr="000E0CA0">
        <w:rPr>
          <w:bCs/>
        </w:rPr>
        <w:t xml:space="preserve">   </w:t>
      </w:r>
    </w:p>
    <w:p w14:paraId="47A985ED" w14:textId="77777777" w:rsidR="00817F38" w:rsidRPr="000E0CA0" w:rsidRDefault="00D82D8C" w:rsidP="002D37BA">
      <w:pPr>
        <w:numPr>
          <w:ilvl w:val="0"/>
          <w:numId w:val="13"/>
        </w:numPr>
        <w:suppressAutoHyphens/>
        <w:spacing w:before="240" w:after="240"/>
        <w:ind w:left="567" w:hanging="567"/>
        <w:jc w:val="both"/>
        <w:outlineLvl w:val="0"/>
        <w:rPr>
          <w:bCs/>
        </w:rPr>
      </w:pPr>
      <w:r>
        <w:rPr>
          <w:bCs/>
        </w:rPr>
        <w:t>During the IP</w:t>
      </w:r>
      <w:r w:rsidR="006D0E3C">
        <w:rPr>
          <w:bCs/>
        </w:rPr>
        <w:t>:</w:t>
      </w:r>
      <w:r>
        <w:rPr>
          <w:bCs/>
        </w:rPr>
        <w:t xml:space="preserve"> the </w:t>
      </w:r>
      <w:r w:rsidR="008B1B7C" w:rsidRPr="000E0CA0">
        <w:rPr>
          <w:bCs/>
        </w:rPr>
        <w:t>doctrine of supremacy is retained</w:t>
      </w:r>
      <w:r>
        <w:rPr>
          <w:rStyle w:val="FootnoteReference"/>
          <w:bCs/>
        </w:rPr>
        <w:footnoteReference w:id="5"/>
      </w:r>
      <w:r>
        <w:rPr>
          <w:bCs/>
        </w:rPr>
        <w:t>;</w:t>
      </w:r>
      <w:r w:rsidR="008B1B7C" w:rsidRPr="000E0CA0">
        <w:rPr>
          <w:bCs/>
        </w:rPr>
        <w:t xml:space="preserve"> </w:t>
      </w:r>
      <w:r w:rsidR="000E0CA0" w:rsidRPr="000E0CA0">
        <w:rPr>
          <w:bCs/>
          <w:spacing w:val="2"/>
        </w:rPr>
        <w:t xml:space="preserve">national courts remain entitled to disapply inconsistent national law and </w:t>
      </w:r>
      <w:r w:rsidR="006D0E3C">
        <w:rPr>
          <w:bCs/>
          <w:spacing w:val="2"/>
        </w:rPr>
        <w:t xml:space="preserve">should apply the usual </w:t>
      </w:r>
      <w:r w:rsidR="000E0CA0" w:rsidRPr="000E0CA0">
        <w:rPr>
          <w:bCs/>
          <w:spacing w:val="2"/>
        </w:rPr>
        <w:t>principles of interpretation</w:t>
      </w:r>
      <w:r w:rsidR="000E0CA0" w:rsidRPr="000E0CA0">
        <w:rPr>
          <w:rStyle w:val="FootnoteReference"/>
          <w:bCs/>
          <w:spacing w:val="2"/>
        </w:rPr>
        <w:footnoteReference w:id="6"/>
      </w:r>
      <w:r>
        <w:rPr>
          <w:bCs/>
          <w:spacing w:val="2"/>
        </w:rPr>
        <w:t>; w</w:t>
      </w:r>
      <w:r w:rsidR="008E05C0">
        <w:rPr>
          <w:bCs/>
          <w:spacing w:val="2"/>
        </w:rPr>
        <w:t>hen construing Union law the courts must have “</w:t>
      </w:r>
      <w:r w:rsidR="008E05C0" w:rsidRPr="008E05C0">
        <w:rPr>
          <w:bCs/>
          <w:i/>
          <w:iCs/>
          <w:spacing w:val="2"/>
        </w:rPr>
        <w:t>due regard</w:t>
      </w:r>
      <w:r w:rsidR="008E05C0">
        <w:rPr>
          <w:bCs/>
          <w:spacing w:val="2"/>
        </w:rPr>
        <w:t>” to the case law of the Court of Justice</w:t>
      </w:r>
      <w:bookmarkStart w:id="1" w:name="para17"/>
      <w:r w:rsidR="000E0CA0" w:rsidRPr="000E0CA0">
        <w:rPr>
          <w:rStyle w:val="FootnoteReference"/>
        </w:rPr>
        <w:footnoteReference w:id="7"/>
      </w:r>
      <w:r>
        <w:rPr>
          <w:bCs/>
          <w:spacing w:val="2"/>
        </w:rPr>
        <w:t>;</w:t>
      </w:r>
      <w:r w:rsidR="006D0E3C">
        <w:rPr>
          <w:bCs/>
          <w:spacing w:val="2"/>
        </w:rPr>
        <w:t xml:space="preserve"> </w:t>
      </w:r>
      <w:r>
        <w:rPr>
          <w:bCs/>
          <w:spacing w:val="2"/>
        </w:rPr>
        <w:t xml:space="preserve">and </w:t>
      </w:r>
      <w:bookmarkEnd w:id="1"/>
      <w:r>
        <w:rPr>
          <w:bCs/>
        </w:rPr>
        <w:t>t</w:t>
      </w:r>
      <w:r w:rsidR="008B1B7C" w:rsidRPr="000E0CA0">
        <w:rPr>
          <w:bCs/>
        </w:rPr>
        <w:t>h</w:t>
      </w:r>
      <w:r w:rsidR="000E0CA0" w:rsidRPr="000E0CA0">
        <w:rPr>
          <w:bCs/>
        </w:rPr>
        <w:t>e c</w:t>
      </w:r>
      <w:r w:rsidR="008B1B7C" w:rsidRPr="000E0CA0">
        <w:rPr>
          <w:bCs/>
        </w:rPr>
        <w:t>ourt</w:t>
      </w:r>
      <w:r w:rsidR="000E0CA0" w:rsidRPr="000E0CA0">
        <w:rPr>
          <w:bCs/>
        </w:rPr>
        <w:t>s</w:t>
      </w:r>
      <w:r w:rsidR="008B1B7C" w:rsidRPr="000E0CA0">
        <w:rPr>
          <w:bCs/>
        </w:rPr>
        <w:t xml:space="preserve"> ha</w:t>
      </w:r>
      <w:r w:rsidR="000E0CA0" w:rsidRPr="000E0CA0">
        <w:rPr>
          <w:bCs/>
        </w:rPr>
        <w:t>ve</w:t>
      </w:r>
      <w:r w:rsidR="008B1B7C" w:rsidRPr="000E0CA0">
        <w:rPr>
          <w:bCs/>
        </w:rPr>
        <w:t xml:space="preserve"> the power to make a reference </w:t>
      </w:r>
      <w:r w:rsidR="000E0CA0" w:rsidRPr="000E0CA0">
        <w:rPr>
          <w:bCs/>
        </w:rPr>
        <w:t>to the Court of Justice</w:t>
      </w:r>
      <w:r w:rsidR="006D0E3C">
        <w:rPr>
          <w:bCs/>
        </w:rPr>
        <w:t>.</w:t>
      </w:r>
      <w:r w:rsidR="000E0CA0" w:rsidRPr="000E0CA0">
        <w:rPr>
          <w:rStyle w:val="FootnoteReference"/>
          <w:bCs/>
        </w:rPr>
        <w:footnoteReference w:id="8"/>
      </w:r>
      <w:r w:rsidR="006D0E3C">
        <w:rPr>
          <w:bCs/>
        </w:rPr>
        <w:t xml:space="preserve">  In short</w:t>
      </w:r>
      <w:r w:rsidR="0028147B">
        <w:rPr>
          <w:bCs/>
        </w:rPr>
        <w:t>,</w:t>
      </w:r>
      <w:r w:rsidR="006D0E3C">
        <w:rPr>
          <w:bCs/>
        </w:rPr>
        <w:t xml:space="preserve"> during the IP the law that applies remains as it stood prior to exit day.  There are some modifications </w:t>
      </w:r>
      <w:r w:rsidR="0007217B">
        <w:rPr>
          <w:bCs/>
        </w:rPr>
        <w:t xml:space="preserve">and exceptions </w:t>
      </w:r>
      <w:r w:rsidR="006D0E3C">
        <w:rPr>
          <w:bCs/>
        </w:rPr>
        <w:t xml:space="preserve">to this </w:t>
      </w:r>
      <w:r w:rsidR="000B6CC2">
        <w:rPr>
          <w:bCs/>
        </w:rPr>
        <w:t>position,</w:t>
      </w:r>
      <w:r w:rsidR="006D0E3C">
        <w:rPr>
          <w:bCs/>
        </w:rPr>
        <w:t xml:space="preserve"> but these are not relevant to this appeal and I do not need to address them.</w:t>
      </w:r>
    </w:p>
    <w:p w14:paraId="4D83A412" w14:textId="77777777" w:rsidR="007973B9" w:rsidRPr="000E0CA0" w:rsidRDefault="007973B9" w:rsidP="002D37BA">
      <w:pPr>
        <w:pStyle w:val="ParaLevel1"/>
        <w:tabs>
          <w:tab w:val="clear" w:pos="1996"/>
          <w:tab w:val="num" w:pos="567"/>
        </w:tabs>
        <w:ind w:left="1985" w:hanging="1996"/>
        <w:rPr>
          <w:b/>
          <w:szCs w:val="24"/>
          <w:u w:val="single"/>
        </w:rPr>
      </w:pPr>
      <w:r w:rsidRPr="000E0CA0">
        <w:rPr>
          <w:b/>
          <w:szCs w:val="24"/>
          <w:u w:val="single"/>
        </w:rPr>
        <w:t>The Facts</w:t>
      </w:r>
    </w:p>
    <w:p w14:paraId="4E3A319C" w14:textId="77777777" w:rsidR="00567F14" w:rsidRPr="000E0CA0" w:rsidRDefault="00A80D43" w:rsidP="002D37BA">
      <w:pPr>
        <w:pStyle w:val="ParaLevel1"/>
        <w:numPr>
          <w:ilvl w:val="0"/>
          <w:numId w:val="13"/>
        </w:numPr>
        <w:tabs>
          <w:tab w:val="num" w:pos="567"/>
        </w:tabs>
        <w:ind w:left="567" w:hanging="567"/>
        <w:rPr>
          <w:bCs/>
          <w:szCs w:val="24"/>
        </w:rPr>
      </w:pPr>
      <w:r w:rsidRPr="000E0CA0">
        <w:rPr>
          <w:bCs/>
          <w:szCs w:val="24"/>
        </w:rPr>
        <w:t xml:space="preserve">I turn now to the facts. </w:t>
      </w:r>
      <w:r w:rsidR="007973B9" w:rsidRPr="000E0CA0">
        <w:rPr>
          <w:bCs/>
          <w:szCs w:val="24"/>
        </w:rPr>
        <w:t>The detailed facts are set out in the Judgment of Mrs Justice Carr</w:t>
      </w:r>
      <w:r w:rsidR="0028147B">
        <w:rPr>
          <w:bCs/>
          <w:szCs w:val="24"/>
        </w:rPr>
        <w:t xml:space="preserve"> DBE</w:t>
      </w:r>
      <w:r w:rsidR="007973B9" w:rsidRPr="000E0CA0">
        <w:rPr>
          <w:bCs/>
          <w:szCs w:val="24"/>
        </w:rPr>
        <w:t xml:space="preserve"> </w:t>
      </w:r>
      <w:r w:rsidR="00590C0B">
        <w:rPr>
          <w:bCs/>
          <w:szCs w:val="24"/>
        </w:rPr>
        <w:t>(“</w:t>
      </w:r>
      <w:r w:rsidR="00590C0B" w:rsidRPr="00590C0B">
        <w:rPr>
          <w:bCs/>
          <w:i/>
          <w:iCs/>
          <w:szCs w:val="24"/>
        </w:rPr>
        <w:t>the Judgment</w:t>
      </w:r>
      <w:r w:rsidR="00590C0B">
        <w:rPr>
          <w:bCs/>
          <w:szCs w:val="24"/>
        </w:rPr>
        <w:t xml:space="preserve">”) </w:t>
      </w:r>
      <w:r w:rsidR="007973B9" w:rsidRPr="000E0CA0">
        <w:rPr>
          <w:bCs/>
          <w:szCs w:val="24"/>
        </w:rPr>
        <w:t>and do not need to be repeated in this judgment</w:t>
      </w:r>
      <w:r w:rsidR="003970CA" w:rsidRPr="000E0CA0">
        <w:rPr>
          <w:bCs/>
          <w:szCs w:val="24"/>
        </w:rPr>
        <w:t xml:space="preserve">: see </w:t>
      </w:r>
      <w:r w:rsidR="00A12C5F" w:rsidRPr="000E0CA0">
        <w:rPr>
          <w:bCs/>
          <w:szCs w:val="24"/>
        </w:rPr>
        <w:t xml:space="preserve">Judgment </w:t>
      </w:r>
      <w:r w:rsidR="003970CA" w:rsidRPr="000E0CA0">
        <w:rPr>
          <w:bCs/>
          <w:szCs w:val="24"/>
        </w:rPr>
        <w:t>paragraphs [9]</w:t>
      </w:r>
      <w:r w:rsidR="00A12C5F" w:rsidRPr="000E0CA0">
        <w:rPr>
          <w:bCs/>
          <w:szCs w:val="24"/>
        </w:rPr>
        <w:t xml:space="preserve"> </w:t>
      </w:r>
      <w:r w:rsidR="003970CA" w:rsidRPr="000E0CA0">
        <w:rPr>
          <w:bCs/>
          <w:szCs w:val="24"/>
        </w:rPr>
        <w:t>-</w:t>
      </w:r>
      <w:r w:rsidR="00A12C5F" w:rsidRPr="000E0CA0">
        <w:rPr>
          <w:bCs/>
          <w:szCs w:val="24"/>
        </w:rPr>
        <w:t xml:space="preserve"> </w:t>
      </w:r>
      <w:r w:rsidR="003970CA" w:rsidRPr="000E0CA0">
        <w:rPr>
          <w:bCs/>
          <w:szCs w:val="24"/>
        </w:rPr>
        <w:t>[30].</w:t>
      </w:r>
      <w:r w:rsidR="007973B9" w:rsidRPr="000E0CA0">
        <w:rPr>
          <w:bCs/>
          <w:szCs w:val="24"/>
        </w:rPr>
        <w:t xml:space="preserve">  </w:t>
      </w:r>
      <w:r w:rsidR="00A12C5F" w:rsidRPr="000E0CA0">
        <w:rPr>
          <w:bCs/>
          <w:szCs w:val="24"/>
        </w:rPr>
        <w:t>I summarise below, first, the broad outline of the relevant provisions of Italian law which govern the regulation of the export of cultural goods, and second</w:t>
      </w:r>
      <w:r w:rsidRPr="000E0CA0">
        <w:rPr>
          <w:bCs/>
          <w:szCs w:val="24"/>
        </w:rPr>
        <w:t>ly</w:t>
      </w:r>
      <w:r w:rsidR="00A12C5F" w:rsidRPr="000E0CA0">
        <w:rPr>
          <w:bCs/>
          <w:szCs w:val="24"/>
        </w:rPr>
        <w:t xml:space="preserve">, the </w:t>
      </w:r>
      <w:r w:rsidR="00590C0B">
        <w:rPr>
          <w:bCs/>
          <w:szCs w:val="24"/>
        </w:rPr>
        <w:t xml:space="preserve">salient points </w:t>
      </w:r>
      <w:r w:rsidR="00A12C5F" w:rsidRPr="000E0CA0">
        <w:rPr>
          <w:bCs/>
          <w:szCs w:val="24"/>
        </w:rPr>
        <w:t xml:space="preserve">in the chronology covering the </w:t>
      </w:r>
      <w:r w:rsidR="0020787B" w:rsidRPr="000E0CA0">
        <w:rPr>
          <w:bCs/>
          <w:szCs w:val="24"/>
        </w:rPr>
        <w:t xml:space="preserve">movements of the painting </w:t>
      </w:r>
      <w:r w:rsidR="00590C0B">
        <w:rPr>
          <w:bCs/>
          <w:szCs w:val="24"/>
        </w:rPr>
        <w:t xml:space="preserve">and developments in its attribution. </w:t>
      </w:r>
      <w:r w:rsidR="0020787B" w:rsidRPr="000E0CA0">
        <w:rPr>
          <w:bCs/>
          <w:szCs w:val="24"/>
        </w:rPr>
        <w:t xml:space="preserve"> </w:t>
      </w:r>
    </w:p>
    <w:p w14:paraId="298E1D2B" w14:textId="77777777" w:rsidR="001D4FDA" w:rsidRPr="000E0CA0" w:rsidRDefault="001D4FDA" w:rsidP="002D37BA">
      <w:pPr>
        <w:pStyle w:val="ParaLevel1"/>
        <w:numPr>
          <w:ilvl w:val="0"/>
          <w:numId w:val="26"/>
        </w:numPr>
        <w:ind w:left="993" w:hanging="426"/>
        <w:rPr>
          <w:b/>
          <w:bCs/>
          <w:i/>
          <w:szCs w:val="24"/>
        </w:rPr>
      </w:pPr>
      <w:r w:rsidRPr="000E0CA0">
        <w:rPr>
          <w:b/>
          <w:bCs/>
          <w:i/>
          <w:szCs w:val="24"/>
        </w:rPr>
        <w:t xml:space="preserve">Relevant Italian law </w:t>
      </w:r>
    </w:p>
    <w:p w14:paraId="4C01B8E3" w14:textId="32ABC9A5" w:rsidR="00D94BF9" w:rsidRPr="000E0CA0" w:rsidRDefault="00D94BF9" w:rsidP="002D37BA">
      <w:pPr>
        <w:pStyle w:val="ParaLevel1"/>
        <w:numPr>
          <w:ilvl w:val="0"/>
          <w:numId w:val="13"/>
        </w:numPr>
        <w:ind w:left="567" w:hanging="567"/>
        <w:rPr>
          <w:bCs/>
          <w:szCs w:val="24"/>
          <w:lang w:val="en"/>
        </w:rPr>
      </w:pPr>
      <w:r w:rsidRPr="000E0CA0">
        <w:rPr>
          <w:bCs/>
          <w:szCs w:val="24"/>
        </w:rPr>
        <w:t>Articles 35 to 39 of Law 1089/1939 (as amended) (“</w:t>
      </w:r>
      <w:r w:rsidRPr="000E0CA0">
        <w:rPr>
          <w:bCs/>
          <w:i/>
          <w:iCs/>
          <w:szCs w:val="24"/>
        </w:rPr>
        <w:t>the 1939 law</w:t>
      </w:r>
      <w:r w:rsidRPr="000E0CA0">
        <w:rPr>
          <w:bCs/>
          <w:szCs w:val="24"/>
        </w:rPr>
        <w:t xml:space="preserve">”) provide for the Italian authorities to license the import or export of important cultural items. Control is exercised over export by a system of time-limited licences and free movement certificates </w:t>
      </w:r>
      <w:r w:rsidR="0028147B">
        <w:rPr>
          <w:bCs/>
          <w:szCs w:val="24"/>
        </w:rPr>
        <w:t>with</w:t>
      </w:r>
      <w:r w:rsidRPr="000E0CA0">
        <w:rPr>
          <w:bCs/>
          <w:szCs w:val="24"/>
        </w:rPr>
        <w:t xml:space="preserve"> regular requirements to reapply during which the object must be presented for inspection and accompanied by a declaration of value.</w:t>
      </w:r>
      <w:bookmarkStart w:id="2" w:name="_Hlk517862063"/>
      <w:r w:rsidRPr="000E0CA0">
        <w:rPr>
          <w:bCs/>
          <w:szCs w:val="24"/>
        </w:rPr>
        <w:t xml:space="preserve"> Where items have been temporarily imported</w:t>
      </w:r>
      <w:r w:rsidR="00451BC6">
        <w:rPr>
          <w:bCs/>
          <w:szCs w:val="24"/>
        </w:rPr>
        <w:t>,</w:t>
      </w:r>
      <w:r w:rsidR="005E3747" w:rsidRPr="000E0CA0">
        <w:rPr>
          <w:bCs/>
          <w:szCs w:val="24"/>
        </w:rPr>
        <w:t xml:space="preserve"> </w:t>
      </w:r>
      <w:r w:rsidRPr="000E0CA0">
        <w:rPr>
          <w:bCs/>
          <w:szCs w:val="24"/>
        </w:rPr>
        <w:t xml:space="preserve">under Article 42 re-export is permitted </w:t>
      </w:r>
      <w:bookmarkEnd w:id="2"/>
      <w:r w:rsidRPr="000E0CA0">
        <w:rPr>
          <w:bCs/>
          <w:szCs w:val="24"/>
        </w:rPr>
        <w:t xml:space="preserve">within a period of 5 years.  Under Article 153 of Law 363/1913 a licence may only be used once and has a limited period of validity. </w:t>
      </w:r>
    </w:p>
    <w:p w14:paraId="791EB421" w14:textId="03639F14" w:rsidR="00BF1237" w:rsidRPr="000E0CA0" w:rsidRDefault="00D94BF9" w:rsidP="002D37BA">
      <w:pPr>
        <w:pStyle w:val="ListParagraph"/>
        <w:numPr>
          <w:ilvl w:val="0"/>
          <w:numId w:val="13"/>
        </w:numPr>
        <w:spacing w:after="0" w:line="240" w:lineRule="auto"/>
        <w:ind w:left="567" w:hanging="567"/>
        <w:contextualSpacing w:val="0"/>
        <w:jc w:val="both"/>
        <w:rPr>
          <w:rFonts w:ascii="Times New Roman" w:hAnsi="Times New Roman"/>
          <w:bCs/>
          <w:sz w:val="24"/>
          <w:szCs w:val="24"/>
        </w:rPr>
      </w:pPr>
      <w:r w:rsidRPr="000E0CA0">
        <w:rPr>
          <w:rFonts w:ascii="Times New Roman" w:hAnsi="Times New Roman"/>
          <w:bCs/>
          <w:sz w:val="24"/>
          <w:szCs w:val="24"/>
        </w:rPr>
        <w:t>When a licence is applied for there is a 15-day “</w:t>
      </w:r>
      <w:r w:rsidRPr="000E0CA0">
        <w:rPr>
          <w:rFonts w:ascii="Times New Roman" w:hAnsi="Times New Roman"/>
          <w:bCs/>
          <w:i/>
          <w:sz w:val="24"/>
          <w:szCs w:val="24"/>
        </w:rPr>
        <w:t>waiting period</w:t>
      </w:r>
      <w:r w:rsidRPr="000E0CA0">
        <w:rPr>
          <w:rFonts w:ascii="Times New Roman" w:hAnsi="Times New Roman"/>
          <w:bCs/>
          <w:sz w:val="24"/>
          <w:szCs w:val="24"/>
        </w:rPr>
        <w:t xml:space="preserve">” designed to ensure that the cultural importance and value of an object can be assessed by the authorities who thereby have a window in which to seek </w:t>
      </w:r>
      <w:r w:rsidR="00AD1275">
        <w:rPr>
          <w:rFonts w:ascii="Times New Roman" w:hAnsi="Times New Roman"/>
          <w:bCs/>
          <w:sz w:val="24"/>
          <w:szCs w:val="24"/>
        </w:rPr>
        <w:t xml:space="preserve">protective measures such as </w:t>
      </w:r>
      <w:r w:rsidRPr="000E0CA0">
        <w:rPr>
          <w:rFonts w:ascii="Times New Roman" w:hAnsi="Times New Roman"/>
          <w:bCs/>
          <w:sz w:val="24"/>
          <w:szCs w:val="24"/>
        </w:rPr>
        <w:t xml:space="preserve">interim relief </w:t>
      </w:r>
      <w:r w:rsidR="00AD1275">
        <w:rPr>
          <w:rFonts w:ascii="Times New Roman" w:hAnsi="Times New Roman"/>
          <w:bCs/>
          <w:sz w:val="24"/>
          <w:szCs w:val="24"/>
        </w:rPr>
        <w:t xml:space="preserve">from the court </w:t>
      </w:r>
      <w:r w:rsidRPr="000E0CA0">
        <w:rPr>
          <w:rFonts w:ascii="Times New Roman" w:hAnsi="Times New Roman"/>
          <w:bCs/>
          <w:sz w:val="24"/>
          <w:szCs w:val="24"/>
        </w:rPr>
        <w:t xml:space="preserve">to prevent removal. </w:t>
      </w:r>
      <w:r w:rsidR="00BF1237" w:rsidRPr="000E0CA0">
        <w:rPr>
          <w:rFonts w:ascii="Times New Roman" w:hAnsi="Times New Roman"/>
          <w:bCs/>
          <w:sz w:val="24"/>
          <w:szCs w:val="24"/>
        </w:rPr>
        <w:t xml:space="preserve"> </w:t>
      </w:r>
    </w:p>
    <w:p w14:paraId="29F143C3" w14:textId="77777777" w:rsidR="005E3747" w:rsidRPr="000E0CA0" w:rsidRDefault="005E3747" w:rsidP="002D37BA">
      <w:pPr>
        <w:pStyle w:val="ListParagraph"/>
        <w:spacing w:after="0" w:line="240" w:lineRule="auto"/>
        <w:ind w:left="360"/>
        <w:contextualSpacing w:val="0"/>
        <w:jc w:val="both"/>
        <w:rPr>
          <w:rFonts w:ascii="Times New Roman" w:hAnsi="Times New Roman"/>
          <w:bCs/>
          <w:sz w:val="24"/>
          <w:szCs w:val="24"/>
        </w:rPr>
      </w:pPr>
    </w:p>
    <w:p w14:paraId="27C1475D" w14:textId="77777777" w:rsidR="00D94BF9" w:rsidRPr="000E0CA0" w:rsidRDefault="0020787B" w:rsidP="002D37BA">
      <w:pPr>
        <w:pStyle w:val="ListParagraph"/>
        <w:numPr>
          <w:ilvl w:val="0"/>
          <w:numId w:val="13"/>
        </w:numPr>
        <w:spacing w:after="0" w:line="240" w:lineRule="auto"/>
        <w:ind w:left="567" w:hanging="578"/>
        <w:contextualSpacing w:val="0"/>
        <w:jc w:val="both"/>
        <w:rPr>
          <w:rFonts w:ascii="Times New Roman" w:hAnsi="Times New Roman"/>
          <w:bCs/>
          <w:sz w:val="24"/>
          <w:szCs w:val="24"/>
        </w:rPr>
      </w:pPr>
      <w:r w:rsidRPr="000E0CA0">
        <w:rPr>
          <w:rFonts w:ascii="Times New Roman" w:hAnsi="Times New Roman"/>
          <w:bCs/>
          <w:sz w:val="24"/>
          <w:szCs w:val="24"/>
        </w:rPr>
        <w:lastRenderedPageBreak/>
        <w:t>All</w:t>
      </w:r>
      <w:r w:rsidR="00D94BF9" w:rsidRPr="000E0CA0">
        <w:rPr>
          <w:rFonts w:ascii="Times New Roman" w:hAnsi="Times New Roman"/>
          <w:bCs/>
          <w:sz w:val="24"/>
          <w:szCs w:val="24"/>
        </w:rPr>
        <w:t xml:space="preserve"> the provisions referred to above were amended by Law 88/1998</w:t>
      </w:r>
      <w:r w:rsidRPr="000E0CA0">
        <w:rPr>
          <w:rFonts w:ascii="Times New Roman" w:hAnsi="Times New Roman"/>
          <w:bCs/>
          <w:sz w:val="24"/>
          <w:szCs w:val="24"/>
        </w:rPr>
        <w:t>.</w:t>
      </w:r>
      <w:r w:rsidR="00D94BF9" w:rsidRPr="000E0CA0">
        <w:rPr>
          <w:rFonts w:ascii="Times New Roman" w:hAnsi="Times New Roman"/>
          <w:bCs/>
          <w:sz w:val="24"/>
          <w:szCs w:val="24"/>
        </w:rPr>
        <w:t xml:space="preserve"> This provides for the issue of time</w:t>
      </w:r>
      <w:r w:rsidRPr="000E0CA0">
        <w:rPr>
          <w:rFonts w:ascii="Times New Roman" w:hAnsi="Times New Roman"/>
          <w:bCs/>
          <w:sz w:val="24"/>
          <w:szCs w:val="24"/>
        </w:rPr>
        <w:t>-</w:t>
      </w:r>
      <w:r w:rsidR="00D94BF9" w:rsidRPr="000E0CA0">
        <w:rPr>
          <w:rFonts w:ascii="Times New Roman" w:hAnsi="Times New Roman"/>
          <w:bCs/>
          <w:sz w:val="24"/>
          <w:szCs w:val="24"/>
        </w:rPr>
        <w:t>limited certificates of free circulation which allow the export of items to another EU country without additional formality during the period of validity of the certificate. The item must be submitted for inspection prior to the issuance of any such certificate. There is a system of appeals against a refusal to grant a certificate.</w:t>
      </w:r>
    </w:p>
    <w:p w14:paraId="3CDB851D" w14:textId="77777777" w:rsidR="00A80D43" w:rsidRPr="000E0CA0" w:rsidRDefault="00A80D43" w:rsidP="002D37BA">
      <w:pPr>
        <w:pStyle w:val="ListParagraph"/>
        <w:spacing w:line="240" w:lineRule="auto"/>
        <w:rPr>
          <w:rFonts w:ascii="Times New Roman" w:hAnsi="Times New Roman"/>
          <w:bCs/>
          <w:sz w:val="24"/>
          <w:szCs w:val="24"/>
        </w:rPr>
      </w:pPr>
    </w:p>
    <w:p w14:paraId="4C8E8A91" w14:textId="77777777" w:rsidR="00FA082E" w:rsidRPr="000E0CA0" w:rsidRDefault="00A80D43" w:rsidP="002D37BA">
      <w:pPr>
        <w:pStyle w:val="ListParagraph"/>
        <w:numPr>
          <w:ilvl w:val="0"/>
          <w:numId w:val="13"/>
        </w:numPr>
        <w:spacing w:after="0" w:line="240" w:lineRule="auto"/>
        <w:ind w:left="567" w:hanging="567"/>
        <w:contextualSpacing w:val="0"/>
        <w:jc w:val="both"/>
        <w:rPr>
          <w:rFonts w:ascii="Times New Roman" w:hAnsi="Times New Roman"/>
          <w:bCs/>
          <w:sz w:val="24"/>
          <w:szCs w:val="24"/>
        </w:rPr>
      </w:pPr>
      <w:r w:rsidRPr="000E0CA0">
        <w:rPr>
          <w:rFonts w:ascii="Times New Roman" w:hAnsi="Times New Roman"/>
          <w:bCs/>
          <w:sz w:val="24"/>
          <w:szCs w:val="24"/>
        </w:rPr>
        <w:t xml:space="preserve">In 2004 under the </w:t>
      </w:r>
      <w:r w:rsidR="00817F38" w:rsidRPr="000E0CA0">
        <w:rPr>
          <w:rFonts w:ascii="Times New Roman" w:hAnsi="Times New Roman"/>
          <w:bCs/>
          <w:i/>
          <w:iCs/>
          <w:sz w:val="24"/>
          <w:szCs w:val="24"/>
        </w:rPr>
        <w:t>Codic</w:t>
      </w:r>
      <w:r w:rsidR="009B54B7">
        <w:rPr>
          <w:rFonts w:ascii="Times New Roman" w:hAnsi="Times New Roman"/>
          <w:bCs/>
          <w:i/>
          <w:iCs/>
          <w:sz w:val="24"/>
          <w:szCs w:val="24"/>
        </w:rPr>
        <w:t>e</w:t>
      </w:r>
      <w:r w:rsidR="00817F38" w:rsidRPr="000E0CA0">
        <w:rPr>
          <w:rFonts w:ascii="Times New Roman" w:hAnsi="Times New Roman"/>
          <w:bCs/>
          <w:i/>
          <w:iCs/>
          <w:sz w:val="24"/>
          <w:szCs w:val="24"/>
        </w:rPr>
        <w:t xml:space="preserve"> </w:t>
      </w:r>
      <w:r w:rsidRPr="000E0CA0">
        <w:rPr>
          <w:rFonts w:ascii="Times New Roman" w:hAnsi="Times New Roman"/>
          <w:bCs/>
          <w:i/>
          <w:iCs/>
          <w:sz w:val="24"/>
          <w:szCs w:val="24"/>
        </w:rPr>
        <w:t>Urb</w:t>
      </w:r>
      <w:r w:rsidR="007200F6" w:rsidRPr="000E0CA0">
        <w:rPr>
          <w:rFonts w:ascii="Times New Roman" w:hAnsi="Times New Roman"/>
          <w:bCs/>
          <w:i/>
          <w:iCs/>
          <w:sz w:val="24"/>
          <w:szCs w:val="24"/>
        </w:rPr>
        <w:t>ani</w:t>
      </w:r>
      <w:r w:rsidR="00817F38" w:rsidRPr="000E0CA0">
        <w:rPr>
          <w:rStyle w:val="FootnoteReference"/>
          <w:rFonts w:ascii="Times New Roman" w:hAnsi="Times New Roman"/>
          <w:bCs/>
          <w:i/>
          <w:iCs/>
          <w:sz w:val="24"/>
          <w:szCs w:val="24"/>
        </w:rPr>
        <w:footnoteReference w:id="9"/>
      </w:r>
      <w:r w:rsidR="007200F6" w:rsidRPr="000E0CA0">
        <w:rPr>
          <w:rFonts w:ascii="Times New Roman" w:hAnsi="Times New Roman"/>
          <w:bCs/>
          <w:sz w:val="24"/>
          <w:szCs w:val="24"/>
        </w:rPr>
        <w:t xml:space="preserve"> </w:t>
      </w:r>
      <w:r w:rsidR="00C80C07" w:rsidRPr="000E0CA0">
        <w:rPr>
          <w:rFonts w:ascii="Times New Roman" w:hAnsi="Times New Roman"/>
          <w:bCs/>
          <w:sz w:val="24"/>
          <w:szCs w:val="24"/>
        </w:rPr>
        <w:t>(“</w:t>
      </w:r>
      <w:r w:rsidR="00C80C07" w:rsidRPr="000E0CA0">
        <w:rPr>
          <w:rFonts w:ascii="Times New Roman" w:hAnsi="Times New Roman"/>
          <w:bCs/>
          <w:i/>
          <w:iCs/>
          <w:sz w:val="24"/>
          <w:szCs w:val="24"/>
        </w:rPr>
        <w:t>the 2004 Code</w:t>
      </w:r>
      <w:r w:rsidR="00C80C07" w:rsidRPr="000E0CA0">
        <w:rPr>
          <w:rFonts w:ascii="Times New Roman" w:hAnsi="Times New Roman"/>
          <w:bCs/>
          <w:sz w:val="24"/>
          <w:szCs w:val="24"/>
        </w:rPr>
        <w:t>”)</w:t>
      </w:r>
      <w:r w:rsidRPr="000E0CA0">
        <w:rPr>
          <w:rFonts w:ascii="Times New Roman" w:hAnsi="Times New Roman"/>
          <w:bCs/>
          <w:sz w:val="24"/>
          <w:szCs w:val="24"/>
        </w:rPr>
        <w:t>, the pre-existing law was largely consolidated a</w:t>
      </w:r>
      <w:r w:rsidR="00C80C07" w:rsidRPr="000E0CA0">
        <w:rPr>
          <w:rFonts w:ascii="Times New Roman" w:hAnsi="Times New Roman"/>
          <w:bCs/>
          <w:sz w:val="24"/>
          <w:szCs w:val="24"/>
        </w:rPr>
        <w:t>n</w:t>
      </w:r>
      <w:r w:rsidRPr="000E0CA0">
        <w:rPr>
          <w:rFonts w:ascii="Times New Roman" w:hAnsi="Times New Roman"/>
          <w:bCs/>
          <w:sz w:val="24"/>
          <w:szCs w:val="24"/>
        </w:rPr>
        <w:t>d codified.  The relevant text was before the High Court and</w:t>
      </w:r>
      <w:r w:rsidR="00C80C07" w:rsidRPr="000E0CA0">
        <w:rPr>
          <w:rFonts w:ascii="Times New Roman" w:hAnsi="Times New Roman"/>
          <w:bCs/>
          <w:sz w:val="24"/>
          <w:szCs w:val="24"/>
        </w:rPr>
        <w:t xml:space="preserve"> </w:t>
      </w:r>
      <w:r w:rsidRPr="000E0CA0">
        <w:rPr>
          <w:rFonts w:ascii="Times New Roman" w:hAnsi="Times New Roman"/>
          <w:bCs/>
          <w:sz w:val="24"/>
          <w:szCs w:val="24"/>
        </w:rPr>
        <w:t>the Court of Appeal.  It is apparent f</w:t>
      </w:r>
      <w:r w:rsidR="00017E34">
        <w:rPr>
          <w:rFonts w:ascii="Times New Roman" w:hAnsi="Times New Roman"/>
          <w:bCs/>
          <w:sz w:val="24"/>
          <w:szCs w:val="24"/>
        </w:rPr>
        <w:t xml:space="preserve">rom </w:t>
      </w:r>
      <w:r w:rsidRPr="000E0CA0">
        <w:rPr>
          <w:rFonts w:ascii="Times New Roman" w:hAnsi="Times New Roman"/>
          <w:bCs/>
          <w:sz w:val="24"/>
          <w:szCs w:val="24"/>
        </w:rPr>
        <w:t>the judgment below (cf paragraph [88]) that there was a</w:t>
      </w:r>
      <w:r w:rsidR="00FA082E" w:rsidRPr="000E0CA0">
        <w:rPr>
          <w:rFonts w:ascii="Times New Roman" w:hAnsi="Times New Roman"/>
          <w:bCs/>
          <w:sz w:val="24"/>
          <w:szCs w:val="24"/>
        </w:rPr>
        <w:t xml:space="preserve">rgument </w:t>
      </w:r>
      <w:r w:rsidRPr="000E0CA0">
        <w:rPr>
          <w:rFonts w:ascii="Times New Roman" w:hAnsi="Times New Roman"/>
          <w:bCs/>
          <w:sz w:val="24"/>
          <w:szCs w:val="24"/>
        </w:rPr>
        <w:t>as to whether</w:t>
      </w:r>
      <w:r w:rsidR="00C80C07" w:rsidRPr="000E0CA0">
        <w:rPr>
          <w:rFonts w:ascii="Times New Roman" w:hAnsi="Times New Roman"/>
          <w:bCs/>
          <w:sz w:val="24"/>
          <w:szCs w:val="24"/>
        </w:rPr>
        <w:t xml:space="preserve"> the</w:t>
      </w:r>
      <w:r w:rsidR="00FA082E" w:rsidRPr="000E0CA0">
        <w:rPr>
          <w:rFonts w:ascii="Times New Roman" w:hAnsi="Times New Roman"/>
          <w:bCs/>
          <w:sz w:val="24"/>
          <w:szCs w:val="24"/>
        </w:rPr>
        <w:t xml:space="preserve"> 15-day </w:t>
      </w:r>
      <w:r w:rsidR="009B54B7">
        <w:rPr>
          <w:rFonts w:ascii="Times New Roman" w:hAnsi="Times New Roman"/>
          <w:bCs/>
          <w:sz w:val="24"/>
          <w:szCs w:val="24"/>
        </w:rPr>
        <w:t xml:space="preserve">waiting </w:t>
      </w:r>
      <w:r w:rsidR="009B54B7" w:rsidRPr="000E0CA0">
        <w:rPr>
          <w:rFonts w:ascii="Times New Roman" w:hAnsi="Times New Roman"/>
          <w:bCs/>
          <w:sz w:val="24"/>
          <w:szCs w:val="24"/>
        </w:rPr>
        <w:t>period</w:t>
      </w:r>
      <w:r w:rsidR="00FA082E" w:rsidRPr="000E0CA0">
        <w:rPr>
          <w:rFonts w:ascii="Times New Roman" w:hAnsi="Times New Roman"/>
          <w:bCs/>
          <w:sz w:val="24"/>
          <w:szCs w:val="24"/>
        </w:rPr>
        <w:t xml:space="preserve"> </w:t>
      </w:r>
      <w:r w:rsidR="00C80C07" w:rsidRPr="000E0CA0">
        <w:rPr>
          <w:rFonts w:ascii="Times New Roman" w:hAnsi="Times New Roman"/>
          <w:bCs/>
          <w:sz w:val="24"/>
          <w:szCs w:val="24"/>
        </w:rPr>
        <w:t xml:space="preserve">which arises following the application for a licence </w:t>
      </w:r>
      <w:r w:rsidR="00FA082E" w:rsidRPr="000E0CA0">
        <w:rPr>
          <w:rFonts w:ascii="Times New Roman" w:hAnsi="Times New Roman"/>
          <w:bCs/>
          <w:sz w:val="24"/>
          <w:szCs w:val="24"/>
        </w:rPr>
        <w:t>had changed but it seems that it had not.  No one has suggested</w:t>
      </w:r>
      <w:r w:rsidR="00817F38" w:rsidRPr="000E0CA0">
        <w:rPr>
          <w:rFonts w:ascii="Times New Roman" w:hAnsi="Times New Roman"/>
          <w:bCs/>
          <w:sz w:val="24"/>
          <w:szCs w:val="24"/>
        </w:rPr>
        <w:t xml:space="preserve"> on this appeal</w:t>
      </w:r>
      <w:r w:rsidR="00FA082E" w:rsidRPr="000E0CA0">
        <w:rPr>
          <w:rFonts w:ascii="Times New Roman" w:hAnsi="Times New Roman"/>
          <w:bCs/>
          <w:sz w:val="24"/>
          <w:szCs w:val="24"/>
        </w:rPr>
        <w:t xml:space="preserve"> that there is </w:t>
      </w:r>
      <w:r w:rsidR="00FA082E" w:rsidRPr="000E0CA0">
        <w:rPr>
          <w:rFonts w:ascii="Times New Roman" w:hAnsi="Times New Roman"/>
          <w:bCs/>
          <w:i/>
          <w:sz w:val="24"/>
          <w:szCs w:val="24"/>
        </w:rPr>
        <w:t>any</w:t>
      </w:r>
      <w:r w:rsidR="00FA082E" w:rsidRPr="000E0CA0">
        <w:rPr>
          <w:rFonts w:ascii="Times New Roman" w:hAnsi="Times New Roman"/>
          <w:bCs/>
          <w:sz w:val="24"/>
          <w:szCs w:val="24"/>
        </w:rPr>
        <w:t xml:space="preserve"> material difference between the 1939 Law and the 2004 Cod</w:t>
      </w:r>
      <w:r w:rsidR="00817F38" w:rsidRPr="000E0CA0">
        <w:rPr>
          <w:rFonts w:ascii="Times New Roman" w:hAnsi="Times New Roman"/>
          <w:bCs/>
          <w:sz w:val="24"/>
          <w:szCs w:val="24"/>
        </w:rPr>
        <w:t>e</w:t>
      </w:r>
      <w:r w:rsidR="00FA082E" w:rsidRPr="000E0CA0">
        <w:rPr>
          <w:rFonts w:ascii="Times New Roman" w:hAnsi="Times New Roman"/>
          <w:bCs/>
          <w:sz w:val="24"/>
          <w:szCs w:val="24"/>
        </w:rPr>
        <w:t xml:space="preserve">.  </w:t>
      </w:r>
      <w:r w:rsidR="00C80C07" w:rsidRPr="000E0CA0">
        <w:rPr>
          <w:rFonts w:ascii="Times New Roman" w:hAnsi="Times New Roman"/>
          <w:bCs/>
          <w:sz w:val="24"/>
          <w:szCs w:val="24"/>
        </w:rPr>
        <w:t xml:space="preserve">At all material times a person in the position of Mrs Simonis had a duty under Italian law to apply for an export licence </w:t>
      </w:r>
      <w:r w:rsidR="00817F38" w:rsidRPr="000E0CA0">
        <w:rPr>
          <w:rFonts w:ascii="Times New Roman" w:hAnsi="Times New Roman"/>
          <w:bCs/>
          <w:sz w:val="24"/>
          <w:szCs w:val="24"/>
        </w:rPr>
        <w:t xml:space="preserve">and thereby give notice to the authorities </w:t>
      </w:r>
      <w:r w:rsidR="00C80C07" w:rsidRPr="000E0CA0">
        <w:rPr>
          <w:rFonts w:ascii="Times New Roman" w:hAnsi="Times New Roman"/>
          <w:bCs/>
          <w:sz w:val="24"/>
          <w:szCs w:val="24"/>
        </w:rPr>
        <w:t xml:space="preserve">and abide by the relevant waiting period. </w:t>
      </w:r>
    </w:p>
    <w:p w14:paraId="1366BF22" w14:textId="77777777" w:rsidR="001D4FDA" w:rsidRPr="000E0CA0" w:rsidRDefault="001D4FDA" w:rsidP="002D37BA">
      <w:pPr>
        <w:pStyle w:val="ListParagraph"/>
        <w:spacing w:line="240" w:lineRule="auto"/>
        <w:rPr>
          <w:rFonts w:ascii="Times New Roman" w:hAnsi="Times New Roman"/>
          <w:bCs/>
          <w:sz w:val="24"/>
          <w:szCs w:val="24"/>
        </w:rPr>
      </w:pPr>
    </w:p>
    <w:p w14:paraId="67BF48C0" w14:textId="77777777" w:rsidR="001D4FDA" w:rsidRPr="000E0CA0" w:rsidRDefault="0028245F" w:rsidP="002D37BA">
      <w:pPr>
        <w:pStyle w:val="ListParagraph"/>
        <w:numPr>
          <w:ilvl w:val="0"/>
          <w:numId w:val="26"/>
        </w:numPr>
        <w:spacing w:after="0" w:line="240" w:lineRule="auto"/>
        <w:ind w:left="851" w:hanging="284"/>
        <w:contextualSpacing w:val="0"/>
        <w:jc w:val="both"/>
        <w:rPr>
          <w:rFonts w:ascii="Times New Roman" w:hAnsi="Times New Roman"/>
          <w:b/>
          <w:bCs/>
          <w:i/>
          <w:sz w:val="24"/>
          <w:szCs w:val="24"/>
        </w:rPr>
      </w:pPr>
      <w:r>
        <w:rPr>
          <w:rFonts w:ascii="Times New Roman" w:hAnsi="Times New Roman"/>
          <w:b/>
          <w:bCs/>
          <w:i/>
          <w:sz w:val="24"/>
          <w:szCs w:val="24"/>
        </w:rPr>
        <w:t xml:space="preserve"> </w:t>
      </w:r>
      <w:r w:rsidR="001D4FDA" w:rsidRPr="000E0CA0">
        <w:rPr>
          <w:rFonts w:ascii="Times New Roman" w:hAnsi="Times New Roman"/>
          <w:b/>
          <w:bCs/>
          <w:i/>
          <w:sz w:val="24"/>
          <w:szCs w:val="24"/>
        </w:rPr>
        <w:t>Chronology</w:t>
      </w:r>
    </w:p>
    <w:p w14:paraId="3056DFF1" w14:textId="77777777" w:rsidR="00567F14" w:rsidRPr="000E0CA0" w:rsidRDefault="00017E34" w:rsidP="002D37BA">
      <w:pPr>
        <w:pStyle w:val="ParaLevel1"/>
        <w:numPr>
          <w:ilvl w:val="0"/>
          <w:numId w:val="13"/>
        </w:numPr>
        <w:tabs>
          <w:tab w:val="num" w:pos="567"/>
        </w:tabs>
        <w:ind w:left="567" w:hanging="567"/>
        <w:rPr>
          <w:bCs/>
          <w:szCs w:val="24"/>
        </w:rPr>
      </w:pPr>
      <w:r>
        <w:rPr>
          <w:bCs/>
          <w:szCs w:val="24"/>
          <w:lang w:val="en"/>
        </w:rPr>
        <w:t>T</w:t>
      </w:r>
      <w:r w:rsidR="00D94BF9" w:rsidRPr="000E0CA0">
        <w:rPr>
          <w:bCs/>
          <w:szCs w:val="24"/>
          <w:lang w:val="en"/>
        </w:rPr>
        <w:t xml:space="preserve">he </w:t>
      </w:r>
      <w:r w:rsidR="00567F14" w:rsidRPr="000E0CA0">
        <w:rPr>
          <w:bCs/>
          <w:szCs w:val="24"/>
          <w:lang w:val="en"/>
        </w:rPr>
        <w:t>Appellant acquired the painting at auction in Florence in May 1990 for 8m lira, circa £</w:t>
      </w:r>
      <w:r w:rsidR="00F039A8" w:rsidRPr="000E0CA0">
        <w:rPr>
          <w:bCs/>
          <w:szCs w:val="24"/>
          <w:lang w:val="en"/>
        </w:rPr>
        <w:t>3,500.</w:t>
      </w:r>
      <w:r w:rsidR="00567F14" w:rsidRPr="000E0CA0">
        <w:rPr>
          <w:bCs/>
          <w:szCs w:val="24"/>
          <w:lang w:val="en"/>
        </w:rPr>
        <w:t xml:space="preserve"> It was </w:t>
      </w:r>
      <w:r w:rsidR="001920D2" w:rsidRPr="000E0CA0">
        <w:rPr>
          <w:bCs/>
          <w:szCs w:val="24"/>
          <w:lang w:val="en"/>
        </w:rPr>
        <w:t xml:space="preserve">described as </w:t>
      </w:r>
      <w:r w:rsidR="00567F14" w:rsidRPr="000E0CA0">
        <w:rPr>
          <w:bCs/>
          <w:szCs w:val="24"/>
          <w:lang w:val="en"/>
        </w:rPr>
        <w:t>a 19</w:t>
      </w:r>
      <w:r w:rsidR="00567F14" w:rsidRPr="000E0CA0">
        <w:rPr>
          <w:bCs/>
          <w:szCs w:val="24"/>
          <w:vertAlign w:val="superscript"/>
          <w:lang w:val="en"/>
        </w:rPr>
        <w:t>th</w:t>
      </w:r>
      <w:r w:rsidR="00567F14" w:rsidRPr="000E0CA0">
        <w:rPr>
          <w:bCs/>
          <w:szCs w:val="24"/>
          <w:lang w:val="en"/>
        </w:rPr>
        <w:t xml:space="preserve"> century painting by an imitator of Giotto.</w:t>
      </w:r>
    </w:p>
    <w:p w14:paraId="0FD9F380" w14:textId="77777777" w:rsidR="00CE21A7" w:rsidRPr="000E0CA0" w:rsidRDefault="00567F14" w:rsidP="002D37BA">
      <w:pPr>
        <w:pStyle w:val="ParaLevel1"/>
        <w:numPr>
          <w:ilvl w:val="0"/>
          <w:numId w:val="13"/>
        </w:numPr>
        <w:tabs>
          <w:tab w:val="num" w:pos="567"/>
        </w:tabs>
        <w:ind w:left="567" w:hanging="578"/>
        <w:rPr>
          <w:bCs/>
          <w:szCs w:val="24"/>
        </w:rPr>
      </w:pPr>
      <w:r w:rsidRPr="000E0CA0">
        <w:rPr>
          <w:bCs/>
          <w:szCs w:val="24"/>
          <w:lang w:val="en"/>
        </w:rPr>
        <w:t>On 24</w:t>
      </w:r>
      <w:r w:rsidRPr="000E0CA0">
        <w:rPr>
          <w:bCs/>
          <w:szCs w:val="24"/>
          <w:vertAlign w:val="superscript"/>
          <w:lang w:val="en"/>
        </w:rPr>
        <w:t>th</w:t>
      </w:r>
      <w:r w:rsidRPr="000E0CA0">
        <w:rPr>
          <w:bCs/>
          <w:szCs w:val="24"/>
          <w:lang w:val="en"/>
        </w:rPr>
        <w:t xml:space="preserve"> March 1992, the Appellant </w:t>
      </w:r>
      <w:r w:rsidR="00CE21A7" w:rsidRPr="000E0CA0">
        <w:rPr>
          <w:bCs/>
          <w:szCs w:val="24"/>
          <w:lang w:val="en"/>
        </w:rPr>
        <w:t xml:space="preserve">obtained from the Italian authorities an </w:t>
      </w:r>
      <w:r w:rsidRPr="000E0CA0">
        <w:rPr>
          <w:bCs/>
          <w:szCs w:val="24"/>
          <w:lang w:val="en"/>
        </w:rPr>
        <w:t xml:space="preserve">export licence </w:t>
      </w:r>
      <w:r w:rsidR="00CE21A7" w:rsidRPr="000E0CA0">
        <w:rPr>
          <w:bCs/>
          <w:szCs w:val="24"/>
          <w:lang w:val="en"/>
        </w:rPr>
        <w:t>(“</w:t>
      </w:r>
      <w:r w:rsidR="00CE21A7" w:rsidRPr="000E0CA0">
        <w:rPr>
          <w:bCs/>
          <w:i/>
          <w:szCs w:val="24"/>
          <w:lang w:val="en"/>
        </w:rPr>
        <w:t xml:space="preserve">the </w:t>
      </w:r>
      <w:r w:rsidRPr="000E0CA0">
        <w:rPr>
          <w:bCs/>
          <w:i/>
          <w:szCs w:val="24"/>
          <w:lang w:val="en"/>
        </w:rPr>
        <w:t>1992 Licence</w:t>
      </w:r>
      <w:r w:rsidRPr="000E0CA0">
        <w:rPr>
          <w:bCs/>
          <w:szCs w:val="24"/>
          <w:lang w:val="en"/>
        </w:rPr>
        <w:t>”)</w:t>
      </w:r>
      <w:r w:rsidR="00CE21A7" w:rsidRPr="000E0CA0">
        <w:rPr>
          <w:bCs/>
          <w:szCs w:val="24"/>
          <w:lang w:val="en"/>
        </w:rPr>
        <w:t xml:space="preserve"> </w:t>
      </w:r>
      <w:r w:rsidR="001920D2" w:rsidRPr="000E0CA0">
        <w:rPr>
          <w:bCs/>
          <w:szCs w:val="24"/>
          <w:lang w:val="en"/>
        </w:rPr>
        <w:t xml:space="preserve">for the painting. It records </w:t>
      </w:r>
      <w:r w:rsidR="00CE21A7" w:rsidRPr="000E0CA0">
        <w:rPr>
          <w:bCs/>
          <w:szCs w:val="24"/>
          <w:lang w:val="en"/>
        </w:rPr>
        <w:t xml:space="preserve">a valuation of </w:t>
      </w:r>
      <w:r w:rsidRPr="000E0CA0">
        <w:rPr>
          <w:bCs/>
          <w:szCs w:val="24"/>
          <w:lang w:val="en"/>
        </w:rPr>
        <w:t>8</w:t>
      </w:r>
      <w:r w:rsidR="00CE21A7" w:rsidRPr="000E0CA0">
        <w:rPr>
          <w:bCs/>
          <w:szCs w:val="24"/>
          <w:lang w:val="en"/>
        </w:rPr>
        <w:t xml:space="preserve">m </w:t>
      </w:r>
      <w:r w:rsidRPr="000E0CA0">
        <w:rPr>
          <w:bCs/>
          <w:szCs w:val="24"/>
          <w:lang w:val="en"/>
        </w:rPr>
        <w:t>lir</w:t>
      </w:r>
      <w:r w:rsidR="009B54B7">
        <w:rPr>
          <w:bCs/>
          <w:szCs w:val="24"/>
          <w:lang w:val="en"/>
        </w:rPr>
        <w:t>e</w:t>
      </w:r>
      <w:r w:rsidR="00CE21A7" w:rsidRPr="000E0CA0">
        <w:rPr>
          <w:bCs/>
          <w:szCs w:val="24"/>
          <w:lang w:val="en"/>
        </w:rPr>
        <w:t xml:space="preserve"> </w:t>
      </w:r>
      <w:r w:rsidR="001920D2" w:rsidRPr="000E0CA0">
        <w:rPr>
          <w:bCs/>
          <w:szCs w:val="24"/>
          <w:lang w:val="en"/>
        </w:rPr>
        <w:t xml:space="preserve">for </w:t>
      </w:r>
      <w:r w:rsidR="00CE21A7" w:rsidRPr="000E0CA0">
        <w:rPr>
          <w:bCs/>
          <w:szCs w:val="24"/>
          <w:lang w:val="en"/>
        </w:rPr>
        <w:t xml:space="preserve">a </w:t>
      </w:r>
      <w:r w:rsidRPr="000E0CA0">
        <w:rPr>
          <w:bCs/>
          <w:szCs w:val="24"/>
          <w:lang w:val="en"/>
        </w:rPr>
        <w:t>“</w:t>
      </w:r>
      <w:r w:rsidR="0020787B" w:rsidRPr="000E0CA0">
        <w:rPr>
          <w:bCs/>
          <w:i/>
          <w:szCs w:val="24"/>
          <w:lang w:val="en"/>
        </w:rPr>
        <w:t xml:space="preserve">Panel Painting from the </w:t>
      </w:r>
      <w:r w:rsidRPr="000E0CA0">
        <w:rPr>
          <w:bCs/>
          <w:i/>
          <w:szCs w:val="24"/>
          <w:lang w:val="en"/>
        </w:rPr>
        <w:t>1800s</w:t>
      </w:r>
      <w:r w:rsidRPr="000E0CA0">
        <w:rPr>
          <w:bCs/>
          <w:szCs w:val="24"/>
          <w:lang w:val="en"/>
        </w:rPr>
        <w:t>”</w:t>
      </w:r>
      <w:r w:rsidR="00CE21A7" w:rsidRPr="000E0CA0">
        <w:rPr>
          <w:bCs/>
          <w:szCs w:val="24"/>
          <w:lang w:val="en"/>
        </w:rPr>
        <w:t>. The licence was valid for one month and co</w:t>
      </w:r>
      <w:r w:rsidR="0020787B" w:rsidRPr="000E0CA0">
        <w:rPr>
          <w:bCs/>
          <w:szCs w:val="24"/>
          <w:lang w:val="en"/>
        </w:rPr>
        <w:t>u</w:t>
      </w:r>
      <w:r w:rsidR="00CE21A7" w:rsidRPr="000E0CA0">
        <w:rPr>
          <w:bCs/>
          <w:szCs w:val="24"/>
          <w:lang w:val="en"/>
        </w:rPr>
        <w:t>ld be exercised once. The painting was exported under the licen</w:t>
      </w:r>
      <w:r w:rsidR="00320316">
        <w:rPr>
          <w:bCs/>
          <w:szCs w:val="24"/>
          <w:lang w:val="en"/>
        </w:rPr>
        <w:t>c</w:t>
      </w:r>
      <w:r w:rsidR="00CE21A7" w:rsidRPr="000E0CA0">
        <w:rPr>
          <w:bCs/>
          <w:szCs w:val="24"/>
          <w:lang w:val="en"/>
        </w:rPr>
        <w:t>e to the UK.</w:t>
      </w:r>
    </w:p>
    <w:p w14:paraId="375F2BE6" w14:textId="422894F0" w:rsidR="00567F14" w:rsidRPr="000E0CA0" w:rsidRDefault="00CE21A7" w:rsidP="002D37BA">
      <w:pPr>
        <w:pStyle w:val="ParaLevel1"/>
        <w:numPr>
          <w:ilvl w:val="0"/>
          <w:numId w:val="13"/>
        </w:numPr>
        <w:ind w:left="567" w:hanging="567"/>
        <w:rPr>
          <w:bCs/>
          <w:szCs w:val="24"/>
        </w:rPr>
      </w:pPr>
      <w:r w:rsidRPr="000E0CA0">
        <w:rPr>
          <w:bCs/>
          <w:szCs w:val="24"/>
          <w:lang w:val="en"/>
        </w:rPr>
        <w:t>On 22</w:t>
      </w:r>
      <w:r w:rsidRPr="000E0CA0">
        <w:rPr>
          <w:bCs/>
          <w:szCs w:val="24"/>
          <w:vertAlign w:val="superscript"/>
          <w:lang w:val="en"/>
        </w:rPr>
        <w:t xml:space="preserve">nd </w:t>
      </w:r>
      <w:r w:rsidR="00567F14" w:rsidRPr="000E0CA0">
        <w:rPr>
          <w:bCs/>
          <w:szCs w:val="24"/>
          <w:lang w:val="en"/>
        </w:rPr>
        <w:t xml:space="preserve">April 1992, the </w:t>
      </w:r>
      <w:r w:rsidRPr="000E0CA0">
        <w:rPr>
          <w:bCs/>
          <w:szCs w:val="24"/>
          <w:lang w:val="en"/>
        </w:rPr>
        <w:t>p</w:t>
      </w:r>
      <w:r w:rsidR="00567F14" w:rsidRPr="000E0CA0">
        <w:rPr>
          <w:bCs/>
          <w:szCs w:val="24"/>
          <w:lang w:val="en"/>
        </w:rPr>
        <w:t xml:space="preserve">ainting was reimported into Italy under a temporary import licence valid </w:t>
      </w:r>
      <w:r w:rsidR="001920D2" w:rsidRPr="000E0CA0">
        <w:rPr>
          <w:bCs/>
          <w:szCs w:val="24"/>
          <w:lang w:val="en"/>
        </w:rPr>
        <w:t>for five years</w:t>
      </w:r>
      <w:r w:rsidR="00017E34">
        <w:rPr>
          <w:bCs/>
          <w:szCs w:val="24"/>
          <w:lang w:val="en"/>
        </w:rPr>
        <w:t>,</w:t>
      </w:r>
      <w:r w:rsidR="001920D2" w:rsidRPr="000E0CA0">
        <w:rPr>
          <w:bCs/>
          <w:szCs w:val="24"/>
          <w:lang w:val="en"/>
        </w:rPr>
        <w:t xml:space="preserve"> </w:t>
      </w:r>
      <w:r w:rsidRPr="000E0CA0">
        <w:rPr>
          <w:bCs/>
          <w:szCs w:val="24"/>
          <w:lang w:val="en"/>
        </w:rPr>
        <w:t>until 21</w:t>
      </w:r>
      <w:r w:rsidRPr="000E0CA0">
        <w:rPr>
          <w:bCs/>
          <w:szCs w:val="24"/>
          <w:vertAlign w:val="superscript"/>
          <w:lang w:val="en"/>
        </w:rPr>
        <w:t>st</w:t>
      </w:r>
      <w:r w:rsidRPr="000E0CA0">
        <w:rPr>
          <w:bCs/>
          <w:szCs w:val="24"/>
          <w:lang w:val="en"/>
        </w:rPr>
        <w:t xml:space="preserve"> April 1997 and on this occasion the </w:t>
      </w:r>
      <w:r w:rsidR="00567F14" w:rsidRPr="000E0CA0">
        <w:rPr>
          <w:bCs/>
          <w:szCs w:val="24"/>
          <w:lang w:val="en"/>
        </w:rPr>
        <w:t xml:space="preserve">valuation </w:t>
      </w:r>
      <w:r w:rsidRPr="000E0CA0">
        <w:rPr>
          <w:bCs/>
          <w:szCs w:val="24"/>
          <w:lang w:val="en"/>
        </w:rPr>
        <w:t xml:space="preserve">as recorded </w:t>
      </w:r>
      <w:r w:rsidR="00567F14" w:rsidRPr="000E0CA0">
        <w:rPr>
          <w:bCs/>
          <w:szCs w:val="24"/>
          <w:lang w:val="en"/>
        </w:rPr>
        <w:t>was increased to 10.75</w:t>
      </w:r>
      <w:r w:rsidRPr="000E0CA0">
        <w:rPr>
          <w:bCs/>
          <w:szCs w:val="24"/>
          <w:lang w:val="en"/>
        </w:rPr>
        <w:t xml:space="preserve">m </w:t>
      </w:r>
      <w:r w:rsidR="00567F14" w:rsidRPr="000E0CA0">
        <w:rPr>
          <w:bCs/>
          <w:szCs w:val="24"/>
          <w:lang w:val="en"/>
        </w:rPr>
        <w:t>lir</w:t>
      </w:r>
      <w:r w:rsidR="009B54B7">
        <w:rPr>
          <w:bCs/>
          <w:szCs w:val="24"/>
          <w:lang w:val="en"/>
        </w:rPr>
        <w:t>e</w:t>
      </w:r>
      <w:r w:rsidR="00567F14" w:rsidRPr="000E0CA0">
        <w:rPr>
          <w:bCs/>
          <w:szCs w:val="24"/>
          <w:lang w:val="en"/>
        </w:rPr>
        <w:t xml:space="preserve"> </w:t>
      </w:r>
      <w:r w:rsidRPr="000E0CA0">
        <w:rPr>
          <w:bCs/>
          <w:szCs w:val="24"/>
          <w:lang w:val="en"/>
        </w:rPr>
        <w:t>i</w:t>
      </w:r>
      <w:r w:rsidR="00320316">
        <w:rPr>
          <w:bCs/>
          <w:szCs w:val="24"/>
          <w:lang w:val="en"/>
        </w:rPr>
        <w:t>.</w:t>
      </w:r>
      <w:r w:rsidR="00567F14" w:rsidRPr="000E0CA0">
        <w:rPr>
          <w:bCs/>
          <w:szCs w:val="24"/>
          <w:lang w:val="en"/>
        </w:rPr>
        <w:t xml:space="preserve">e. </w:t>
      </w:r>
      <w:r w:rsidR="0020787B" w:rsidRPr="000E0CA0">
        <w:rPr>
          <w:bCs/>
          <w:szCs w:val="24"/>
          <w:lang w:val="en"/>
        </w:rPr>
        <w:t>c</w:t>
      </w:r>
      <w:r w:rsidRPr="000E0CA0">
        <w:rPr>
          <w:bCs/>
          <w:szCs w:val="24"/>
          <w:lang w:val="en"/>
        </w:rPr>
        <w:t xml:space="preserve">irca </w:t>
      </w:r>
      <w:r w:rsidR="00567F14" w:rsidRPr="000E0CA0">
        <w:rPr>
          <w:bCs/>
          <w:szCs w:val="24"/>
          <w:lang w:val="en"/>
        </w:rPr>
        <w:t>£4,700</w:t>
      </w:r>
      <w:r w:rsidRPr="000E0CA0">
        <w:rPr>
          <w:bCs/>
          <w:szCs w:val="24"/>
          <w:lang w:val="en"/>
        </w:rPr>
        <w:t xml:space="preserve">.  During </w:t>
      </w:r>
      <w:r w:rsidR="00567F14" w:rsidRPr="000E0CA0">
        <w:rPr>
          <w:bCs/>
          <w:szCs w:val="24"/>
          <w:lang w:val="en"/>
        </w:rPr>
        <w:t xml:space="preserve">restoration </w:t>
      </w:r>
      <w:r w:rsidR="00017E34">
        <w:rPr>
          <w:bCs/>
          <w:szCs w:val="24"/>
          <w:lang w:val="en"/>
        </w:rPr>
        <w:t xml:space="preserve">organized by the Appellant </w:t>
      </w:r>
      <w:r w:rsidR="00567F14" w:rsidRPr="000E0CA0">
        <w:rPr>
          <w:bCs/>
          <w:szCs w:val="24"/>
          <w:lang w:val="en"/>
        </w:rPr>
        <w:t>in Italy</w:t>
      </w:r>
      <w:r w:rsidRPr="000E0CA0">
        <w:rPr>
          <w:bCs/>
          <w:szCs w:val="24"/>
          <w:lang w:val="en"/>
        </w:rPr>
        <w:t xml:space="preserve"> </w:t>
      </w:r>
      <w:r w:rsidR="00017E34">
        <w:rPr>
          <w:bCs/>
          <w:szCs w:val="24"/>
          <w:lang w:val="en"/>
        </w:rPr>
        <w:t xml:space="preserve">performed </w:t>
      </w:r>
      <w:r w:rsidR="001A647E" w:rsidRPr="000E0CA0">
        <w:rPr>
          <w:bCs/>
          <w:szCs w:val="24"/>
          <w:lang w:val="en"/>
        </w:rPr>
        <w:t xml:space="preserve">by Professor Umberto Ticci </w:t>
      </w:r>
      <w:r w:rsidR="00C80C07" w:rsidRPr="000E0CA0">
        <w:rPr>
          <w:bCs/>
          <w:szCs w:val="24"/>
          <w:lang w:val="en"/>
        </w:rPr>
        <w:t xml:space="preserve">in </w:t>
      </w:r>
      <w:r w:rsidR="001A647E" w:rsidRPr="000E0CA0">
        <w:rPr>
          <w:bCs/>
          <w:szCs w:val="24"/>
          <w:lang w:val="en"/>
        </w:rPr>
        <w:t>1992 and 1993, two layers of paint were removed dating from the 1</w:t>
      </w:r>
      <w:r w:rsidR="00017E34">
        <w:rPr>
          <w:bCs/>
          <w:szCs w:val="24"/>
          <w:lang w:val="en"/>
        </w:rPr>
        <w:t>7</w:t>
      </w:r>
      <w:r w:rsidR="001A647E" w:rsidRPr="000E0CA0">
        <w:rPr>
          <w:bCs/>
          <w:szCs w:val="24"/>
          <w:vertAlign w:val="superscript"/>
          <w:lang w:val="en"/>
        </w:rPr>
        <w:t>th</w:t>
      </w:r>
      <w:r w:rsidR="001A647E" w:rsidRPr="000E0CA0">
        <w:rPr>
          <w:bCs/>
          <w:szCs w:val="24"/>
          <w:lang w:val="en"/>
        </w:rPr>
        <w:t xml:space="preserve"> and </w:t>
      </w:r>
      <w:r w:rsidR="00017E34">
        <w:rPr>
          <w:bCs/>
          <w:szCs w:val="24"/>
          <w:lang w:val="en"/>
        </w:rPr>
        <w:t>then 15</w:t>
      </w:r>
      <w:r w:rsidR="001A647E" w:rsidRPr="000E0CA0">
        <w:rPr>
          <w:bCs/>
          <w:szCs w:val="24"/>
          <w:vertAlign w:val="superscript"/>
          <w:lang w:val="en"/>
        </w:rPr>
        <w:t>th</w:t>
      </w:r>
      <w:r w:rsidR="001A647E" w:rsidRPr="000E0CA0">
        <w:rPr>
          <w:bCs/>
          <w:szCs w:val="24"/>
          <w:lang w:val="en"/>
        </w:rPr>
        <w:t xml:space="preserve"> centuries</w:t>
      </w:r>
      <w:r w:rsidR="001920D2" w:rsidRPr="000E0CA0">
        <w:rPr>
          <w:bCs/>
          <w:szCs w:val="24"/>
          <w:lang w:val="en"/>
        </w:rPr>
        <w:t xml:space="preserve"> and </w:t>
      </w:r>
      <w:r w:rsidR="00567F14" w:rsidRPr="000E0CA0">
        <w:rPr>
          <w:bCs/>
          <w:szCs w:val="24"/>
          <w:lang w:val="en"/>
        </w:rPr>
        <w:t>a medieval painted layer</w:t>
      </w:r>
      <w:r w:rsidRPr="000E0CA0">
        <w:rPr>
          <w:bCs/>
          <w:szCs w:val="24"/>
          <w:lang w:val="en"/>
        </w:rPr>
        <w:t xml:space="preserve"> was </w:t>
      </w:r>
      <w:r w:rsidR="001A647E" w:rsidRPr="000E0CA0">
        <w:rPr>
          <w:bCs/>
          <w:szCs w:val="24"/>
          <w:lang w:val="en"/>
        </w:rPr>
        <w:t xml:space="preserve">brought to light </w:t>
      </w:r>
      <w:r w:rsidRPr="000E0CA0">
        <w:rPr>
          <w:bCs/>
          <w:szCs w:val="24"/>
          <w:lang w:val="en"/>
        </w:rPr>
        <w:t xml:space="preserve">which was </w:t>
      </w:r>
      <w:r w:rsidR="00567F14" w:rsidRPr="000E0CA0">
        <w:rPr>
          <w:bCs/>
          <w:szCs w:val="24"/>
          <w:lang w:val="en"/>
        </w:rPr>
        <w:t xml:space="preserve">attributed to Giotto </w:t>
      </w:r>
      <w:r w:rsidR="001A647E" w:rsidRPr="000E0CA0">
        <w:rPr>
          <w:bCs/>
          <w:szCs w:val="24"/>
          <w:lang w:val="en"/>
        </w:rPr>
        <w:t>himself</w:t>
      </w:r>
      <w:r w:rsidR="00567F14" w:rsidRPr="000E0CA0">
        <w:rPr>
          <w:bCs/>
          <w:szCs w:val="24"/>
          <w:lang w:val="en"/>
        </w:rPr>
        <w:t xml:space="preserve">. </w:t>
      </w:r>
      <w:r w:rsidRPr="000E0CA0">
        <w:rPr>
          <w:bCs/>
          <w:szCs w:val="24"/>
          <w:lang w:val="en"/>
        </w:rPr>
        <w:t>This of course</w:t>
      </w:r>
      <w:r w:rsidR="00567F14" w:rsidRPr="000E0CA0">
        <w:rPr>
          <w:bCs/>
          <w:szCs w:val="24"/>
          <w:lang w:val="en"/>
        </w:rPr>
        <w:t xml:space="preserve"> increased </w:t>
      </w:r>
      <w:r w:rsidRPr="000E0CA0">
        <w:rPr>
          <w:bCs/>
          <w:szCs w:val="24"/>
          <w:lang w:val="en"/>
        </w:rPr>
        <w:t xml:space="preserve">both the </w:t>
      </w:r>
      <w:r w:rsidR="00567F14" w:rsidRPr="000E0CA0">
        <w:rPr>
          <w:bCs/>
          <w:szCs w:val="24"/>
          <w:lang w:val="en"/>
        </w:rPr>
        <w:t xml:space="preserve">value of the </w:t>
      </w:r>
      <w:r w:rsidR="00C80C07" w:rsidRPr="000E0CA0">
        <w:rPr>
          <w:bCs/>
          <w:szCs w:val="24"/>
          <w:lang w:val="en"/>
        </w:rPr>
        <w:t>p</w:t>
      </w:r>
      <w:r w:rsidR="00567F14" w:rsidRPr="000E0CA0">
        <w:rPr>
          <w:bCs/>
          <w:szCs w:val="24"/>
          <w:lang w:val="en"/>
        </w:rPr>
        <w:t>ainting and its cultural importance</w:t>
      </w:r>
      <w:r w:rsidRPr="000E0CA0">
        <w:rPr>
          <w:bCs/>
          <w:szCs w:val="24"/>
          <w:lang w:val="en"/>
        </w:rPr>
        <w:t>.</w:t>
      </w:r>
    </w:p>
    <w:p w14:paraId="5923EB72" w14:textId="77777777" w:rsidR="001920D2" w:rsidRPr="000E0CA0" w:rsidRDefault="00817F38" w:rsidP="002D37BA">
      <w:pPr>
        <w:pStyle w:val="ParaLevel1"/>
        <w:numPr>
          <w:ilvl w:val="0"/>
          <w:numId w:val="13"/>
        </w:numPr>
        <w:ind w:left="567" w:hanging="567"/>
        <w:rPr>
          <w:bCs/>
          <w:szCs w:val="24"/>
          <w:lang w:val="en"/>
        </w:rPr>
      </w:pPr>
      <w:r w:rsidRPr="000E0CA0">
        <w:rPr>
          <w:bCs/>
          <w:szCs w:val="24"/>
          <w:lang w:val="en"/>
        </w:rPr>
        <w:t>O</w:t>
      </w:r>
      <w:r w:rsidR="00CE21A7" w:rsidRPr="000E0CA0">
        <w:rPr>
          <w:bCs/>
          <w:szCs w:val="24"/>
          <w:lang w:val="en"/>
        </w:rPr>
        <w:t xml:space="preserve">n </w:t>
      </w:r>
      <w:r w:rsidR="00567F14" w:rsidRPr="000E0CA0">
        <w:rPr>
          <w:bCs/>
          <w:szCs w:val="24"/>
          <w:lang w:val="en"/>
        </w:rPr>
        <w:t>8</w:t>
      </w:r>
      <w:r w:rsidR="00CE21A7" w:rsidRPr="000E0CA0">
        <w:rPr>
          <w:bCs/>
          <w:szCs w:val="24"/>
          <w:vertAlign w:val="superscript"/>
          <w:lang w:val="en"/>
        </w:rPr>
        <w:t>th</w:t>
      </w:r>
      <w:r w:rsidR="00CE21A7" w:rsidRPr="000E0CA0">
        <w:rPr>
          <w:bCs/>
          <w:szCs w:val="24"/>
          <w:lang w:val="en"/>
        </w:rPr>
        <w:t xml:space="preserve"> </w:t>
      </w:r>
      <w:r w:rsidR="00567F14" w:rsidRPr="000E0CA0">
        <w:rPr>
          <w:bCs/>
          <w:szCs w:val="24"/>
          <w:lang w:val="en"/>
        </w:rPr>
        <w:t xml:space="preserve">June 1993, </w:t>
      </w:r>
      <w:r w:rsidRPr="000E0CA0">
        <w:rPr>
          <w:bCs/>
          <w:szCs w:val="24"/>
          <w:lang w:val="en"/>
        </w:rPr>
        <w:t xml:space="preserve">following restoration, </w:t>
      </w:r>
      <w:r w:rsidR="00567F14" w:rsidRPr="000E0CA0">
        <w:rPr>
          <w:bCs/>
          <w:szCs w:val="24"/>
          <w:lang w:val="en"/>
        </w:rPr>
        <w:t xml:space="preserve">the Appellant was granted another permanent export licence for the export of the </w:t>
      </w:r>
      <w:r w:rsidR="00CE21A7" w:rsidRPr="000E0CA0">
        <w:rPr>
          <w:bCs/>
          <w:szCs w:val="24"/>
          <w:lang w:val="en"/>
        </w:rPr>
        <w:t>p</w:t>
      </w:r>
      <w:r w:rsidR="00567F14" w:rsidRPr="000E0CA0">
        <w:rPr>
          <w:bCs/>
          <w:szCs w:val="24"/>
          <w:lang w:val="en"/>
        </w:rPr>
        <w:t>ainting</w:t>
      </w:r>
      <w:r w:rsidRPr="000E0CA0">
        <w:rPr>
          <w:bCs/>
          <w:szCs w:val="24"/>
          <w:lang w:val="en"/>
        </w:rPr>
        <w:t xml:space="preserve"> (“</w:t>
      </w:r>
      <w:r w:rsidRPr="000E0CA0">
        <w:rPr>
          <w:bCs/>
          <w:i/>
          <w:iCs/>
          <w:szCs w:val="24"/>
          <w:lang w:val="en"/>
        </w:rPr>
        <w:t>the 1993 Licence</w:t>
      </w:r>
      <w:r w:rsidRPr="000E0CA0">
        <w:rPr>
          <w:bCs/>
          <w:szCs w:val="24"/>
          <w:lang w:val="en"/>
        </w:rPr>
        <w:t>”)</w:t>
      </w:r>
      <w:r w:rsidR="00CE21A7" w:rsidRPr="000E0CA0">
        <w:rPr>
          <w:bCs/>
          <w:szCs w:val="24"/>
          <w:lang w:val="en"/>
        </w:rPr>
        <w:t xml:space="preserve">.  The </w:t>
      </w:r>
      <w:r w:rsidR="00567F14" w:rsidRPr="000E0CA0">
        <w:rPr>
          <w:bCs/>
          <w:szCs w:val="24"/>
          <w:lang w:val="en"/>
        </w:rPr>
        <w:t xml:space="preserve">declared valuation </w:t>
      </w:r>
      <w:r w:rsidR="00CE21A7" w:rsidRPr="000E0CA0">
        <w:rPr>
          <w:bCs/>
          <w:szCs w:val="24"/>
          <w:lang w:val="en"/>
        </w:rPr>
        <w:t>was however only 10</w:t>
      </w:r>
      <w:r w:rsidR="00567F14" w:rsidRPr="000E0CA0">
        <w:rPr>
          <w:bCs/>
          <w:szCs w:val="24"/>
          <w:lang w:val="en"/>
        </w:rPr>
        <w:t>.75m lir</w:t>
      </w:r>
      <w:r w:rsidR="009B54B7">
        <w:rPr>
          <w:bCs/>
          <w:szCs w:val="24"/>
          <w:lang w:val="en"/>
        </w:rPr>
        <w:t>e</w:t>
      </w:r>
      <w:r w:rsidR="00567F14" w:rsidRPr="000E0CA0">
        <w:rPr>
          <w:bCs/>
          <w:szCs w:val="24"/>
          <w:lang w:val="en"/>
        </w:rPr>
        <w:t xml:space="preserve">. </w:t>
      </w:r>
      <w:r w:rsidR="001920D2" w:rsidRPr="000E0CA0">
        <w:rPr>
          <w:bCs/>
          <w:szCs w:val="24"/>
          <w:lang w:val="en"/>
        </w:rPr>
        <w:t xml:space="preserve">The painting was not described as </w:t>
      </w:r>
      <w:r w:rsidRPr="000E0CA0">
        <w:rPr>
          <w:bCs/>
          <w:szCs w:val="24"/>
          <w:lang w:val="en"/>
        </w:rPr>
        <w:t>by</w:t>
      </w:r>
      <w:r w:rsidR="001920D2" w:rsidRPr="000E0CA0">
        <w:rPr>
          <w:bCs/>
          <w:szCs w:val="24"/>
          <w:lang w:val="en"/>
        </w:rPr>
        <w:t xml:space="preserve"> Giotto.</w:t>
      </w:r>
    </w:p>
    <w:p w14:paraId="520C6CE6" w14:textId="77777777" w:rsidR="009E6E4A" w:rsidRPr="000E0CA0" w:rsidRDefault="00CE21A7" w:rsidP="002D37BA">
      <w:pPr>
        <w:pStyle w:val="ParaLevel1"/>
        <w:numPr>
          <w:ilvl w:val="0"/>
          <w:numId w:val="13"/>
        </w:numPr>
        <w:ind w:left="567" w:hanging="567"/>
        <w:rPr>
          <w:bCs/>
          <w:szCs w:val="24"/>
          <w:lang w:val="en"/>
        </w:rPr>
      </w:pPr>
      <w:r w:rsidRPr="000E0CA0">
        <w:rPr>
          <w:bCs/>
          <w:szCs w:val="24"/>
          <w:lang w:val="en"/>
        </w:rPr>
        <w:t>The painting was exported to Switzerland</w:t>
      </w:r>
      <w:r w:rsidR="009E6E4A" w:rsidRPr="000E0CA0">
        <w:rPr>
          <w:bCs/>
          <w:szCs w:val="24"/>
          <w:lang w:val="en"/>
        </w:rPr>
        <w:t xml:space="preserve"> but was returned </w:t>
      </w:r>
      <w:r w:rsidR="00567F14" w:rsidRPr="000E0CA0">
        <w:rPr>
          <w:bCs/>
          <w:szCs w:val="24"/>
          <w:lang w:val="en"/>
        </w:rPr>
        <w:t xml:space="preserve">to Italy </w:t>
      </w:r>
      <w:r w:rsidR="009E6E4A" w:rsidRPr="000E0CA0">
        <w:rPr>
          <w:bCs/>
          <w:szCs w:val="24"/>
          <w:lang w:val="en"/>
        </w:rPr>
        <w:t xml:space="preserve">under </w:t>
      </w:r>
      <w:r w:rsidR="00567F14" w:rsidRPr="000E0CA0">
        <w:rPr>
          <w:bCs/>
          <w:szCs w:val="24"/>
          <w:lang w:val="en"/>
        </w:rPr>
        <w:t xml:space="preserve">a temporary import licence in 1995 </w:t>
      </w:r>
      <w:r w:rsidR="001920D2" w:rsidRPr="000E0CA0">
        <w:rPr>
          <w:bCs/>
          <w:szCs w:val="24"/>
          <w:lang w:val="en"/>
        </w:rPr>
        <w:t xml:space="preserve">this time </w:t>
      </w:r>
      <w:r w:rsidR="00567F14" w:rsidRPr="000E0CA0">
        <w:rPr>
          <w:bCs/>
          <w:szCs w:val="24"/>
          <w:lang w:val="en"/>
        </w:rPr>
        <w:t>with a declared value of 296,677,500 lir</w:t>
      </w:r>
      <w:r w:rsidR="009B54B7">
        <w:rPr>
          <w:bCs/>
          <w:szCs w:val="24"/>
          <w:lang w:val="en"/>
        </w:rPr>
        <w:t>e</w:t>
      </w:r>
      <w:r w:rsidR="00567F14" w:rsidRPr="000E0CA0">
        <w:rPr>
          <w:bCs/>
          <w:szCs w:val="24"/>
          <w:lang w:val="en"/>
        </w:rPr>
        <w:t xml:space="preserve"> (around £111,000) and </w:t>
      </w:r>
      <w:r w:rsidR="009E6E4A" w:rsidRPr="000E0CA0">
        <w:rPr>
          <w:bCs/>
          <w:szCs w:val="24"/>
          <w:lang w:val="en"/>
        </w:rPr>
        <w:t>then</w:t>
      </w:r>
      <w:r w:rsidR="0020787B" w:rsidRPr="000E0CA0">
        <w:rPr>
          <w:bCs/>
          <w:szCs w:val="24"/>
          <w:lang w:val="en"/>
        </w:rPr>
        <w:t>, in 1998,</w:t>
      </w:r>
      <w:r w:rsidR="009E6E4A" w:rsidRPr="000E0CA0">
        <w:rPr>
          <w:bCs/>
          <w:szCs w:val="24"/>
          <w:lang w:val="en"/>
        </w:rPr>
        <w:t xml:space="preserve"> it was exported to the </w:t>
      </w:r>
      <w:r w:rsidR="00567F14" w:rsidRPr="000E0CA0">
        <w:rPr>
          <w:bCs/>
          <w:szCs w:val="24"/>
          <w:lang w:val="en"/>
        </w:rPr>
        <w:t xml:space="preserve">USA. </w:t>
      </w:r>
      <w:r w:rsidR="009E6E4A" w:rsidRPr="000E0CA0">
        <w:rPr>
          <w:bCs/>
          <w:szCs w:val="24"/>
          <w:lang w:val="en"/>
        </w:rPr>
        <w:t>The</w:t>
      </w:r>
      <w:r w:rsidR="00567F14" w:rsidRPr="000E0CA0">
        <w:rPr>
          <w:bCs/>
          <w:szCs w:val="24"/>
          <w:lang w:val="en"/>
        </w:rPr>
        <w:t xml:space="preserve"> declared valuation was 700</w:t>
      </w:r>
      <w:r w:rsidR="009E6E4A" w:rsidRPr="000E0CA0">
        <w:rPr>
          <w:bCs/>
          <w:szCs w:val="24"/>
          <w:lang w:val="en"/>
        </w:rPr>
        <w:t xml:space="preserve">m </w:t>
      </w:r>
      <w:r w:rsidR="00567F14" w:rsidRPr="000E0CA0">
        <w:rPr>
          <w:bCs/>
          <w:szCs w:val="24"/>
          <w:lang w:val="en"/>
        </w:rPr>
        <w:t>lir</w:t>
      </w:r>
      <w:r w:rsidR="009B54B7">
        <w:rPr>
          <w:bCs/>
          <w:szCs w:val="24"/>
          <w:lang w:val="en"/>
        </w:rPr>
        <w:t>e</w:t>
      </w:r>
      <w:r w:rsidR="00567F14" w:rsidRPr="000E0CA0">
        <w:rPr>
          <w:bCs/>
          <w:szCs w:val="24"/>
          <w:lang w:val="en"/>
        </w:rPr>
        <w:t xml:space="preserve"> i.e. </w:t>
      </w:r>
      <w:r w:rsidR="0020787B" w:rsidRPr="000E0CA0">
        <w:rPr>
          <w:bCs/>
          <w:szCs w:val="24"/>
          <w:lang w:val="en"/>
        </w:rPr>
        <w:t xml:space="preserve">circa </w:t>
      </w:r>
      <w:r w:rsidR="00567F14" w:rsidRPr="000E0CA0">
        <w:rPr>
          <w:bCs/>
          <w:szCs w:val="24"/>
          <w:lang w:val="en"/>
        </w:rPr>
        <w:t>£239,000</w:t>
      </w:r>
      <w:r w:rsidR="009E6E4A" w:rsidRPr="000E0CA0">
        <w:rPr>
          <w:bCs/>
          <w:szCs w:val="24"/>
          <w:lang w:val="en"/>
        </w:rPr>
        <w:t>.</w:t>
      </w:r>
      <w:r w:rsidR="001920D2" w:rsidRPr="000E0CA0">
        <w:rPr>
          <w:bCs/>
          <w:szCs w:val="24"/>
          <w:lang w:val="en"/>
        </w:rPr>
        <w:t xml:space="preserve">  It was not on any of these occasions attributed to Giotto.</w:t>
      </w:r>
    </w:p>
    <w:p w14:paraId="41BA9064" w14:textId="77777777" w:rsidR="009E6E4A" w:rsidRPr="000E0CA0" w:rsidRDefault="00567F14" w:rsidP="002D37BA">
      <w:pPr>
        <w:pStyle w:val="ParaLevel1"/>
        <w:numPr>
          <w:ilvl w:val="0"/>
          <w:numId w:val="13"/>
        </w:numPr>
        <w:ind w:left="567" w:hanging="567"/>
        <w:rPr>
          <w:bCs/>
          <w:szCs w:val="24"/>
          <w:lang w:val="en"/>
        </w:rPr>
      </w:pPr>
      <w:r w:rsidRPr="000E0CA0">
        <w:rPr>
          <w:bCs/>
          <w:szCs w:val="24"/>
          <w:lang w:val="en"/>
        </w:rPr>
        <w:t xml:space="preserve">The </w:t>
      </w:r>
      <w:r w:rsidR="00D94BF9" w:rsidRPr="000E0CA0">
        <w:rPr>
          <w:bCs/>
          <w:szCs w:val="24"/>
          <w:lang w:val="en"/>
        </w:rPr>
        <w:t>p</w:t>
      </w:r>
      <w:r w:rsidRPr="000E0CA0">
        <w:rPr>
          <w:bCs/>
          <w:szCs w:val="24"/>
          <w:lang w:val="en"/>
        </w:rPr>
        <w:t>ainting returned to Italy in February 1999. It was inspected at the airport</w:t>
      </w:r>
      <w:r w:rsidR="0020787B" w:rsidRPr="000E0CA0">
        <w:rPr>
          <w:bCs/>
          <w:szCs w:val="24"/>
          <w:lang w:val="en"/>
        </w:rPr>
        <w:t xml:space="preserve"> but whilst its evident quality was noted it was not </w:t>
      </w:r>
      <w:r w:rsidR="00C80C07" w:rsidRPr="000E0CA0">
        <w:rPr>
          <w:bCs/>
          <w:szCs w:val="24"/>
          <w:lang w:val="en"/>
        </w:rPr>
        <w:t xml:space="preserve">formally </w:t>
      </w:r>
      <w:r w:rsidR="0020787B" w:rsidRPr="000E0CA0">
        <w:rPr>
          <w:bCs/>
          <w:szCs w:val="24"/>
          <w:lang w:val="en"/>
        </w:rPr>
        <w:t xml:space="preserve">identified as </w:t>
      </w:r>
      <w:r w:rsidR="00320316">
        <w:rPr>
          <w:bCs/>
          <w:szCs w:val="24"/>
          <w:lang w:val="en"/>
        </w:rPr>
        <w:t xml:space="preserve">being </w:t>
      </w:r>
      <w:r w:rsidR="0020787B" w:rsidRPr="000E0CA0">
        <w:rPr>
          <w:bCs/>
          <w:szCs w:val="24"/>
          <w:lang w:val="en"/>
        </w:rPr>
        <w:t>by Giotto</w:t>
      </w:r>
      <w:r w:rsidRPr="000E0CA0">
        <w:rPr>
          <w:bCs/>
          <w:szCs w:val="24"/>
          <w:lang w:val="en"/>
        </w:rPr>
        <w:t xml:space="preserve">. The Italian authorities issued a certificate of temporary </w:t>
      </w:r>
      <w:r w:rsidR="009E6E4A" w:rsidRPr="000E0CA0">
        <w:rPr>
          <w:bCs/>
          <w:szCs w:val="24"/>
          <w:lang w:val="en"/>
        </w:rPr>
        <w:t>importation</w:t>
      </w:r>
      <w:r w:rsidRPr="000E0CA0">
        <w:rPr>
          <w:bCs/>
          <w:szCs w:val="24"/>
          <w:lang w:val="en"/>
        </w:rPr>
        <w:t xml:space="preserve"> expressly stated to be valid for five years, expiring on 23</w:t>
      </w:r>
      <w:r w:rsidR="009E6E4A" w:rsidRPr="000E0CA0">
        <w:rPr>
          <w:bCs/>
          <w:szCs w:val="24"/>
          <w:vertAlign w:val="superscript"/>
          <w:lang w:val="en"/>
        </w:rPr>
        <w:t>rd</w:t>
      </w:r>
      <w:r w:rsidR="009E6E4A" w:rsidRPr="000E0CA0">
        <w:rPr>
          <w:bCs/>
          <w:szCs w:val="24"/>
          <w:lang w:val="en"/>
        </w:rPr>
        <w:t xml:space="preserve"> </w:t>
      </w:r>
      <w:r w:rsidRPr="000E0CA0">
        <w:rPr>
          <w:bCs/>
          <w:szCs w:val="24"/>
          <w:lang w:val="en"/>
        </w:rPr>
        <w:t>February 2004, which could not be extended (“</w:t>
      </w:r>
      <w:r w:rsidRPr="000E0CA0">
        <w:rPr>
          <w:bCs/>
          <w:i/>
          <w:iCs/>
          <w:szCs w:val="24"/>
          <w:lang w:val="en"/>
        </w:rPr>
        <w:t>the 1999 licence</w:t>
      </w:r>
      <w:r w:rsidRPr="000E0CA0">
        <w:rPr>
          <w:bCs/>
          <w:szCs w:val="24"/>
          <w:lang w:val="en"/>
        </w:rPr>
        <w:t xml:space="preserve">”). The certificate noted that it replaced another document - a certificate of free movement across the EU - during its period of validity. The effect of the certificate was </w:t>
      </w:r>
      <w:r w:rsidRPr="000E0CA0">
        <w:rPr>
          <w:bCs/>
          <w:szCs w:val="24"/>
          <w:lang w:val="en"/>
        </w:rPr>
        <w:lastRenderedPageBreak/>
        <w:t xml:space="preserve">that the </w:t>
      </w:r>
      <w:r w:rsidR="009E6E4A" w:rsidRPr="000E0CA0">
        <w:rPr>
          <w:bCs/>
          <w:szCs w:val="24"/>
          <w:lang w:val="en"/>
        </w:rPr>
        <w:t>p</w:t>
      </w:r>
      <w:r w:rsidRPr="000E0CA0">
        <w:rPr>
          <w:bCs/>
          <w:szCs w:val="24"/>
          <w:lang w:val="en"/>
        </w:rPr>
        <w:t>ainting could be removed from Italy to another EU country without further formality for a period</w:t>
      </w:r>
      <w:r w:rsidR="009E6E4A" w:rsidRPr="000E0CA0">
        <w:rPr>
          <w:bCs/>
          <w:szCs w:val="24"/>
          <w:lang w:val="en"/>
        </w:rPr>
        <w:t xml:space="preserve"> of 5 years</w:t>
      </w:r>
      <w:r w:rsidRPr="000E0CA0">
        <w:rPr>
          <w:bCs/>
          <w:szCs w:val="24"/>
          <w:lang w:val="en"/>
        </w:rPr>
        <w:t xml:space="preserve">. </w:t>
      </w:r>
      <w:r w:rsidR="009E6E4A" w:rsidRPr="000E0CA0">
        <w:rPr>
          <w:bCs/>
          <w:szCs w:val="24"/>
          <w:lang w:val="en"/>
        </w:rPr>
        <w:t>However, if upon expiry of the licence the</w:t>
      </w:r>
      <w:r w:rsidRPr="000E0CA0">
        <w:rPr>
          <w:bCs/>
          <w:szCs w:val="24"/>
          <w:lang w:val="en"/>
        </w:rPr>
        <w:t xml:space="preserve"> painting was still in </w:t>
      </w:r>
      <w:r w:rsidR="009E6E4A" w:rsidRPr="000E0CA0">
        <w:rPr>
          <w:bCs/>
          <w:szCs w:val="24"/>
          <w:lang w:val="en"/>
        </w:rPr>
        <w:t>Italy the</w:t>
      </w:r>
      <w:r w:rsidRPr="000E0CA0">
        <w:rPr>
          <w:bCs/>
          <w:szCs w:val="24"/>
          <w:lang w:val="en"/>
        </w:rPr>
        <w:t xml:space="preserve"> Appellant would need to apply for </w:t>
      </w:r>
      <w:r w:rsidR="009E6E4A" w:rsidRPr="000E0CA0">
        <w:rPr>
          <w:bCs/>
          <w:szCs w:val="24"/>
          <w:lang w:val="en"/>
        </w:rPr>
        <w:t xml:space="preserve">a fresh </w:t>
      </w:r>
      <w:r w:rsidRPr="000E0CA0">
        <w:rPr>
          <w:bCs/>
          <w:szCs w:val="24"/>
          <w:lang w:val="en"/>
        </w:rPr>
        <w:t>export licence.</w:t>
      </w:r>
      <w:r w:rsidR="001920D2" w:rsidRPr="000E0CA0">
        <w:rPr>
          <w:bCs/>
          <w:szCs w:val="24"/>
          <w:lang w:val="en"/>
        </w:rPr>
        <w:t xml:space="preserve"> Again</w:t>
      </w:r>
      <w:r w:rsidR="00C80C07" w:rsidRPr="000E0CA0">
        <w:rPr>
          <w:bCs/>
          <w:szCs w:val="24"/>
          <w:lang w:val="en"/>
        </w:rPr>
        <w:t>,</w:t>
      </w:r>
      <w:r w:rsidR="001920D2" w:rsidRPr="000E0CA0">
        <w:rPr>
          <w:bCs/>
          <w:szCs w:val="24"/>
          <w:lang w:val="en"/>
        </w:rPr>
        <w:t xml:space="preserve"> it was not recorded that the painting was by Giotto.</w:t>
      </w:r>
    </w:p>
    <w:p w14:paraId="2D422831" w14:textId="77777777" w:rsidR="009E6E4A" w:rsidRPr="000E0CA0" w:rsidRDefault="00817F38" w:rsidP="002D37BA">
      <w:pPr>
        <w:pStyle w:val="ParaLevel1"/>
        <w:numPr>
          <w:ilvl w:val="0"/>
          <w:numId w:val="13"/>
        </w:numPr>
        <w:ind w:left="567" w:hanging="567"/>
        <w:rPr>
          <w:bCs/>
          <w:szCs w:val="24"/>
          <w:lang w:val="en"/>
        </w:rPr>
      </w:pPr>
      <w:r w:rsidRPr="000E0CA0">
        <w:rPr>
          <w:bCs/>
          <w:iCs/>
          <w:szCs w:val="24"/>
          <w:lang w:val="en"/>
        </w:rPr>
        <w:t xml:space="preserve">At about this time </w:t>
      </w:r>
      <w:r w:rsidR="001A647E" w:rsidRPr="000E0CA0">
        <w:rPr>
          <w:bCs/>
          <w:iCs/>
          <w:szCs w:val="24"/>
          <w:lang w:val="en"/>
        </w:rPr>
        <w:t>MIBAC</w:t>
      </w:r>
      <w:r w:rsidR="001920D2" w:rsidRPr="000E0CA0">
        <w:rPr>
          <w:bCs/>
          <w:iCs/>
          <w:szCs w:val="24"/>
          <w:lang w:val="en"/>
        </w:rPr>
        <w:t>, the competent authority,</w:t>
      </w:r>
      <w:r w:rsidR="001920D2" w:rsidRPr="000E0CA0">
        <w:rPr>
          <w:bCs/>
          <w:szCs w:val="24"/>
          <w:lang w:val="en"/>
        </w:rPr>
        <w:t xml:space="preserve"> commissioned</w:t>
      </w:r>
      <w:r w:rsidR="009F40A8" w:rsidRPr="000E0CA0">
        <w:rPr>
          <w:bCs/>
          <w:szCs w:val="24"/>
          <w:lang w:val="en"/>
        </w:rPr>
        <w:t xml:space="preserve"> an expert report on attribution</w:t>
      </w:r>
      <w:r w:rsidR="00340C52" w:rsidRPr="000E0CA0">
        <w:rPr>
          <w:bCs/>
          <w:szCs w:val="24"/>
          <w:lang w:val="en"/>
        </w:rPr>
        <w:t xml:space="preserve">.  This was </w:t>
      </w:r>
      <w:r w:rsidR="009F40A8" w:rsidRPr="000E0CA0">
        <w:rPr>
          <w:bCs/>
          <w:szCs w:val="24"/>
          <w:lang w:val="en"/>
        </w:rPr>
        <w:t>released on 19</w:t>
      </w:r>
      <w:r w:rsidR="009F40A8" w:rsidRPr="000E0CA0">
        <w:rPr>
          <w:bCs/>
          <w:szCs w:val="24"/>
          <w:vertAlign w:val="superscript"/>
          <w:lang w:val="en"/>
        </w:rPr>
        <w:t>th</w:t>
      </w:r>
      <w:r w:rsidR="009F40A8" w:rsidRPr="000E0CA0">
        <w:rPr>
          <w:bCs/>
          <w:szCs w:val="24"/>
          <w:lang w:val="en"/>
        </w:rPr>
        <w:t xml:space="preserve"> February 1999 and confirmed </w:t>
      </w:r>
      <w:r w:rsidR="00017E34">
        <w:rPr>
          <w:bCs/>
          <w:szCs w:val="24"/>
          <w:lang w:val="en"/>
        </w:rPr>
        <w:t>an</w:t>
      </w:r>
      <w:r w:rsidR="009F40A8" w:rsidRPr="000E0CA0">
        <w:rPr>
          <w:bCs/>
          <w:szCs w:val="24"/>
          <w:lang w:val="en"/>
        </w:rPr>
        <w:t xml:space="preserve"> attribution to Giotto. </w:t>
      </w:r>
      <w:r w:rsidR="007E31FB" w:rsidRPr="000E0CA0">
        <w:rPr>
          <w:bCs/>
          <w:szCs w:val="24"/>
          <w:lang w:val="en"/>
        </w:rPr>
        <w:t>The expert</w:t>
      </w:r>
      <w:r w:rsidR="00320316">
        <w:rPr>
          <w:bCs/>
          <w:szCs w:val="24"/>
          <w:lang w:val="en"/>
        </w:rPr>
        <w:t xml:space="preserve"> report</w:t>
      </w:r>
      <w:r w:rsidR="007E31FB" w:rsidRPr="000E0CA0">
        <w:rPr>
          <w:bCs/>
          <w:szCs w:val="24"/>
          <w:lang w:val="en"/>
        </w:rPr>
        <w:t xml:space="preserve"> </w:t>
      </w:r>
      <w:r w:rsidR="009F40A8" w:rsidRPr="000E0CA0">
        <w:rPr>
          <w:bCs/>
          <w:szCs w:val="24"/>
          <w:lang w:val="en"/>
        </w:rPr>
        <w:t>proposed that the painting be purchased by MIBAC for the state.</w:t>
      </w:r>
      <w:r w:rsidR="0020787B" w:rsidRPr="000E0CA0">
        <w:rPr>
          <w:bCs/>
          <w:szCs w:val="24"/>
          <w:lang w:val="en"/>
        </w:rPr>
        <w:t xml:space="preserve"> </w:t>
      </w:r>
      <w:r w:rsidR="00567F14" w:rsidRPr="000E0CA0">
        <w:rPr>
          <w:bCs/>
          <w:szCs w:val="24"/>
          <w:lang w:val="en"/>
        </w:rPr>
        <w:t>On 10</w:t>
      </w:r>
      <w:r w:rsidR="009E6E4A" w:rsidRPr="000E0CA0">
        <w:rPr>
          <w:bCs/>
          <w:szCs w:val="24"/>
          <w:vertAlign w:val="superscript"/>
          <w:lang w:val="en"/>
        </w:rPr>
        <w:t>th</w:t>
      </w:r>
      <w:r w:rsidR="009E6E4A" w:rsidRPr="000E0CA0">
        <w:rPr>
          <w:bCs/>
          <w:szCs w:val="24"/>
          <w:lang w:val="en"/>
        </w:rPr>
        <w:t xml:space="preserve"> </w:t>
      </w:r>
      <w:r w:rsidR="00567F14" w:rsidRPr="000E0CA0">
        <w:rPr>
          <w:bCs/>
          <w:szCs w:val="24"/>
          <w:lang w:val="en"/>
        </w:rPr>
        <w:t xml:space="preserve">March 2000, an Italian Ministerial Decree </w:t>
      </w:r>
      <w:r w:rsidR="001920D2" w:rsidRPr="000E0CA0">
        <w:rPr>
          <w:bCs/>
          <w:szCs w:val="24"/>
          <w:lang w:val="en"/>
        </w:rPr>
        <w:t>(“</w:t>
      </w:r>
      <w:r w:rsidR="001920D2" w:rsidRPr="000E0CA0">
        <w:rPr>
          <w:bCs/>
          <w:i/>
          <w:iCs/>
          <w:szCs w:val="24"/>
          <w:lang w:val="en"/>
        </w:rPr>
        <w:t>the 2000 Ministerial Decree</w:t>
      </w:r>
      <w:r w:rsidR="001920D2" w:rsidRPr="000E0CA0">
        <w:rPr>
          <w:bCs/>
          <w:szCs w:val="24"/>
          <w:lang w:val="en"/>
        </w:rPr>
        <w:t xml:space="preserve">”) </w:t>
      </w:r>
      <w:r w:rsidR="00567F14" w:rsidRPr="000E0CA0">
        <w:rPr>
          <w:bCs/>
          <w:szCs w:val="24"/>
          <w:lang w:val="en"/>
        </w:rPr>
        <w:t>purported to annul the 1993 licence</w:t>
      </w:r>
      <w:r w:rsidR="009E6E4A" w:rsidRPr="000E0CA0">
        <w:rPr>
          <w:bCs/>
          <w:szCs w:val="24"/>
          <w:lang w:val="en"/>
        </w:rPr>
        <w:t xml:space="preserve"> together with all </w:t>
      </w:r>
      <w:r w:rsidR="00567F14" w:rsidRPr="000E0CA0">
        <w:rPr>
          <w:bCs/>
          <w:szCs w:val="24"/>
          <w:lang w:val="en"/>
        </w:rPr>
        <w:t xml:space="preserve">licences derivative </w:t>
      </w:r>
      <w:r w:rsidR="009E6E4A" w:rsidRPr="000E0CA0">
        <w:rPr>
          <w:bCs/>
          <w:szCs w:val="24"/>
          <w:lang w:val="en"/>
        </w:rPr>
        <w:t xml:space="preserve">upon </w:t>
      </w:r>
      <w:r w:rsidR="00567F14" w:rsidRPr="000E0CA0">
        <w:rPr>
          <w:bCs/>
          <w:szCs w:val="24"/>
          <w:lang w:val="en"/>
        </w:rPr>
        <w:t>it</w:t>
      </w:r>
      <w:r w:rsidR="009E6E4A" w:rsidRPr="000E0CA0">
        <w:rPr>
          <w:bCs/>
          <w:szCs w:val="24"/>
          <w:lang w:val="en"/>
        </w:rPr>
        <w:t xml:space="preserve"> which necessarily included the </w:t>
      </w:r>
      <w:r w:rsidR="00567F14" w:rsidRPr="000E0CA0">
        <w:rPr>
          <w:bCs/>
          <w:szCs w:val="24"/>
          <w:lang w:val="en"/>
        </w:rPr>
        <w:t>1999 licence</w:t>
      </w:r>
      <w:r w:rsidR="009E6E4A" w:rsidRPr="000E0CA0">
        <w:rPr>
          <w:bCs/>
          <w:szCs w:val="24"/>
          <w:lang w:val="en"/>
        </w:rPr>
        <w:t xml:space="preserve">.  This was upon the </w:t>
      </w:r>
      <w:r w:rsidR="00567F14" w:rsidRPr="000E0CA0">
        <w:rPr>
          <w:bCs/>
          <w:szCs w:val="24"/>
          <w:lang w:val="en"/>
        </w:rPr>
        <w:t xml:space="preserve">basis that the </w:t>
      </w:r>
      <w:r w:rsidR="00017E34">
        <w:rPr>
          <w:bCs/>
          <w:szCs w:val="24"/>
          <w:lang w:val="en"/>
        </w:rPr>
        <w:t xml:space="preserve">cultural value of the painting </w:t>
      </w:r>
      <w:r w:rsidR="00567F14" w:rsidRPr="000E0CA0">
        <w:rPr>
          <w:bCs/>
          <w:szCs w:val="24"/>
          <w:lang w:val="en"/>
        </w:rPr>
        <w:t xml:space="preserve">had fundamentally altered </w:t>
      </w:r>
      <w:r w:rsidR="0020787B" w:rsidRPr="000E0CA0">
        <w:rPr>
          <w:bCs/>
          <w:szCs w:val="24"/>
          <w:lang w:val="en"/>
        </w:rPr>
        <w:t>because of</w:t>
      </w:r>
      <w:r w:rsidR="00567F14" w:rsidRPr="000E0CA0">
        <w:rPr>
          <w:bCs/>
          <w:szCs w:val="24"/>
          <w:lang w:val="en"/>
        </w:rPr>
        <w:t xml:space="preserve"> the restoration</w:t>
      </w:r>
      <w:r w:rsidR="00017E34">
        <w:rPr>
          <w:bCs/>
          <w:szCs w:val="24"/>
          <w:lang w:val="en"/>
        </w:rPr>
        <w:t xml:space="preserve"> and attribution</w:t>
      </w:r>
      <w:r w:rsidR="001920D2" w:rsidRPr="000E0CA0">
        <w:rPr>
          <w:bCs/>
          <w:szCs w:val="24"/>
          <w:lang w:val="en"/>
        </w:rPr>
        <w:t>.</w:t>
      </w:r>
      <w:r w:rsidR="009E6E4A" w:rsidRPr="000E0CA0">
        <w:rPr>
          <w:bCs/>
          <w:szCs w:val="24"/>
          <w:lang w:val="en"/>
        </w:rPr>
        <w:t xml:space="preserve"> </w:t>
      </w:r>
    </w:p>
    <w:p w14:paraId="5E0CADCD" w14:textId="77777777" w:rsidR="009E6E4A" w:rsidRPr="000E0CA0" w:rsidRDefault="009E6E4A" w:rsidP="002D37BA">
      <w:pPr>
        <w:pStyle w:val="ParaLevel1"/>
        <w:numPr>
          <w:ilvl w:val="0"/>
          <w:numId w:val="13"/>
        </w:numPr>
        <w:ind w:left="567" w:hanging="578"/>
        <w:rPr>
          <w:bCs/>
          <w:szCs w:val="24"/>
          <w:lang w:val="en"/>
        </w:rPr>
      </w:pPr>
      <w:r w:rsidRPr="000E0CA0">
        <w:rPr>
          <w:bCs/>
          <w:szCs w:val="24"/>
          <w:lang w:val="en"/>
        </w:rPr>
        <w:t>On 29</w:t>
      </w:r>
      <w:r w:rsidRPr="000E0CA0">
        <w:rPr>
          <w:bCs/>
          <w:szCs w:val="24"/>
          <w:vertAlign w:val="superscript"/>
          <w:lang w:val="en"/>
        </w:rPr>
        <w:t>th</w:t>
      </w:r>
      <w:r w:rsidRPr="000E0CA0">
        <w:rPr>
          <w:bCs/>
          <w:szCs w:val="24"/>
          <w:lang w:val="en"/>
        </w:rPr>
        <w:t xml:space="preserve"> January 2004, shortly prior to expiry of the 5-year period of validity</w:t>
      </w:r>
      <w:r w:rsidR="0020787B" w:rsidRPr="000E0CA0">
        <w:rPr>
          <w:bCs/>
          <w:szCs w:val="24"/>
          <w:lang w:val="en"/>
        </w:rPr>
        <w:t xml:space="preserve"> of the 1999 Licence</w:t>
      </w:r>
      <w:r w:rsidRPr="000E0CA0">
        <w:rPr>
          <w:bCs/>
          <w:szCs w:val="24"/>
          <w:lang w:val="en"/>
        </w:rPr>
        <w:t>, the Appellant unsuccessfully sought an extension of the validity of th</w:t>
      </w:r>
      <w:r w:rsidR="0020787B" w:rsidRPr="000E0CA0">
        <w:rPr>
          <w:bCs/>
          <w:szCs w:val="24"/>
          <w:lang w:val="en"/>
        </w:rPr>
        <w:t>at licence</w:t>
      </w:r>
      <w:r w:rsidRPr="000E0CA0">
        <w:rPr>
          <w:bCs/>
          <w:szCs w:val="24"/>
          <w:lang w:val="en"/>
        </w:rPr>
        <w:t>. However, on 10</w:t>
      </w:r>
      <w:r w:rsidRPr="000E0CA0">
        <w:rPr>
          <w:bCs/>
          <w:szCs w:val="24"/>
          <w:vertAlign w:val="superscript"/>
          <w:lang w:val="en"/>
        </w:rPr>
        <w:t>th</w:t>
      </w:r>
      <w:r w:rsidRPr="000E0CA0">
        <w:rPr>
          <w:bCs/>
          <w:szCs w:val="24"/>
          <w:lang w:val="en"/>
        </w:rPr>
        <w:t xml:space="preserve"> March 2004, </w:t>
      </w:r>
      <w:r w:rsidR="00017E34">
        <w:rPr>
          <w:bCs/>
          <w:szCs w:val="24"/>
          <w:lang w:val="en"/>
        </w:rPr>
        <w:t xml:space="preserve">upon application by the Appellant </w:t>
      </w:r>
      <w:r w:rsidRPr="000E0CA0">
        <w:rPr>
          <w:bCs/>
          <w:szCs w:val="24"/>
          <w:lang w:val="en"/>
        </w:rPr>
        <w:t>the Lazio Administrative Court (</w:t>
      </w:r>
      <w:r w:rsidRPr="000E0CA0">
        <w:rPr>
          <w:bCs/>
          <w:szCs w:val="24"/>
        </w:rPr>
        <w:t xml:space="preserve">the </w:t>
      </w:r>
      <w:r w:rsidRPr="000E0CA0">
        <w:rPr>
          <w:bCs/>
          <w:i/>
          <w:szCs w:val="24"/>
        </w:rPr>
        <w:t>Tribunale Amministrativo Regionale</w:t>
      </w:r>
      <w:r w:rsidRPr="000E0CA0">
        <w:rPr>
          <w:bCs/>
          <w:iCs/>
          <w:szCs w:val="24"/>
        </w:rPr>
        <w:t>)</w:t>
      </w:r>
      <w:r w:rsidRPr="000E0CA0">
        <w:rPr>
          <w:bCs/>
          <w:szCs w:val="24"/>
          <w:lang w:val="en"/>
        </w:rPr>
        <w:t xml:space="preserve"> annulled the 2000 Ministerial Decree on procedural grounds. On 13</w:t>
      </w:r>
      <w:r w:rsidRPr="000E0CA0">
        <w:rPr>
          <w:bCs/>
          <w:szCs w:val="24"/>
          <w:vertAlign w:val="superscript"/>
          <w:lang w:val="en"/>
        </w:rPr>
        <w:t>th</w:t>
      </w:r>
      <w:r w:rsidRPr="000E0CA0">
        <w:rPr>
          <w:bCs/>
          <w:szCs w:val="24"/>
          <w:lang w:val="en"/>
        </w:rPr>
        <w:t xml:space="preserve"> October 2004, a second Ministerial Decree was issued which sought to address the procedural defects found to exist in the earlier decree</w:t>
      </w:r>
      <w:r w:rsidR="00017E34">
        <w:rPr>
          <w:bCs/>
          <w:szCs w:val="24"/>
          <w:lang w:val="en"/>
        </w:rPr>
        <w:t xml:space="preserve"> by the court</w:t>
      </w:r>
      <w:r w:rsidRPr="000E0CA0">
        <w:rPr>
          <w:bCs/>
          <w:szCs w:val="24"/>
          <w:lang w:val="en"/>
        </w:rPr>
        <w:t xml:space="preserve">.  The Appellant challenged this second Ministerial decree and this challenge also prevailed in the Lazio Administrative Court </w:t>
      </w:r>
      <w:r w:rsidR="00C80C07" w:rsidRPr="000E0CA0">
        <w:rPr>
          <w:bCs/>
          <w:szCs w:val="24"/>
          <w:lang w:val="en"/>
        </w:rPr>
        <w:t xml:space="preserve">in a ruling of </w:t>
      </w:r>
      <w:r w:rsidRPr="000E0CA0">
        <w:rPr>
          <w:bCs/>
          <w:szCs w:val="24"/>
          <w:lang w:val="en"/>
        </w:rPr>
        <w:t>9</w:t>
      </w:r>
      <w:r w:rsidRPr="000E0CA0">
        <w:rPr>
          <w:bCs/>
          <w:szCs w:val="24"/>
          <w:vertAlign w:val="superscript"/>
          <w:lang w:val="en"/>
        </w:rPr>
        <w:t>th</w:t>
      </w:r>
      <w:r w:rsidRPr="000E0CA0">
        <w:rPr>
          <w:bCs/>
          <w:szCs w:val="24"/>
          <w:lang w:val="en"/>
        </w:rPr>
        <w:t xml:space="preserve"> February 2007.</w:t>
      </w:r>
    </w:p>
    <w:p w14:paraId="27746EAF" w14:textId="77777777" w:rsidR="00BC2AF5" w:rsidRPr="000E0CA0" w:rsidRDefault="000A2B18" w:rsidP="002D37BA">
      <w:pPr>
        <w:pStyle w:val="ParaLevel1"/>
        <w:numPr>
          <w:ilvl w:val="0"/>
          <w:numId w:val="13"/>
        </w:numPr>
        <w:ind w:left="567" w:hanging="567"/>
        <w:rPr>
          <w:bCs/>
          <w:szCs w:val="24"/>
          <w:lang w:val="en"/>
        </w:rPr>
      </w:pPr>
      <w:r w:rsidRPr="000E0CA0">
        <w:rPr>
          <w:bCs/>
          <w:szCs w:val="24"/>
          <w:lang w:val="en"/>
        </w:rPr>
        <w:t xml:space="preserve">On </w:t>
      </w:r>
      <w:r w:rsidR="005E67D8" w:rsidRPr="000E0CA0">
        <w:rPr>
          <w:bCs/>
          <w:szCs w:val="24"/>
          <w:lang w:val="en"/>
        </w:rPr>
        <w:t>14</w:t>
      </w:r>
      <w:r w:rsidR="005E67D8" w:rsidRPr="000E0CA0">
        <w:rPr>
          <w:bCs/>
          <w:szCs w:val="24"/>
          <w:vertAlign w:val="superscript"/>
          <w:lang w:val="en"/>
        </w:rPr>
        <w:t>th</w:t>
      </w:r>
      <w:r w:rsidR="005E67D8" w:rsidRPr="000E0CA0">
        <w:rPr>
          <w:bCs/>
          <w:szCs w:val="24"/>
          <w:lang w:val="en"/>
        </w:rPr>
        <w:t xml:space="preserve"> February 2007</w:t>
      </w:r>
      <w:r w:rsidRPr="000E0CA0">
        <w:rPr>
          <w:bCs/>
          <w:szCs w:val="24"/>
          <w:lang w:val="en"/>
        </w:rPr>
        <w:t xml:space="preserve"> Mrs Simonis dispatched the painting from Italy to London</w:t>
      </w:r>
      <w:r w:rsidR="00340C52" w:rsidRPr="000E0CA0">
        <w:rPr>
          <w:bCs/>
          <w:szCs w:val="24"/>
          <w:lang w:val="en"/>
        </w:rPr>
        <w:t>, n</w:t>
      </w:r>
      <w:r w:rsidRPr="000E0CA0">
        <w:rPr>
          <w:bCs/>
          <w:szCs w:val="24"/>
          <w:lang w:val="en"/>
        </w:rPr>
        <w:t>otwithstanding that the 1999 licence had expired in 2004</w:t>
      </w:r>
      <w:r w:rsidR="005E67D8" w:rsidRPr="000E0CA0">
        <w:rPr>
          <w:bCs/>
          <w:szCs w:val="24"/>
          <w:lang w:val="en"/>
        </w:rPr>
        <w:t xml:space="preserve">. She did not seek a licence for this export as she was otherwise required to do under Italian law.  </w:t>
      </w:r>
      <w:r w:rsidR="009E6E4A" w:rsidRPr="000E0CA0">
        <w:rPr>
          <w:bCs/>
          <w:szCs w:val="24"/>
          <w:lang w:val="en"/>
        </w:rPr>
        <w:t xml:space="preserve">On </w:t>
      </w:r>
      <w:r w:rsidR="00320316">
        <w:rPr>
          <w:bCs/>
          <w:szCs w:val="24"/>
          <w:lang w:val="en"/>
        </w:rPr>
        <w:t>2</w:t>
      </w:r>
      <w:r w:rsidR="009E6E4A" w:rsidRPr="000E0CA0">
        <w:rPr>
          <w:bCs/>
          <w:szCs w:val="24"/>
          <w:lang w:val="en"/>
        </w:rPr>
        <w:t>3</w:t>
      </w:r>
      <w:r w:rsidR="00320316">
        <w:rPr>
          <w:bCs/>
          <w:szCs w:val="24"/>
          <w:vertAlign w:val="superscript"/>
          <w:lang w:val="en"/>
        </w:rPr>
        <w:t>rd</w:t>
      </w:r>
      <w:r w:rsidR="009E6E4A" w:rsidRPr="000E0CA0">
        <w:rPr>
          <w:bCs/>
          <w:szCs w:val="24"/>
          <w:lang w:val="en"/>
        </w:rPr>
        <w:t xml:space="preserve"> February 2007, </w:t>
      </w:r>
      <w:r w:rsidR="005E67D8" w:rsidRPr="000E0CA0">
        <w:rPr>
          <w:bCs/>
          <w:szCs w:val="24"/>
          <w:u w:val="single"/>
          <w:lang w:val="en"/>
        </w:rPr>
        <w:t>after</w:t>
      </w:r>
      <w:r w:rsidR="005E67D8" w:rsidRPr="000E0CA0">
        <w:rPr>
          <w:bCs/>
          <w:szCs w:val="24"/>
          <w:lang w:val="en"/>
        </w:rPr>
        <w:t xml:space="preserve"> the painting had been successfully moved to London, </w:t>
      </w:r>
      <w:r w:rsidR="009E6E4A" w:rsidRPr="000E0CA0">
        <w:rPr>
          <w:bCs/>
          <w:szCs w:val="24"/>
          <w:lang w:val="en"/>
        </w:rPr>
        <w:t xml:space="preserve">the Appellant’s Italian lawyers </w:t>
      </w:r>
      <w:r w:rsidR="00BC2AF5" w:rsidRPr="000E0CA0">
        <w:rPr>
          <w:bCs/>
          <w:szCs w:val="24"/>
          <w:lang w:val="en"/>
        </w:rPr>
        <w:t xml:space="preserve">sent a </w:t>
      </w:r>
      <w:r w:rsidR="009E6E4A" w:rsidRPr="000E0CA0">
        <w:rPr>
          <w:bCs/>
          <w:szCs w:val="24"/>
          <w:lang w:val="en"/>
        </w:rPr>
        <w:t xml:space="preserve">letter </w:t>
      </w:r>
      <w:r w:rsidR="005E67D8" w:rsidRPr="000E0CA0">
        <w:rPr>
          <w:bCs/>
          <w:szCs w:val="24"/>
          <w:lang w:val="en"/>
        </w:rPr>
        <w:t xml:space="preserve">to MIBAC </w:t>
      </w:r>
      <w:r w:rsidR="009E6E4A" w:rsidRPr="000E0CA0">
        <w:rPr>
          <w:bCs/>
          <w:szCs w:val="24"/>
          <w:lang w:val="en"/>
        </w:rPr>
        <w:t>contending that the 5</w:t>
      </w:r>
      <w:r w:rsidR="00BC2AF5" w:rsidRPr="000E0CA0">
        <w:rPr>
          <w:bCs/>
          <w:szCs w:val="24"/>
          <w:lang w:val="en"/>
        </w:rPr>
        <w:t xml:space="preserve"> </w:t>
      </w:r>
      <w:r w:rsidR="009E6E4A" w:rsidRPr="000E0CA0">
        <w:rPr>
          <w:bCs/>
          <w:szCs w:val="24"/>
          <w:lang w:val="en"/>
        </w:rPr>
        <w:t>year validity of the 1999 Licence had been automatically extended by operation of law during the period of the litigation</w:t>
      </w:r>
      <w:r w:rsidR="00BC2AF5" w:rsidRPr="000E0CA0">
        <w:rPr>
          <w:bCs/>
          <w:szCs w:val="24"/>
          <w:lang w:val="en"/>
        </w:rPr>
        <w:t xml:space="preserve"> and this together with the </w:t>
      </w:r>
      <w:r w:rsidR="009E6E4A" w:rsidRPr="000E0CA0">
        <w:rPr>
          <w:bCs/>
          <w:szCs w:val="24"/>
          <w:lang w:val="en"/>
        </w:rPr>
        <w:t>(</w:t>
      </w:r>
      <w:r w:rsidR="0020787B" w:rsidRPr="000E0CA0">
        <w:rPr>
          <w:bCs/>
          <w:szCs w:val="24"/>
          <w:lang w:val="en"/>
        </w:rPr>
        <w:t xml:space="preserve">now </w:t>
      </w:r>
      <w:r w:rsidR="009E6E4A" w:rsidRPr="000E0CA0">
        <w:rPr>
          <w:bCs/>
          <w:szCs w:val="24"/>
          <w:lang w:val="en"/>
        </w:rPr>
        <w:t xml:space="preserve">expired) 1999 Licence </w:t>
      </w:r>
      <w:r w:rsidR="005E67D8" w:rsidRPr="000E0CA0">
        <w:rPr>
          <w:bCs/>
          <w:szCs w:val="24"/>
          <w:lang w:val="en"/>
        </w:rPr>
        <w:t xml:space="preserve">meant, they argued, that the </w:t>
      </w:r>
      <w:r w:rsidR="009E6E4A" w:rsidRPr="000E0CA0">
        <w:rPr>
          <w:bCs/>
          <w:szCs w:val="24"/>
          <w:lang w:val="en"/>
        </w:rPr>
        <w:t xml:space="preserve">dispatch of the </w:t>
      </w:r>
      <w:r w:rsidR="00340C52" w:rsidRPr="000E0CA0">
        <w:rPr>
          <w:bCs/>
          <w:szCs w:val="24"/>
          <w:lang w:val="en"/>
        </w:rPr>
        <w:t>p</w:t>
      </w:r>
      <w:r w:rsidR="009E6E4A" w:rsidRPr="000E0CA0">
        <w:rPr>
          <w:bCs/>
          <w:szCs w:val="24"/>
          <w:lang w:val="en"/>
        </w:rPr>
        <w:t>ainting to London on 14</w:t>
      </w:r>
      <w:r w:rsidR="00842E86" w:rsidRPr="000E0CA0">
        <w:rPr>
          <w:bCs/>
          <w:szCs w:val="24"/>
          <w:vertAlign w:val="superscript"/>
          <w:lang w:val="en"/>
        </w:rPr>
        <w:t>th</w:t>
      </w:r>
      <w:r w:rsidR="00842E86" w:rsidRPr="000E0CA0">
        <w:rPr>
          <w:bCs/>
          <w:szCs w:val="24"/>
          <w:lang w:val="en"/>
        </w:rPr>
        <w:t xml:space="preserve"> February</w:t>
      </w:r>
      <w:r w:rsidR="009E6E4A" w:rsidRPr="000E0CA0">
        <w:rPr>
          <w:bCs/>
          <w:szCs w:val="24"/>
          <w:lang w:val="en"/>
        </w:rPr>
        <w:t xml:space="preserve"> 2007</w:t>
      </w:r>
      <w:r w:rsidR="005E67D8" w:rsidRPr="000E0CA0">
        <w:rPr>
          <w:bCs/>
          <w:szCs w:val="24"/>
          <w:lang w:val="en"/>
        </w:rPr>
        <w:t xml:space="preserve"> was lawful</w:t>
      </w:r>
      <w:r w:rsidR="009E6E4A" w:rsidRPr="000E0CA0">
        <w:rPr>
          <w:bCs/>
          <w:szCs w:val="24"/>
          <w:lang w:val="en"/>
        </w:rPr>
        <w:t>.</w:t>
      </w:r>
      <w:r w:rsidR="00BC2AF5" w:rsidRPr="000E0CA0">
        <w:rPr>
          <w:bCs/>
          <w:szCs w:val="24"/>
          <w:lang w:val="en"/>
        </w:rPr>
        <w:t xml:space="preserve">  </w:t>
      </w:r>
      <w:r w:rsidR="005E67D8" w:rsidRPr="000E0CA0">
        <w:rPr>
          <w:bCs/>
          <w:szCs w:val="24"/>
          <w:lang w:val="en"/>
        </w:rPr>
        <w:t xml:space="preserve">This </w:t>
      </w:r>
      <w:r w:rsidR="00340C52" w:rsidRPr="000E0CA0">
        <w:rPr>
          <w:bCs/>
          <w:i/>
          <w:iCs/>
          <w:szCs w:val="24"/>
          <w:lang w:val="en"/>
        </w:rPr>
        <w:t>modus operandi</w:t>
      </w:r>
      <w:r w:rsidR="00340C52" w:rsidRPr="000E0CA0">
        <w:rPr>
          <w:bCs/>
          <w:szCs w:val="24"/>
          <w:lang w:val="en"/>
        </w:rPr>
        <w:t xml:space="preserve"> </w:t>
      </w:r>
      <w:r w:rsidR="005E67D8" w:rsidRPr="000E0CA0">
        <w:rPr>
          <w:bCs/>
          <w:szCs w:val="24"/>
          <w:lang w:val="en"/>
        </w:rPr>
        <w:t xml:space="preserve">of course </w:t>
      </w:r>
      <w:r w:rsidR="00017E34">
        <w:rPr>
          <w:bCs/>
          <w:szCs w:val="24"/>
          <w:lang w:val="en"/>
        </w:rPr>
        <w:t xml:space="preserve">had the effect of preventing </w:t>
      </w:r>
      <w:r w:rsidR="005E67D8" w:rsidRPr="000E0CA0">
        <w:rPr>
          <w:bCs/>
          <w:szCs w:val="24"/>
          <w:lang w:val="en"/>
        </w:rPr>
        <w:t xml:space="preserve">the Italian competent authorities being able to take steps to prevent removal, such as seeking injunctive or protective relief from the courts. </w:t>
      </w:r>
      <w:r w:rsidR="00BC2AF5" w:rsidRPr="000E0CA0">
        <w:rPr>
          <w:bCs/>
          <w:szCs w:val="24"/>
          <w:lang w:val="en"/>
        </w:rPr>
        <w:t xml:space="preserve"> </w:t>
      </w:r>
    </w:p>
    <w:p w14:paraId="38C707EA" w14:textId="77777777" w:rsidR="009E6E4A" w:rsidRPr="000E0CA0" w:rsidRDefault="009E6E4A" w:rsidP="002D37BA">
      <w:pPr>
        <w:pStyle w:val="ParaLevel1"/>
        <w:numPr>
          <w:ilvl w:val="0"/>
          <w:numId w:val="13"/>
        </w:numPr>
        <w:ind w:left="567" w:hanging="567"/>
        <w:rPr>
          <w:bCs/>
          <w:szCs w:val="24"/>
          <w:lang w:val="en"/>
        </w:rPr>
      </w:pPr>
      <w:r w:rsidRPr="000E0CA0">
        <w:rPr>
          <w:bCs/>
          <w:szCs w:val="24"/>
          <w:lang w:val="en"/>
        </w:rPr>
        <w:t>On 11</w:t>
      </w:r>
      <w:r w:rsidR="00BC2AF5" w:rsidRPr="000E0CA0">
        <w:rPr>
          <w:bCs/>
          <w:szCs w:val="24"/>
          <w:vertAlign w:val="superscript"/>
          <w:lang w:val="en"/>
        </w:rPr>
        <w:t>th</w:t>
      </w:r>
      <w:r w:rsidR="00BC2AF5" w:rsidRPr="000E0CA0">
        <w:rPr>
          <w:bCs/>
          <w:szCs w:val="24"/>
          <w:lang w:val="en"/>
        </w:rPr>
        <w:t xml:space="preserve"> </w:t>
      </w:r>
      <w:r w:rsidRPr="000E0CA0">
        <w:rPr>
          <w:bCs/>
          <w:szCs w:val="24"/>
          <w:lang w:val="en"/>
        </w:rPr>
        <w:t xml:space="preserve">November 2008, the Italian </w:t>
      </w:r>
      <w:r w:rsidRPr="000E0CA0">
        <w:rPr>
          <w:bCs/>
          <w:i/>
          <w:szCs w:val="24"/>
          <w:lang w:val="en"/>
        </w:rPr>
        <w:t>Consiglio di Stato</w:t>
      </w:r>
      <w:r w:rsidRPr="000E0CA0">
        <w:rPr>
          <w:bCs/>
          <w:szCs w:val="24"/>
          <w:lang w:val="en"/>
        </w:rPr>
        <w:t xml:space="preserve"> reversed the judgment of the </w:t>
      </w:r>
      <w:r w:rsidR="00BC2AF5" w:rsidRPr="000E0CA0">
        <w:rPr>
          <w:bCs/>
          <w:szCs w:val="24"/>
          <w:lang w:val="en"/>
        </w:rPr>
        <w:t xml:space="preserve">Lazio Administrative Court and held that the Italian authorities had acted lawfully in revoking the 1999 licence. The subsequent </w:t>
      </w:r>
      <w:r w:rsidRPr="000E0CA0">
        <w:rPr>
          <w:bCs/>
          <w:szCs w:val="24"/>
          <w:lang w:val="en"/>
        </w:rPr>
        <w:t xml:space="preserve">request </w:t>
      </w:r>
      <w:r w:rsidR="00BC2AF5" w:rsidRPr="000E0CA0">
        <w:rPr>
          <w:bCs/>
          <w:szCs w:val="24"/>
          <w:lang w:val="en"/>
        </w:rPr>
        <w:t xml:space="preserve">by the Appellant </w:t>
      </w:r>
      <w:r w:rsidRPr="000E0CA0">
        <w:rPr>
          <w:bCs/>
          <w:szCs w:val="24"/>
          <w:lang w:val="en"/>
        </w:rPr>
        <w:t>for a review of the decision was dismissed.</w:t>
      </w:r>
    </w:p>
    <w:p w14:paraId="46877BC4" w14:textId="77777777" w:rsidR="003970CA" w:rsidRPr="000E0CA0" w:rsidRDefault="00D94BF9" w:rsidP="002D37BA">
      <w:pPr>
        <w:pStyle w:val="ParaLevel1"/>
        <w:numPr>
          <w:ilvl w:val="0"/>
          <w:numId w:val="13"/>
        </w:numPr>
        <w:ind w:left="567" w:hanging="567"/>
        <w:rPr>
          <w:bCs/>
          <w:szCs w:val="24"/>
        </w:rPr>
      </w:pPr>
      <w:r w:rsidRPr="000E0CA0">
        <w:rPr>
          <w:bCs/>
          <w:szCs w:val="24"/>
          <w:lang w:val="en"/>
        </w:rPr>
        <w:t>Before turning to the position under EU and domestic UK law I would record the central conclusion of the Judge</w:t>
      </w:r>
      <w:r w:rsidR="00340C52" w:rsidRPr="000E0CA0">
        <w:rPr>
          <w:bCs/>
          <w:szCs w:val="24"/>
          <w:lang w:val="en"/>
        </w:rPr>
        <w:t xml:space="preserve"> on Italian law</w:t>
      </w:r>
      <w:r w:rsidR="005E67D8" w:rsidRPr="000E0CA0">
        <w:rPr>
          <w:bCs/>
          <w:szCs w:val="24"/>
          <w:lang w:val="en"/>
        </w:rPr>
        <w:t xml:space="preserve">, having heard from </w:t>
      </w:r>
      <w:r w:rsidR="00340C52" w:rsidRPr="000E0CA0">
        <w:rPr>
          <w:bCs/>
          <w:szCs w:val="24"/>
          <w:lang w:val="en"/>
        </w:rPr>
        <w:t>Professor Lenzer</w:t>
      </w:r>
      <w:r w:rsidR="009B54B7">
        <w:rPr>
          <w:bCs/>
          <w:szCs w:val="24"/>
          <w:lang w:val="en"/>
        </w:rPr>
        <w:t>i</w:t>
      </w:r>
      <w:r w:rsidR="00340C52" w:rsidRPr="000E0CA0">
        <w:rPr>
          <w:bCs/>
          <w:szCs w:val="24"/>
          <w:lang w:val="en"/>
        </w:rPr>
        <w:t xml:space="preserve">ni, </w:t>
      </w:r>
      <w:r w:rsidR="005E67D8" w:rsidRPr="000E0CA0">
        <w:rPr>
          <w:bCs/>
          <w:szCs w:val="24"/>
          <w:lang w:val="en"/>
        </w:rPr>
        <w:t>a joint expert.</w:t>
      </w:r>
      <w:r w:rsidRPr="000E0CA0">
        <w:rPr>
          <w:bCs/>
          <w:szCs w:val="24"/>
          <w:lang w:val="en"/>
        </w:rPr>
        <w:t xml:space="preserve">  This conclusion is not challenged in this appeal.</w:t>
      </w:r>
      <w:r w:rsidR="007973B9" w:rsidRPr="000E0CA0">
        <w:rPr>
          <w:bCs/>
          <w:szCs w:val="24"/>
        </w:rPr>
        <w:t xml:space="preserve"> </w:t>
      </w:r>
      <w:r w:rsidR="003970CA" w:rsidRPr="000E0CA0">
        <w:rPr>
          <w:bCs/>
          <w:szCs w:val="24"/>
        </w:rPr>
        <w:t xml:space="preserve">The Judge addressed </w:t>
      </w:r>
      <w:r w:rsidR="007E31FB" w:rsidRPr="000E0CA0">
        <w:rPr>
          <w:bCs/>
          <w:szCs w:val="24"/>
        </w:rPr>
        <w:t xml:space="preserve">Italian law </w:t>
      </w:r>
      <w:r w:rsidR="001212BF" w:rsidRPr="000E0CA0">
        <w:rPr>
          <w:bCs/>
          <w:szCs w:val="24"/>
        </w:rPr>
        <w:t xml:space="preserve">at </w:t>
      </w:r>
      <w:r w:rsidR="003970CA" w:rsidRPr="000E0CA0">
        <w:rPr>
          <w:bCs/>
          <w:szCs w:val="24"/>
        </w:rPr>
        <w:t>paragraphs [66] – [83]</w:t>
      </w:r>
      <w:r w:rsidR="00340C52" w:rsidRPr="000E0CA0">
        <w:rPr>
          <w:bCs/>
          <w:szCs w:val="24"/>
        </w:rPr>
        <w:t xml:space="preserve"> of her judgment</w:t>
      </w:r>
      <w:r w:rsidR="003970CA" w:rsidRPr="000E0CA0">
        <w:rPr>
          <w:bCs/>
          <w:szCs w:val="24"/>
        </w:rPr>
        <w:t xml:space="preserve">. </w:t>
      </w:r>
      <w:r w:rsidR="007973B9" w:rsidRPr="000E0CA0">
        <w:rPr>
          <w:bCs/>
          <w:szCs w:val="24"/>
        </w:rPr>
        <w:t xml:space="preserve"> </w:t>
      </w:r>
      <w:r w:rsidR="003970CA" w:rsidRPr="000E0CA0">
        <w:rPr>
          <w:bCs/>
          <w:szCs w:val="24"/>
        </w:rPr>
        <w:t xml:space="preserve">It </w:t>
      </w:r>
      <w:r w:rsidR="007973B9" w:rsidRPr="000E0CA0">
        <w:rPr>
          <w:bCs/>
          <w:szCs w:val="24"/>
        </w:rPr>
        <w:t xml:space="preserve">suffices to record that </w:t>
      </w:r>
      <w:r w:rsidR="00340C52" w:rsidRPr="000E0CA0">
        <w:rPr>
          <w:bCs/>
          <w:szCs w:val="24"/>
        </w:rPr>
        <w:t xml:space="preserve">she found that the </w:t>
      </w:r>
      <w:r w:rsidR="007973B9" w:rsidRPr="000E0CA0">
        <w:rPr>
          <w:bCs/>
          <w:szCs w:val="24"/>
        </w:rPr>
        <w:t xml:space="preserve">export of the Giotto by the </w:t>
      </w:r>
      <w:r w:rsidRPr="000E0CA0">
        <w:rPr>
          <w:bCs/>
          <w:szCs w:val="24"/>
        </w:rPr>
        <w:t>A</w:t>
      </w:r>
      <w:r w:rsidR="007973B9" w:rsidRPr="000E0CA0">
        <w:rPr>
          <w:bCs/>
          <w:szCs w:val="24"/>
        </w:rPr>
        <w:t>ppellant was in breach of Italian law</w:t>
      </w:r>
      <w:r w:rsidRPr="000E0CA0">
        <w:rPr>
          <w:bCs/>
          <w:szCs w:val="24"/>
        </w:rPr>
        <w:t xml:space="preserve"> because it occurred at a point in time when previous exp</w:t>
      </w:r>
      <w:r w:rsidR="00E36E5E" w:rsidRPr="000E0CA0">
        <w:rPr>
          <w:bCs/>
          <w:szCs w:val="24"/>
        </w:rPr>
        <w:t>o</w:t>
      </w:r>
      <w:r w:rsidRPr="000E0CA0">
        <w:rPr>
          <w:bCs/>
          <w:szCs w:val="24"/>
        </w:rPr>
        <w:t>rt licences and certificates had expired</w:t>
      </w:r>
      <w:r w:rsidR="007973B9" w:rsidRPr="000E0CA0">
        <w:rPr>
          <w:bCs/>
          <w:szCs w:val="24"/>
        </w:rPr>
        <w:t xml:space="preserve">.  </w:t>
      </w:r>
      <w:r w:rsidR="003970CA" w:rsidRPr="000E0CA0">
        <w:rPr>
          <w:bCs/>
          <w:szCs w:val="24"/>
        </w:rPr>
        <w:t xml:space="preserve">The Judge held: </w:t>
      </w:r>
    </w:p>
    <w:p w14:paraId="56A3ED49" w14:textId="67D4525D" w:rsidR="003970CA" w:rsidRDefault="003970CA" w:rsidP="002D37BA">
      <w:pPr>
        <w:pStyle w:val="Quote"/>
        <w:rPr>
          <w:bCs/>
          <w:szCs w:val="24"/>
        </w:rPr>
      </w:pPr>
      <w:bookmarkStart w:id="3" w:name="para83"/>
      <w:r w:rsidRPr="000E0CA0">
        <w:rPr>
          <w:bCs/>
          <w:szCs w:val="24"/>
        </w:rPr>
        <w:t>“83. Standing back, therefore, I accept the evidence of Professor Lenzerini and find as a fact that as a matter of Italian law as at 14</w:t>
      </w:r>
      <w:r w:rsidRPr="000E0CA0">
        <w:rPr>
          <w:bCs/>
          <w:szCs w:val="24"/>
          <w:vertAlign w:val="superscript"/>
        </w:rPr>
        <w:t>th</w:t>
      </w:r>
      <w:r w:rsidRPr="000E0CA0">
        <w:rPr>
          <w:bCs/>
          <w:szCs w:val="24"/>
        </w:rPr>
        <w:t xml:space="preserve"> February 20</w:t>
      </w:r>
      <w:r w:rsidR="007E31FB" w:rsidRPr="000E0CA0">
        <w:rPr>
          <w:bCs/>
          <w:szCs w:val="24"/>
        </w:rPr>
        <w:t>0</w:t>
      </w:r>
      <w:r w:rsidRPr="000E0CA0">
        <w:rPr>
          <w:bCs/>
          <w:szCs w:val="24"/>
        </w:rPr>
        <w:t xml:space="preserve">7 the Claimant was required to apply and obtain a new certificate of free movement in order to export the </w:t>
      </w:r>
      <w:r w:rsidRPr="000E0CA0">
        <w:rPr>
          <w:bCs/>
          <w:szCs w:val="24"/>
        </w:rPr>
        <w:lastRenderedPageBreak/>
        <w:t>Painting from Italy to London. She did not do so or obtain one. Accordingly, the dispatch of the Painting on 14</w:t>
      </w:r>
      <w:r w:rsidRPr="000E0CA0">
        <w:rPr>
          <w:bCs/>
          <w:szCs w:val="24"/>
          <w:vertAlign w:val="superscript"/>
        </w:rPr>
        <w:t>th</w:t>
      </w:r>
      <w:r w:rsidRPr="000E0CA0">
        <w:rPr>
          <w:bCs/>
          <w:szCs w:val="24"/>
        </w:rPr>
        <w:t xml:space="preserve"> February 2007 was not "</w:t>
      </w:r>
      <w:r w:rsidRPr="000E0CA0">
        <w:rPr>
          <w:bCs/>
          <w:i/>
          <w:iCs/>
          <w:szCs w:val="24"/>
        </w:rPr>
        <w:t>lawful</w:t>
      </w:r>
      <w:r w:rsidRPr="000E0CA0">
        <w:rPr>
          <w:bCs/>
          <w:szCs w:val="24"/>
        </w:rPr>
        <w:t xml:space="preserve">" </w:t>
      </w:r>
      <w:bookmarkEnd w:id="3"/>
      <w:r w:rsidR="00230AE6" w:rsidRPr="000E0CA0">
        <w:rPr>
          <w:bCs/>
          <w:szCs w:val="24"/>
        </w:rPr>
        <w:t>….</w:t>
      </w:r>
      <w:r w:rsidRPr="000E0CA0">
        <w:rPr>
          <w:bCs/>
          <w:szCs w:val="24"/>
        </w:rPr>
        <w:t>”</w:t>
      </w:r>
    </w:p>
    <w:p w14:paraId="69D2F69D" w14:textId="77777777" w:rsidR="00671F00" w:rsidRPr="00C901D4" w:rsidRDefault="00671F00" w:rsidP="009A22EB">
      <w:pPr>
        <w:pStyle w:val="ParaLevel1"/>
        <w:tabs>
          <w:tab w:val="clear" w:pos="1996"/>
        </w:tabs>
        <w:ind w:left="567" w:hanging="567"/>
        <w:rPr>
          <w:b/>
          <w:szCs w:val="24"/>
          <w:u w:val="single"/>
        </w:rPr>
      </w:pPr>
      <w:r w:rsidRPr="00C901D4">
        <w:rPr>
          <w:b/>
          <w:szCs w:val="24"/>
          <w:u w:val="single"/>
        </w:rPr>
        <w:t xml:space="preserve">Legislative context </w:t>
      </w:r>
    </w:p>
    <w:p w14:paraId="5D4BD0DB" w14:textId="77777777" w:rsidR="00671F00" w:rsidRPr="000E0CA0" w:rsidRDefault="00D94BF9" w:rsidP="002D37BA">
      <w:pPr>
        <w:pStyle w:val="ParaLevel1"/>
        <w:numPr>
          <w:ilvl w:val="0"/>
          <w:numId w:val="13"/>
        </w:numPr>
        <w:ind w:left="567" w:hanging="567"/>
        <w:rPr>
          <w:bCs/>
          <w:szCs w:val="24"/>
        </w:rPr>
      </w:pPr>
      <w:r w:rsidRPr="000E0CA0">
        <w:rPr>
          <w:bCs/>
          <w:szCs w:val="24"/>
        </w:rPr>
        <w:t xml:space="preserve">I turn now to the relevant EU legislation. </w:t>
      </w:r>
    </w:p>
    <w:p w14:paraId="40984A02" w14:textId="77777777" w:rsidR="00671F00" w:rsidRPr="000E0CA0" w:rsidRDefault="00671F00" w:rsidP="002D37BA">
      <w:pPr>
        <w:pStyle w:val="ParaLevel1"/>
        <w:numPr>
          <w:ilvl w:val="0"/>
          <w:numId w:val="26"/>
        </w:numPr>
        <w:ind w:hanging="513"/>
        <w:rPr>
          <w:b/>
          <w:bCs/>
          <w:i/>
          <w:iCs/>
          <w:szCs w:val="24"/>
        </w:rPr>
      </w:pPr>
      <w:r w:rsidRPr="000E0CA0">
        <w:rPr>
          <w:b/>
          <w:bCs/>
          <w:i/>
          <w:iCs/>
          <w:szCs w:val="24"/>
        </w:rPr>
        <w:t xml:space="preserve">Relevant treaty provisions </w:t>
      </w:r>
    </w:p>
    <w:p w14:paraId="2D5C1082" w14:textId="77777777" w:rsidR="00021B45" w:rsidRPr="000E0CA0" w:rsidRDefault="00671F00" w:rsidP="002D37BA">
      <w:pPr>
        <w:pStyle w:val="ParaLevel1"/>
        <w:numPr>
          <w:ilvl w:val="0"/>
          <w:numId w:val="13"/>
        </w:numPr>
        <w:ind w:left="567" w:hanging="567"/>
        <w:rPr>
          <w:bCs/>
          <w:szCs w:val="24"/>
        </w:rPr>
      </w:pPr>
      <w:r w:rsidRPr="000E0CA0">
        <w:rPr>
          <w:bCs/>
          <w:szCs w:val="24"/>
        </w:rPr>
        <w:t xml:space="preserve"> The</w:t>
      </w:r>
      <w:r w:rsidR="00BF1237" w:rsidRPr="000E0CA0">
        <w:rPr>
          <w:bCs/>
          <w:szCs w:val="24"/>
        </w:rPr>
        <w:t xml:space="preserve">re are three types of </w:t>
      </w:r>
      <w:r w:rsidR="00C901D4">
        <w:rPr>
          <w:bCs/>
          <w:szCs w:val="24"/>
        </w:rPr>
        <w:t xml:space="preserve">relevant </w:t>
      </w:r>
      <w:r w:rsidR="00BF1237" w:rsidRPr="000E0CA0">
        <w:rPr>
          <w:bCs/>
          <w:szCs w:val="24"/>
        </w:rPr>
        <w:t>treaty article</w:t>
      </w:r>
      <w:r w:rsidR="00021B45" w:rsidRPr="000E0CA0">
        <w:rPr>
          <w:bCs/>
          <w:szCs w:val="24"/>
        </w:rPr>
        <w:t xml:space="preserve">: (i) </w:t>
      </w:r>
      <w:r w:rsidR="00FC6370" w:rsidRPr="000E0CA0">
        <w:rPr>
          <w:bCs/>
          <w:szCs w:val="24"/>
        </w:rPr>
        <w:t xml:space="preserve">those which address the </w:t>
      </w:r>
      <w:r w:rsidR="005E67D8" w:rsidRPr="000E0CA0">
        <w:rPr>
          <w:bCs/>
          <w:szCs w:val="24"/>
        </w:rPr>
        <w:t>competence of the EU to legislate and how this relates to the concomitant powers of Member States to legislate in the same field;</w:t>
      </w:r>
      <w:r w:rsidR="00021B45" w:rsidRPr="000E0CA0">
        <w:rPr>
          <w:bCs/>
          <w:szCs w:val="24"/>
        </w:rPr>
        <w:t xml:space="preserve"> (ii) those which address the free movement of goods </w:t>
      </w:r>
      <w:r w:rsidR="007E31FB" w:rsidRPr="000E0CA0">
        <w:rPr>
          <w:bCs/>
          <w:szCs w:val="24"/>
        </w:rPr>
        <w:t xml:space="preserve">between </w:t>
      </w:r>
      <w:r w:rsidR="005E67D8" w:rsidRPr="000E0CA0">
        <w:rPr>
          <w:bCs/>
          <w:szCs w:val="24"/>
        </w:rPr>
        <w:t>M</w:t>
      </w:r>
      <w:r w:rsidR="007E31FB" w:rsidRPr="000E0CA0">
        <w:rPr>
          <w:bCs/>
          <w:szCs w:val="24"/>
        </w:rPr>
        <w:t>ember States</w:t>
      </w:r>
      <w:r w:rsidR="00021B45" w:rsidRPr="000E0CA0">
        <w:rPr>
          <w:bCs/>
          <w:szCs w:val="24"/>
        </w:rPr>
        <w:t>; and (iii)</w:t>
      </w:r>
      <w:r w:rsidR="00E36E5E" w:rsidRPr="000E0CA0">
        <w:rPr>
          <w:bCs/>
          <w:szCs w:val="24"/>
        </w:rPr>
        <w:t>,</w:t>
      </w:r>
      <w:r w:rsidR="00021B45" w:rsidRPr="000E0CA0">
        <w:rPr>
          <w:bCs/>
          <w:szCs w:val="24"/>
        </w:rPr>
        <w:t xml:space="preserve"> those which address the </w:t>
      </w:r>
      <w:r w:rsidR="00021B45" w:rsidRPr="000E0CA0">
        <w:rPr>
          <w:bCs/>
          <w:i/>
          <w:iCs/>
          <w:szCs w:val="24"/>
        </w:rPr>
        <w:t>vires</w:t>
      </w:r>
      <w:r w:rsidR="00021B45" w:rsidRPr="000E0CA0">
        <w:rPr>
          <w:bCs/>
          <w:szCs w:val="24"/>
        </w:rPr>
        <w:t xml:space="preserve"> of subordinate legislation in the area of trade in cultural </w:t>
      </w:r>
      <w:r w:rsidR="007E31FB" w:rsidRPr="000E0CA0">
        <w:rPr>
          <w:bCs/>
          <w:szCs w:val="24"/>
        </w:rPr>
        <w:t xml:space="preserve">and artistic </w:t>
      </w:r>
      <w:r w:rsidR="00021B45" w:rsidRPr="000E0CA0">
        <w:rPr>
          <w:bCs/>
          <w:szCs w:val="24"/>
        </w:rPr>
        <w:t xml:space="preserve">items. </w:t>
      </w:r>
    </w:p>
    <w:p w14:paraId="3FF226A4" w14:textId="77777777" w:rsidR="005E67D8" w:rsidRPr="000E0CA0" w:rsidRDefault="00021B45" w:rsidP="002D37BA">
      <w:pPr>
        <w:pStyle w:val="ParaLevel1"/>
        <w:numPr>
          <w:ilvl w:val="0"/>
          <w:numId w:val="13"/>
        </w:numPr>
        <w:ind w:left="567" w:hanging="578"/>
        <w:rPr>
          <w:bCs/>
          <w:szCs w:val="24"/>
        </w:rPr>
      </w:pPr>
      <w:bookmarkStart w:id="4" w:name="_Ref9516120"/>
      <w:r w:rsidRPr="000E0CA0">
        <w:rPr>
          <w:bCs/>
          <w:szCs w:val="24"/>
        </w:rPr>
        <w:t xml:space="preserve">I start with </w:t>
      </w:r>
      <w:r w:rsidR="00C901D4">
        <w:rPr>
          <w:bCs/>
          <w:szCs w:val="24"/>
        </w:rPr>
        <w:t xml:space="preserve">treaty provisions. </w:t>
      </w:r>
      <w:r w:rsidRPr="000E0CA0">
        <w:rPr>
          <w:bCs/>
          <w:szCs w:val="24"/>
        </w:rPr>
        <w:t xml:space="preserve"> </w:t>
      </w:r>
      <w:r w:rsidR="005E67D8" w:rsidRPr="000E0CA0">
        <w:rPr>
          <w:bCs/>
          <w:szCs w:val="24"/>
        </w:rPr>
        <w:t xml:space="preserve">In broad terms there are three </w:t>
      </w:r>
      <w:r w:rsidR="001D4FDA" w:rsidRPr="000E0CA0">
        <w:rPr>
          <w:bCs/>
          <w:szCs w:val="24"/>
        </w:rPr>
        <w:t xml:space="preserve">categories </w:t>
      </w:r>
      <w:r w:rsidR="005E67D8" w:rsidRPr="000E0CA0">
        <w:rPr>
          <w:bCs/>
          <w:szCs w:val="24"/>
        </w:rPr>
        <w:t xml:space="preserve">of </w:t>
      </w:r>
      <w:r w:rsidR="001D4FDA" w:rsidRPr="000E0CA0">
        <w:rPr>
          <w:bCs/>
          <w:szCs w:val="24"/>
        </w:rPr>
        <w:t xml:space="preserve">legislative </w:t>
      </w:r>
      <w:r w:rsidR="005E67D8" w:rsidRPr="000E0CA0">
        <w:rPr>
          <w:bCs/>
          <w:szCs w:val="24"/>
        </w:rPr>
        <w:t>competences under the TFEU. The first covers those areas where the EU has exclusive and sole competence.  The second is where the competence is “</w:t>
      </w:r>
      <w:r w:rsidR="005E67D8" w:rsidRPr="000E0CA0">
        <w:rPr>
          <w:bCs/>
          <w:i/>
          <w:iCs/>
          <w:szCs w:val="24"/>
        </w:rPr>
        <w:t>shared</w:t>
      </w:r>
      <w:r w:rsidR="005E67D8" w:rsidRPr="000E0CA0">
        <w:rPr>
          <w:bCs/>
          <w:szCs w:val="24"/>
        </w:rPr>
        <w:t xml:space="preserve">” between the EU and the </w:t>
      </w:r>
      <w:r w:rsidR="00340C52" w:rsidRPr="000E0CA0">
        <w:rPr>
          <w:bCs/>
          <w:szCs w:val="24"/>
        </w:rPr>
        <w:t>M</w:t>
      </w:r>
      <w:r w:rsidR="005E67D8" w:rsidRPr="000E0CA0">
        <w:rPr>
          <w:bCs/>
          <w:szCs w:val="24"/>
        </w:rPr>
        <w:t xml:space="preserve">ember States.  </w:t>
      </w:r>
      <w:r w:rsidR="00C901D4">
        <w:rPr>
          <w:bCs/>
          <w:szCs w:val="24"/>
        </w:rPr>
        <w:t xml:space="preserve">The </w:t>
      </w:r>
      <w:r w:rsidR="005E67D8" w:rsidRPr="000E0CA0">
        <w:rPr>
          <w:bCs/>
          <w:szCs w:val="24"/>
        </w:rPr>
        <w:t xml:space="preserve">third is where the primary legislative competence lies with the Member States and where that of the Union is to </w:t>
      </w:r>
      <w:r w:rsidR="005E67D8" w:rsidRPr="000E0CA0">
        <w:rPr>
          <w:bCs/>
          <w:szCs w:val="24"/>
          <w:lang w:val="en"/>
        </w:rPr>
        <w:t>support, coordinate or supplement.  The present case fits into this third category a</w:t>
      </w:r>
      <w:r w:rsidR="00340C52" w:rsidRPr="000E0CA0">
        <w:rPr>
          <w:bCs/>
          <w:szCs w:val="24"/>
          <w:lang w:val="en"/>
        </w:rPr>
        <w:t>n</w:t>
      </w:r>
      <w:r w:rsidR="005E67D8" w:rsidRPr="000E0CA0">
        <w:rPr>
          <w:bCs/>
          <w:szCs w:val="24"/>
          <w:lang w:val="en"/>
        </w:rPr>
        <w:t>d it necessarily follow</w:t>
      </w:r>
      <w:r w:rsidR="00340C52" w:rsidRPr="000E0CA0">
        <w:rPr>
          <w:bCs/>
          <w:szCs w:val="24"/>
          <w:lang w:val="en"/>
        </w:rPr>
        <w:t>s</w:t>
      </w:r>
      <w:r w:rsidR="005E67D8" w:rsidRPr="000E0CA0">
        <w:rPr>
          <w:bCs/>
          <w:szCs w:val="24"/>
          <w:lang w:val="en"/>
        </w:rPr>
        <w:t xml:space="preserve"> that any legislation adopted at the E</w:t>
      </w:r>
      <w:r w:rsidR="00340C52" w:rsidRPr="000E0CA0">
        <w:rPr>
          <w:bCs/>
          <w:szCs w:val="24"/>
          <w:lang w:val="en"/>
        </w:rPr>
        <w:t>U</w:t>
      </w:r>
      <w:r w:rsidR="005E67D8" w:rsidRPr="000E0CA0">
        <w:rPr>
          <w:bCs/>
          <w:szCs w:val="24"/>
          <w:lang w:val="en"/>
        </w:rPr>
        <w:t xml:space="preserve"> level will fit into a wider framework of laws adopted by the Member </w:t>
      </w:r>
      <w:r w:rsidR="00340C52" w:rsidRPr="000E0CA0">
        <w:rPr>
          <w:bCs/>
          <w:szCs w:val="24"/>
          <w:lang w:val="en"/>
        </w:rPr>
        <w:t>S</w:t>
      </w:r>
      <w:r w:rsidR="005E67D8" w:rsidRPr="000E0CA0">
        <w:rPr>
          <w:bCs/>
          <w:szCs w:val="24"/>
          <w:lang w:val="en"/>
        </w:rPr>
        <w:t>tates, which might, by definition, diverge considerably</w:t>
      </w:r>
      <w:r w:rsidR="00340C52" w:rsidRPr="000E0CA0">
        <w:rPr>
          <w:bCs/>
          <w:szCs w:val="24"/>
          <w:lang w:val="en"/>
        </w:rPr>
        <w:t xml:space="preserve"> as between themselves</w:t>
      </w:r>
      <w:r w:rsidR="005E67D8" w:rsidRPr="000E0CA0">
        <w:rPr>
          <w:bCs/>
          <w:szCs w:val="24"/>
          <w:lang w:val="en"/>
        </w:rPr>
        <w:t xml:space="preserve">. </w:t>
      </w:r>
    </w:p>
    <w:p w14:paraId="25CD3CD6" w14:textId="77777777" w:rsidR="000B75F7" w:rsidRPr="000B75F7" w:rsidRDefault="001833CC" w:rsidP="002D37BA">
      <w:pPr>
        <w:pStyle w:val="ParaLevel1"/>
        <w:numPr>
          <w:ilvl w:val="0"/>
          <w:numId w:val="13"/>
        </w:numPr>
        <w:ind w:left="567" w:hanging="578"/>
        <w:rPr>
          <w:bCs/>
          <w:szCs w:val="24"/>
        </w:rPr>
      </w:pPr>
      <w:r w:rsidRPr="000E0CA0">
        <w:rPr>
          <w:bCs/>
          <w:szCs w:val="24"/>
        </w:rPr>
        <w:t xml:space="preserve">Under Article 6 TFEU there is a list of policy areas </w:t>
      </w:r>
      <w:r w:rsidR="00E36E5E" w:rsidRPr="000E0CA0">
        <w:rPr>
          <w:bCs/>
          <w:szCs w:val="24"/>
        </w:rPr>
        <w:t>(which includes “</w:t>
      </w:r>
      <w:r w:rsidR="00E36E5E" w:rsidRPr="000E0CA0">
        <w:rPr>
          <w:bCs/>
          <w:i/>
          <w:szCs w:val="24"/>
        </w:rPr>
        <w:t>culture</w:t>
      </w:r>
      <w:r w:rsidR="00E36E5E" w:rsidRPr="000E0CA0">
        <w:rPr>
          <w:bCs/>
          <w:szCs w:val="24"/>
        </w:rPr>
        <w:t xml:space="preserve">”) </w:t>
      </w:r>
      <w:r w:rsidRPr="000E0CA0">
        <w:rPr>
          <w:bCs/>
          <w:szCs w:val="24"/>
        </w:rPr>
        <w:t xml:space="preserve">where it is recognised that the </w:t>
      </w:r>
      <w:r w:rsidR="00E36E5E" w:rsidRPr="000E0CA0">
        <w:rPr>
          <w:bCs/>
          <w:szCs w:val="24"/>
        </w:rPr>
        <w:t xml:space="preserve">Member States </w:t>
      </w:r>
      <w:r w:rsidR="00BF1237" w:rsidRPr="000E0CA0">
        <w:rPr>
          <w:bCs/>
          <w:szCs w:val="24"/>
        </w:rPr>
        <w:t xml:space="preserve">retain </w:t>
      </w:r>
      <w:r w:rsidR="00E36E5E" w:rsidRPr="000E0CA0">
        <w:rPr>
          <w:bCs/>
          <w:szCs w:val="24"/>
        </w:rPr>
        <w:t xml:space="preserve">legislative </w:t>
      </w:r>
      <w:r w:rsidR="00BF1237" w:rsidRPr="000E0CA0">
        <w:rPr>
          <w:bCs/>
          <w:szCs w:val="24"/>
        </w:rPr>
        <w:t xml:space="preserve">jurisdiction </w:t>
      </w:r>
      <w:r w:rsidR="00E36E5E" w:rsidRPr="000E0CA0">
        <w:rPr>
          <w:bCs/>
          <w:szCs w:val="24"/>
        </w:rPr>
        <w:t xml:space="preserve">and where </w:t>
      </w:r>
      <w:r w:rsidRPr="000E0CA0">
        <w:rPr>
          <w:bCs/>
          <w:szCs w:val="24"/>
        </w:rPr>
        <w:t xml:space="preserve">the </w:t>
      </w:r>
      <w:r w:rsidR="00E36E5E" w:rsidRPr="000E0CA0">
        <w:rPr>
          <w:bCs/>
          <w:szCs w:val="24"/>
        </w:rPr>
        <w:t>“</w:t>
      </w:r>
      <w:r w:rsidR="00E36E5E" w:rsidRPr="000E0CA0">
        <w:rPr>
          <w:bCs/>
          <w:i/>
          <w:szCs w:val="24"/>
        </w:rPr>
        <w:t>competence</w:t>
      </w:r>
      <w:r w:rsidR="00E36E5E" w:rsidRPr="000E0CA0">
        <w:rPr>
          <w:bCs/>
          <w:szCs w:val="24"/>
        </w:rPr>
        <w:t xml:space="preserve">” </w:t>
      </w:r>
      <w:r w:rsidRPr="000E0CA0">
        <w:rPr>
          <w:bCs/>
          <w:szCs w:val="24"/>
        </w:rPr>
        <w:t xml:space="preserve">of the </w:t>
      </w:r>
      <w:r w:rsidR="00E36E5E" w:rsidRPr="000E0CA0">
        <w:rPr>
          <w:bCs/>
          <w:szCs w:val="24"/>
        </w:rPr>
        <w:t xml:space="preserve">Union </w:t>
      </w:r>
      <w:r w:rsidR="00BF1237" w:rsidRPr="000E0CA0">
        <w:rPr>
          <w:bCs/>
          <w:szCs w:val="24"/>
        </w:rPr>
        <w:t xml:space="preserve">is largely secondary and </w:t>
      </w:r>
      <w:r w:rsidRPr="000E0CA0">
        <w:rPr>
          <w:bCs/>
          <w:szCs w:val="24"/>
        </w:rPr>
        <w:t xml:space="preserve">involves “… </w:t>
      </w:r>
      <w:r w:rsidR="00FC6370" w:rsidRPr="000E0CA0">
        <w:rPr>
          <w:bCs/>
          <w:i/>
          <w:szCs w:val="24"/>
          <w:lang w:val="en"/>
        </w:rPr>
        <w:t xml:space="preserve">actions to support, coordinate or supplement the actions of the Member </w:t>
      </w:r>
      <w:r w:rsidRPr="000E0CA0">
        <w:rPr>
          <w:bCs/>
          <w:i/>
          <w:szCs w:val="24"/>
          <w:lang w:val="en"/>
        </w:rPr>
        <w:t xml:space="preserve">States”. </w:t>
      </w:r>
    </w:p>
    <w:p w14:paraId="47C12C22" w14:textId="4DA3A54C" w:rsidR="00FC6370" w:rsidRPr="000E0CA0" w:rsidRDefault="001833CC" w:rsidP="002D37BA">
      <w:pPr>
        <w:pStyle w:val="ParaNoNumber"/>
        <w:ind w:left="567"/>
      </w:pPr>
      <w:r w:rsidRPr="000E0CA0">
        <w:rPr>
          <w:lang w:val="en"/>
        </w:rPr>
        <w:t xml:space="preserve">The Article provides: </w:t>
      </w:r>
      <w:r w:rsidRPr="000E0CA0">
        <w:rPr>
          <w:i/>
          <w:lang w:val="en"/>
        </w:rPr>
        <w:t xml:space="preserve"> </w:t>
      </w:r>
      <w:bookmarkEnd w:id="4"/>
    </w:p>
    <w:p w14:paraId="58C6E3ED" w14:textId="77777777" w:rsidR="001833CC" w:rsidRPr="000E0CA0" w:rsidRDefault="001833CC" w:rsidP="002D37BA">
      <w:pPr>
        <w:pStyle w:val="Quote"/>
        <w:rPr>
          <w:bCs/>
          <w:szCs w:val="24"/>
          <w:lang w:val="en"/>
        </w:rPr>
      </w:pPr>
      <w:r w:rsidRPr="000E0CA0">
        <w:rPr>
          <w:bCs/>
          <w:szCs w:val="24"/>
          <w:lang w:val="en"/>
        </w:rPr>
        <w:t xml:space="preserve">“Article 6 </w:t>
      </w:r>
    </w:p>
    <w:p w14:paraId="6122D130" w14:textId="77777777" w:rsidR="001833CC" w:rsidRPr="000E0CA0" w:rsidRDefault="001833CC" w:rsidP="002D37BA">
      <w:pPr>
        <w:pStyle w:val="Quote"/>
        <w:rPr>
          <w:bCs/>
          <w:szCs w:val="24"/>
          <w:lang w:val="en"/>
        </w:rPr>
      </w:pPr>
      <w:r w:rsidRPr="000E0CA0">
        <w:rPr>
          <w:bCs/>
          <w:szCs w:val="24"/>
          <w:lang w:val="en"/>
        </w:rPr>
        <w:t xml:space="preserve">The Union shall have competence to carry out actions to </w:t>
      </w:r>
      <w:bookmarkStart w:id="5" w:name="_Hlk31800148"/>
      <w:r w:rsidRPr="000E0CA0">
        <w:rPr>
          <w:bCs/>
          <w:szCs w:val="24"/>
          <w:lang w:val="en"/>
        </w:rPr>
        <w:t xml:space="preserve">support, coordinate or supplement </w:t>
      </w:r>
      <w:bookmarkEnd w:id="5"/>
      <w:r w:rsidRPr="000E0CA0">
        <w:rPr>
          <w:bCs/>
          <w:szCs w:val="24"/>
          <w:lang w:val="en"/>
        </w:rPr>
        <w:t xml:space="preserve">the actions of the Member States. The areas of such action shall, at European level, be: </w:t>
      </w:r>
    </w:p>
    <w:p w14:paraId="0FC01354" w14:textId="77777777" w:rsidR="001833CC" w:rsidRPr="000E0CA0" w:rsidRDefault="001833CC" w:rsidP="002D37BA">
      <w:pPr>
        <w:pStyle w:val="Quote"/>
        <w:rPr>
          <w:bCs/>
          <w:szCs w:val="24"/>
          <w:lang w:val="en"/>
        </w:rPr>
      </w:pPr>
      <w:r w:rsidRPr="000E0CA0">
        <w:rPr>
          <w:bCs/>
          <w:szCs w:val="24"/>
          <w:lang w:val="en"/>
        </w:rPr>
        <w:t xml:space="preserve">(a) protection and improvement of human health; </w:t>
      </w:r>
    </w:p>
    <w:p w14:paraId="56B23EC7" w14:textId="35FC05D7" w:rsidR="001833CC" w:rsidRPr="000E0CA0" w:rsidRDefault="001A310F" w:rsidP="002D37BA">
      <w:pPr>
        <w:pStyle w:val="Quote"/>
        <w:rPr>
          <w:bCs/>
          <w:szCs w:val="24"/>
          <w:lang w:val="en"/>
        </w:rPr>
      </w:pPr>
      <w:r w:rsidRPr="000E0CA0">
        <w:rPr>
          <w:bCs/>
          <w:noProof/>
          <w:szCs w:val="24"/>
        </w:rPr>
        <mc:AlternateContent>
          <mc:Choice Requires="wpi">
            <w:drawing>
              <wp:anchor distT="0" distB="0" distL="114300" distR="114300" simplePos="0" relativeHeight="251657216" behindDoc="0" locked="0" layoutInCell="1" allowOverlap="1" wp14:anchorId="62E1EA39" wp14:editId="5B3FB47D">
                <wp:simplePos x="0" y="0"/>
                <wp:positionH relativeFrom="column">
                  <wp:posOffset>7631430</wp:posOffset>
                </wp:positionH>
                <wp:positionV relativeFrom="paragraph">
                  <wp:posOffset>330835</wp:posOffset>
                </wp:positionV>
                <wp:extent cx="227330" cy="107315"/>
                <wp:effectExtent l="59055" t="60325" r="56515" b="51435"/>
                <wp:wrapNone/>
                <wp:docPr id="2" name="Ink 1"/>
                <wp:cNvGraphicFramePr>
                  <a:graphicFrameLocks xmlns:a="http://schemas.openxmlformats.org/drawingml/2006/main"/>
                </wp:cNvGraphicFramePr>
                <a:graphic xmlns:a="http://schemas.openxmlformats.org/drawingml/2006/main">
                  <a:graphicData uri="http://schemas.microsoft.com/office/word/2010/wordprocessingInk">
                    <w14:contentPart bwMode="auto" r:id="rId20">
                      <w14:nvContentPartPr>
                        <w14:cNvContentPartPr>
                          <a14:cpLocks xmlns:a14="http://schemas.microsoft.com/office/drawing/2010/main" noRot="1" noChangeArrowheads="1"/>
                        </w14:cNvContentPartPr>
                      </w14:nvContentPartPr>
                      <w14:xfrm>
                        <a:off x="0" y="0"/>
                        <a:ext cx="227330" cy="107315"/>
                      </w14:xfrm>
                    </w14:contentPart>
                  </a:graphicData>
                </a:graphic>
                <wp14:sizeRelH relativeFrom="page">
                  <wp14:pctWidth>0</wp14:pctWidth>
                </wp14:sizeRelH>
                <wp14:sizeRelV relativeFrom="page">
                  <wp14:pctHeight>0</wp14:pctHeight>
                </wp14:sizeRelV>
              </wp:anchor>
            </w:drawing>
          </mc:Choice>
          <mc:Fallback>
            <w:pict>
              <v:shapetype w14:anchorId="3E640CC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600.2pt;margin-top:25.35pt;width:19.3pt;height: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">
                <v:imagedata r:id="rId21" o:title=""/>
                <o:lock v:ext="edit" rotation="t" aspectratio="f"/>
              </v:shape>
            </w:pict>
          </mc:Fallback>
        </mc:AlternateContent>
      </w:r>
      <w:r w:rsidR="001833CC" w:rsidRPr="000E0CA0">
        <w:rPr>
          <w:bCs/>
          <w:szCs w:val="24"/>
          <w:lang w:val="en"/>
        </w:rPr>
        <w:t xml:space="preserve">(b) industry; </w:t>
      </w:r>
    </w:p>
    <w:p w14:paraId="0F1F3A27" w14:textId="77777777" w:rsidR="001833CC" w:rsidRPr="000E0CA0" w:rsidRDefault="001833CC" w:rsidP="002D37BA">
      <w:pPr>
        <w:pStyle w:val="Quote"/>
        <w:rPr>
          <w:bCs/>
          <w:szCs w:val="24"/>
          <w:lang w:val="en"/>
        </w:rPr>
      </w:pPr>
      <w:r w:rsidRPr="000E0CA0">
        <w:rPr>
          <w:bCs/>
          <w:szCs w:val="24"/>
          <w:lang w:val="en"/>
        </w:rPr>
        <w:t xml:space="preserve">(c) culture; </w:t>
      </w:r>
    </w:p>
    <w:p w14:paraId="3C06A630" w14:textId="77777777" w:rsidR="001833CC" w:rsidRPr="000E0CA0" w:rsidRDefault="001833CC" w:rsidP="002D37BA">
      <w:pPr>
        <w:pStyle w:val="Quote"/>
        <w:rPr>
          <w:bCs/>
          <w:szCs w:val="24"/>
          <w:lang w:val="en"/>
        </w:rPr>
      </w:pPr>
      <w:r w:rsidRPr="000E0CA0">
        <w:rPr>
          <w:bCs/>
          <w:szCs w:val="24"/>
          <w:lang w:val="en"/>
        </w:rPr>
        <w:t xml:space="preserve">(d) tourism; </w:t>
      </w:r>
    </w:p>
    <w:p w14:paraId="662245DE" w14:textId="77777777" w:rsidR="001833CC" w:rsidRPr="000E0CA0" w:rsidRDefault="001833CC" w:rsidP="002D37BA">
      <w:pPr>
        <w:pStyle w:val="Quote"/>
        <w:rPr>
          <w:bCs/>
          <w:szCs w:val="24"/>
          <w:lang w:val="en"/>
        </w:rPr>
      </w:pPr>
      <w:r w:rsidRPr="000E0CA0">
        <w:rPr>
          <w:bCs/>
          <w:szCs w:val="24"/>
          <w:lang w:val="en"/>
        </w:rPr>
        <w:t>(e) education, vocational training, youth and sport;</w:t>
      </w:r>
    </w:p>
    <w:p w14:paraId="4BDF4BF6" w14:textId="77777777" w:rsidR="001833CC" w:rsidRPr="000E0CA0" w:rsidRDefault="001833CC" w:rsidP="002D37BA">
      <w:pPr>
        <w:pStyle w:val="Quote"/>
        <w:rPr>
          <w:bCs/>
          <w:szCs w:val="24"/>
          <w:lang w:val="en"/>
        </w:rPr>
      </w:pPr>
      <w:r w:rsidRPr="000E0CA0">
        <w:rPr>
          <w:bCs/>
          <w:szCs w:val="24"/>
          <w:lang w:val="en"/>
        </w:rPr>
        <w:t xml:space="preserve"> (f) civil protection; </w:t>
      </w:r>
    </w:p>
    <w:p w14:paraId="5071EEF0" w14:textId="77777777" w:rsidR="001833CC" w:rsidRPr="000E0CA0" w:rsidRDefault="001833CC" w:rsidP="002D37BA">
      <w:pPr>
        <w:pStyle w:val="Quote"/>
        <w:rPr>
          <w:bCs/>
          <w:szCs w:val="24"/>
        </w:rPr>
      </w:pPr>
      <w:r w:rsidRPr="000E0CA0">
        <w:rPr>
          <w:bCs/>
          <w:szCs w:val="24"/>
          <w:lang w:val="en"/>
        </w:rPr>
        <w:t>(g) administrative cooperation.”</w:t>
      </w:r>
    </w:p>
    <w:p w14:paraId="3DE84D79" w14:textId="77777777" w:rsidR="00EC1E1C" w:rsidRPr="000E0CA0" w:rsidRDefault="00EC1E1C" w:rsidP="002D37BA">
      <w:pPr>
        <w:pStyle w:val="ParaLevel1"/>
        <w:numPr>
          <w:ilvl w:val="0"/>
          <w:numId w:val="13"/>
        </w:numPr>
        <w:ind w:left="567" w:hanging="567"/>
        <w:rPr>
          <w:bCs/>
          <w:szCs w:val="24"/>
        </w:rPr>
      </w:pPr>
      <w:r w:rsidRPr="000E0CA0">
        <w:rPr>
          <w:bCs/>
          <w:szCs w:val="24"/>
        </w:rPr>
        <w:lastRenderedPageBreak/>
        <w:t>Article 167 TFEU</w:t>
      </w:r>
      <w:r w:rsidR="007E31FB" w:rsidRPr="000E0CA0">
        <w:rPr>
          <w:bCs/>
          <w:szCs w:val="24"/>
        </w:rPr>
        <w:t xml:space="preserve"> </w:t>
      </w:r>
      <w:r w:rsidRPr="000E0CA0">
        <w:rPr>
          <w:bCs/>
          <w:szCs w:val="24"/>
        </w:rPr>
        <w:t xml:space="preserve">also </w:t>
      </w:r>
      <w:r w:rsidR="007E31FB" w:rsidRPr="000E0CA0">
        <w:rPr>
          <w:bCs/>
          <w:szCs w:val="24"/>
        </w:rPr>
        <w:t xml:space="preserve">emphasises </w:t>
      </w:r>
      <w:r w:rsidRPr="000E0CA0">
        <w:rPr>
          <w:bCs/>
          <w:szCs w:val="24"/>
        </w:rPr>
        <w:t>the secondary and supportive roles that the EU plays in relation to the cultural life of the individual Member States</w:t>
      </w:r>
      <w:r w:rsidR="007E31FB" w:rsidRPr="000E0CA0">
        <w:rPr>
          <w:bCs/>
          <w:szCs w:val="24"/>
        </w:rPr>
        <w:t>, a point underscored by the limitation on the use of harmonising measures in Article 167(5)</w:t>
      </w:r>
      <w:r w:rsidRPr="000E0CA0">
        <w:rPr>
          <w:bCs/>
          <w:szCs w:val="24"/>
        </w:rPr>
        <w:t xml:space="preserve">: </w:t>
      </w:r>
    </w:p>
    <w:p w14:paraId="13F0DE19" w14:textId="77777777" w:rsidR="00EC1E1C" w:rsidRPr="000E0CA0" w:rsidRDefault="00EC1E1C" w:rsidP="002D37BA">
      <w:pPr>
        <w:pStyle w:val="Quote"/>
        <w:rPr>
          <w:bCs/>
          <w:szCs w:val="24"/>
        </w:rPr>
      </w:pPr>
      <w:r w:rsidRPr="000E0CA0">
        <w:rPr>
          <w:bCs/>
          <w:szCs w:val="24"/>
        </w:rPr>
        <w:t>“1. The Union shall contribute to the flowering of the cultures of the Member States, while respecting their national and regional diversity and at the same time bringing the common cultural heritage to the fore.”</w:t>
      </w:r>
    </w:p>
    <w:p w14:paraId="1A850EF8" w14:textId="77777777" w:rsidR="00EC1E1C" w:rsidRPr="000E0CA0" w:rsidRDefault="00EC1E1C" w:rsidP="002D37BA">
      <w:pPr>
        <w:pStyle w:val="Quote"/>
        <w:rPr>
          <w:bCs/>
          <w:szCs w:val="24"/>
        </w:rPr>
      </w:pPr>
      <w:r w:rsidRPr="000E0CA0">
        <w:rPr>
          <w:bCs/>
          <w:szCs w:val="24"/>
        </w:rPr>
        <w:t xml:space="preserve">2. Action by the Union shall be aimed at encouraging cooperation between Member States and, if necessary, supporting and supplementing their action in the following areas: </w:t>
      </w:r>
    </w:p>
    <w:p w14:paraId="7D9C082C" w14:textId="77777777" w:rsidR="00EC1E1C" w:rsidRPr="000E0CA0" w:rsidRDefault="00EC1E1C" w:rsidP="002D37BA">
      <w:pPr>
        <w:pStyle w:val="Quote"/>
        <w:rPr>
          <w:bCs/>
          <w:szCs w:val="24"/>
        </w:rPr>
      </w:pPr>
      <w:r w:rsidRPr="000E0CA0">
        <w:rPr>
          <w:bCs/>
          <w:szCs w:val="24"/>
        </w:rPr>
        <w:t xml:space="preserve">— improvement of the knowledge and dissemination of the culture and history of the European peoples, </w:t>
      </w:r>
    </w:p>
    <w:p w14:paraId="65F27625" w14:textId="77777777" w:rsidR="00EC1E1C" w:rsidRPr="000E0CA0" w:rsidRDefault="00EC1E1C" w:rsidP="002D37BA">
      <w:pPr>
        <w:pStyle w:val="Quote"/>
        <w:rPr>
          <w:bCs/>
          <w:szCs w:val="24"/>
        </w:rPr>
      </w:pPr>
      <w:r w:rsidRPr="000E0CA0">
        <w:rPr>
          <w:bCs/>
          <w:szCs w:val="24"/>
        </w:rPr>
        <w:t xml:space="preserve">— conservation and safeguarding of cultural heritage of European significance, </w:t>
      </w:r>
    </w:p>
    <w:p w14:paraId="21AB5484" w14:textId="77777777" w:rsidR="00EC1E1C" w:rsidRPr="000E0CA0" w:rsidRDefault="00EC1E1C" w:rsidP="002D37BA">
      <w:pPr>
        <w:pStyle w:val="Quote"/>
        <w:rPr>
          <w:bCs/>
          <w:szCs w:val="24"/>
        </w:rPr>
      </w:pPr>
      <w:r w:rsidRPr="000E0CA0">
        <w:rPr>
          <w:bCs/>
          <w:szCs w:val="24"/>
        </w:rPr>
        <w:t xml:space="preserve">— non-commercial cultural exchanges, </w:t>
      </w:r>
    </w:p>
    <w:p w14:paraId="44D61515" w14:textId="77777777" w:rsidR="00EC1E1C" w:rsidRPr="000E0CA0" w:rsidRDefault="00EC1E1C" w:rsidP="002D37BA">
      <w:pPr>
        <w:pStyle w:val="Quote"/>
        <w:rPr>
          <w:bCs/>
          <w:szCs w:val="24"/>
        </w:rPr>
      </w:pPr>
      <w:r w:rsidRPr="000E0CA0">
        <w:rPr>
          <w:bCs/>
          <w:szCs w:val="24"/>
        </w:rPr>
        <w:t xml:space="preserve">— artistic and literary creation, including in the audiovisual sector. </w:t>
      </w:r>
    </w:p>
    <w:p w14:paraId="63F3AB41" w14:textId="77777777" w:rsidR="00EC1E1C" w:rsidRPr="000E0CA0" w:rsidRDefault="00EC1E1C" w:rsidP="002D37BA">
      <w:pPr>
        <w:pStyle w:val="Quote"/>
        <w:rPr>
          <w:bCs/>
          <w:szCs w:val="24"/>
        </w:rPr>
      </w:pPr>
      <w:r w:rsidRPr="000E0CA0">
        <w:rPr>
          <w:bCs/>
          <w:szCs w:val="24"/>
        </w:rPr>
        <w:t xml:space="preserve">3. The Union and the Member States shall foster cooperation with third countries and the competent international organisations in the sphere of culture, in particular the Council of Europe. </w:t>
      </w:r>
    </w:p>
    <w:p w14:paraId="15FDDAA5" w14:textId="77777777" w:rsidR="00EC1E1C" w:rsidRPr="000E0CA0" w:rsidRDefault="00EC1E1C" w:rsidP="002D37BA">
      <w:pPr>
        <w:pStyle w:val="Quote"/>
        <w:rPr>
          <w:bCs/>
          <w:szCs w:val="24"/>
        </w:rPr>
      </w:pPr>
      <w:r w:rsidRPr="000E0CA0">
        <w:rPr>
          <w:bCs/>
          <w:szCs w:val="24"/>
        </w:rPr>
        <w:t xml:space="preserve">4. The Union shall take cultural aspects into account in its action under other provisions of the Treaties, in particular in order to respect and to promote the diversity of its cultures. </w:t>
      </w:r>
    </w:p>
    <w:p w14:paraId="46B9B359" w14:textId="77777777" w:rsidR="00EC1E1C" w:rsidRPr="000E0CA0" w:rsidRDefault="00EC1E1C" w:rsidP="002D37BA">
      <w:pPr>
        <w:pStyle w:val="Quote"/>
        <w:rPr>
          <w:bCs/>
          <w:szCs w:val="24"/>
        </w:rPr>
      </w:pPr>
      <w:r w:rsidRPr="000E0CA0">
        <w:rPr>
          <w:bCs/>
          <w:szCs w:val="24"/>
        </w:rPr>
        <w:t xml:space="preserve">5. In order to contribute to the achievement of the objectives referred to in this Article: </w:t>
      </w:r>
    </w:p>
    <w:p w14:paraId="5D223B24" w14:textId="77777777" w:rsidR="00EC1E1C" w:rsidRPr="000E0CA0" w:rsidRDefault="00EC1E1C" w:rsidP="002D37BA">
      <w:pPr>
        <w:pStyle w:val="Quote"/>
        <w:rPr>
          <w:bCs/>
          <w:szCs w:val="24"/>
        </w:rPr>
      </w:pPr>
      <w:r w:rsidRPr="000E0CA0">
        <w:rPr>
          <w:bCs/>
          <w:szCs w:val="24"/>
        </w:rPr>
        <w:t xml:space="preserve">— the European Parliament and the Council acting in accordance with the ordinary legislative procedure and after consulting the Committee of the Regions, shall adopt incentive measures, excluding any harmonisation of the laws and regulations of the Member States, </w:t>
      </w:r>
    </w:p>
    <w:p w14:paraId="0543BDCE" w14:textId="77777777" w:rsidR="00EC1E1C" w:rsidRPr="000E0CA0" w:rsidRDefault="00EC1E1C" w:rsidP="002D37BA">
      <w:pPr>
        <w:pStyle w:val="Quote"/>
        <w:rPr>
          <w:bCs/>
          <w:szCs w:val="24"/>
        </w:rPr>
      </w:pPr>
      <w:r w:rsidRPr="000E0CA0">
        <w:rPr>
          <w:bCs/>
          <w:szCs w:val="24"/>
        </w:rPr>
        <w:t>— the Council, on a proposal from the Commission, shall adopt recommendations.”</w:t>
      </w:r>
    </w:p>
    <w:p w14:paraId="12D546A1" w14:textId="77777777" w:rsidR="005E67D8" w:rsidRPr="000E0CA0" w:rsidRDefault="005E67D8" w:rsidP="002D37BA">
      <w:pPr>
        <w:pStyle w:val="ParaLevel1"/>
        <w:numPr>
          <w:ilvl w:val="0"/>
          <w:numId w:val="13"/>
        </w:numPr>
        <w:ind w:left="567" w:hanging="567"/>
        <w:rPr>
          <w:bCs/>
          <w:szCs w:val="24"/>
        </w:rPr>
      </w:pPr>
      <w:r w:rsidRPr="000E0CA0">
        <w:rPr>
          <w:bCs/>
          <w:szCs w:val="24"/>
        </w:rPr>
        <w:t xml:space="preserve">Academic literature on this point, which was before the court, makes the same point.  For </w:t>
      </w:r>
      <w:r w:rsidR="001D4FDA" w:rsidRPr="000E0CA0">
        <w:rPr>
          <w:bCs/>
          <w:szCs w:val="24"/>
        </w:rPr>
        <w:t>instance,</w:t>
      </w:r>
      <w:r w:rsidRPr="000E0CA0">
        <w:rPr>
          <w:bCs/>
          <w:szCs w:val="24"/>
        </w:rPr>
        <w:t xml:space="preserve"> Professor Biondi in an early article in the Common Market Law Review ((199</w:t>
      </w:r>
      <w:r w:rsidR="00320316">
        <w:rPr>
          <w:bCs/>
          <w:szCs w:val="24"/>
        </w:rPr>
        <w:t>7</w:t>
      </w:r>
      <w:r w:rsidRPr="000E0CA0">
        <w:rPr>
          <w:bCs/>
          <w:szCs w:val="24"/>
        </w:rPr>
        <w:t xml:space="preserve">) </w:t>
      </w:r>
      <w:r w:rsidR="00340C52" w:rsidRPr="000E0CA0">
        <w:rPr>
          <w:bCs/>
          <w:szCs w:val="24"/>
        </w:rPr>
        <w:t>34</w:t>
      </w:r>
      <w:r w:rsidR="00320316">
        <w:rPr>
          <w:bCs/>
          <w:szCs w:val="24"/>
        </w:rPr>
        <w:t>(5)</w:t>
      </w:r>
      <w:r w:rsidR="00340C52" w:rsidRPr="000E0CA0">
        <w:rPr>
          <w:bCs/>
          <w:szCs w:val="24"/>
        </w:rPr>
        <w:t xml:space="preserve"> </w:t>
      </w:r>
      <w:r w:rsidRPr="000E0CA0">
        <w:rPr>
          <w:bCs/>
          <w:szCs w:val="24"/>
        </w:rPr>
        <w:t>CMLR [</w:t>
      </w:r>
      <w:r w:rsidR="00340C52" w:rsidRPr="000E0CA0">
        <w:rPr>
          <w:bCs/>
          <w:szCs w:val="24"/>
        </w:rPr>
        <w:t>1173] at page [1176]) states: “</w:t>
      </w:r>
      <w:r w:rsidR="00340C52" w:rsidRPr="000E0CA0">
        <w:rPr>
          <w:bCs/>
          <w:i/>
          <w:iCs/>
          <w:szCs w:val="24"/>
        </w:rPr>
        <w:t xml:space="preserve">The Regulation and the Directive however, clearly acknowledge the fact that Community rules did not replace national traditions since Member States, as things stand, will not accept uniform rules on the free movement of works of art.  Both measures are at pains to make clear that Member States retain the </w:t>
      </w:r>
      <w:r w:rsidR="00340C52" w:rsidRPr="000E0CA0">
        <w:rPr>
          <w:bCs/>
          <w:i/>
          <w:iCs/>
          <w:szCs w:val="24"/>
        </w:rPr>
        <w:lastRenderedPageBreak/>
        <w:t>right to define their national heritage and to take the necessary measures to protect it…”.</w:t>
      </w:r>
      <w:r w:rsidR="006D0E3C">
        <w:rPr>
          <w:bCs/>
          <w:i/>
          <w:iCs/>
          <w:szCs w:val="24"/>
        </w:rPr>
        <w:t xml:space="preserve"> </w:t>
      </w:r>
      <w:r w:rsidR="006D0E3C" w:rsidRPr="006D0E3C">
        <w:rPr>
          <w:bCs/>
          <w:szCs w:val="24"/>
        </w:rPr>
        <w:t>Other academic analysis was to the same effect</w:t>
      </w:r>
      <w:r w:rsidR="006D0E3C">
        <w:rPr>
          <w:bCs/>
          <w:i/>
          <w:iCs/>
          <w:szCs w:val="24"/>
        </w:rPr>
        <w:t xml:space="preserve">. </w:t>
      </w:r>
    </w:p>
    <w:p w14:paraId="1B034A35" w14:textId="77777777" w:rsidR="001A71E8" w:rsidRPr="000E0CA0" w:rsidRDefault="001A71E8" w:rsidP="002D37BA">
      <w:pPr>
        <w:pStyle w:val="ParaLevel1"/>
        <w:numPr>
          <w:ilvl w:val="0"/>
          <w:numId w:val="13"/>
        </w:numPr>
        <w:ind w:left="567" w:hanging="567"/>
        <w:rPr>
          <w:bCs/>
          <w:szCs w:val="24"/>
        </w:rPr>
      </w:pPr>
      <w:r w:rsidRPr="000E0CA0">
        <w:rPr>
          <w:bCs/>
          <w:szCs w:val="24"/>
        </w:rPr>
        <w:t xml:space="preserve">This point is significant when it comes to </w:t>
      </w:r>
      <w:r w:rsidR="00C901D4">
        <w:rPr>
          <w:bCs/>
          <w:szCs w:val="24"/>
        </w:rPr>
        <w:t xml:space="preserve">the </w:t>
      </w:r>
      <w:r w:rsidRPr="000E0CA0">
        <w:rPr>
          <w:bCs/>
          <w:szCs w:val="24"/>
        </w:rPr>
        <w:t xml:space="preserve">argument that EU measures in this area are intended to be comprehensive </w:t>
      </w:r>
      <w:r w:rsidR="00340C52" w:rsidRPr="000E0CA0">
        <w:rPr>
          <w:bCs/>
          <w:szCs w:val="24"/>
        </w:rPr>
        <w:t xml:space="preserve">and that terms therein therefore have an </w:t>
      </w:r>
      <w:r w:rsidRPr="000E0CA0">
        <w:rPr>
          <w:bCs/>
          <w:szCs w:val="24"/>
        </w:rPr>
        <w:t xml:space="preserve">autonomous meaning; </w:t>
      </w:r>
      <w:r w:rsidR="00C901D4">
        <w:rPr>
          <w:bCs/>
          <w:szCs w:val="24"/>
        </w:rPr>
        <w:t>it is a</w:t>
      </w:r>
      <w:r w:rsidRPr="000E0CA0">
        <w:rPr>
          <w:bCs/>
          <w:szCs w:val="24"/>
        </w:rPr>
        <w:t>lso relevant when considering the margin of appreciation that should be accorded to Member States when measuring</w:t>
      </w:r>
      <w:r w:rsidR="00340C52" w:rsidRPr="000E0CA0">
        <w:rPr>
          <w:bCs/>
          <w:szCs w:val="24"/>
        </w:rPr>
        <w:t xml:space="preserve"> national </w:t>
      </w:r>
      <w:r w:rsidRPr="000E0CA0">
        <w:rPr>
          <w:bCs/>
          <w:szCs w:val="24"/>
        </w:rPr>
        <w:t xml:space="preserve">legislation </w:t>
      </w:r>
      <w:r w:rsidR="00320316">
        <w:rPr>
          <w:bCs/>
          <w:szCs w:val="24"/>
        </w:rPr>
        <w:t>against</w:t>
      </w:r>
      <w:r w:rsidRPr="000E0CA0">
        <w:rPr>
          <w:bCs/>
          <w:szCs w:val="24"/>
        </w:rPr>
        <w:t xml:space="preserve"> free movement rules or other fundamental norms. </w:t>
      </w:r>
    </w:p>
    <w:p w14:paraId="6842A42D" w14:textId="77777777" w:rsidR="00D94BF9" w:rsidRPr="000E0CA0" w:rsidRDefault="00FC6370" w:rsidP="002D37BA">
      <w:pPr>
        <w:pStyle w:val="ParaLevel1"/>
        <w:numPr>
          <w:ilvl w:val="0"/>
          <w:numId w:val="13"/>
        </w:numPr>
        <w:ind w:left="567" w:hanging="567"/>
        <w:rPr>
          <w:bCs/>
          <w:szCs w:val="24"/>
        </w:rPr>
      </w:pPr>
      <w:r w:rsidRPr="000E0CA0">
        <w:rPr>
          <w:bCs/>
          <w:szCs w:val="24"/>
        </w:rPr>
        <w:t>The second group of provisions are those govern</w:t>
      </w:r>
      <w:r w:rsidR="00340C52" w:rsidRPr="000E0CA0">
        <w:rPr>
          <w:bCs/>
          <w:szCs w:val="24"/>
        </w:rPr>
        <w:t>ing</w:t>
      </w:r>
      <w:r w:rsidRPr="000E0CA0">
        <w:rPr>
          <w:bCs/>
          <w:szCs w:val="24"/>
        </w:rPr>
        <w:t xml:space="preserve"> the free movement </w:t>
      </w:r>
      <w:r w:rsidR="00340C52" w:rsidRPr="000E0CA0">
        <w:rPr>
          <w:bCs/>
          <w:szCs w:val="24"/>
        </w:rPr>
        <w:t xml:space="preserve">of </w:t>
      </w:r>
      <w:r w:rsidRPr="000E0CA0">
        <w:rPr>
          <w:bCs/>
          <w:szCs w:val="24"/>
        </w:rPr>
        <w:t>good</w:t>
      </w:r>
      <w:r w:rsidR="007E31FB" w:rsidRPr="000E0CA0">
        <w:rPr>
          <w:bCs/>
          <w:szCs w:val="24"/>
        </w:rPr>
        <w:t>s</w:t>
      </w:r>
      <w:r w:rsidRPr="000E0CA0">
        <w:rPr>
          <w:bCs/>
          <w:szCs w:val="24"/>
        </w:rPr>
        <w:t xml:space="preserve"> within the EU.  </w:t>
      </w:r>
      <w:r w:rsidR="00D94BF9" w:rsidRPr="000E0CA0">
        <w:rPr>
          <w:bCs/>
          <w:szCs w:val="24"/>
        </w:rPr>
        <w:t>Article 3</w:t>
      </w:r>
      <w:r w:rsidR="00235831" w:rsidRPr="000E0CA0">
        <w:rPr>
          <w:bCs/>
          <w:szCs w:val="24"/>
        </w:rPr>
        <w:t>5</w:t>
      </w:r>
      <w:r w:rsidR="00D94BF9" w:rsidRPr="000E0CA0">
        <w:rPr>
          <w:bCs/>
          <w:szCs w:val="24"/>
        </w:rPr>
        <w:t xml:space="preserve"> TFEU </w:t>
      </w:r>
      <w:r w:rsidR="00C60C00" w:rsidRPr="000E0CA0">
        <w:rPr>
          <w:bCs/>
          <w:szCs w:val="24"/>
        </w:rPr>
        <w:t xml:space="preserve">imposes a prohibition </w:t>
      </w:r>
      <w:r w:rsidR="007E31FB" w:rsidRPr="000E0CA0">
        <w:rPr>
          <w:bCs/>
          <w:szCs w:val="24"/>
        </w:rPr>
        <w:t>up</w:t>
      </w:r>
      <w:r w:rsidR="00C60C00" w:rsidRPr="000E0CA0">
        <w:rPr>
          <w:bCs/>
          <w:szCs w:val="24"/>
        </w:rPr>
        <w:t xml:space="preserve">on restrictions </w:t>
      </w:r>
      <w:r w:rsidR="00C901D4">
        <w:rPr>
          <w:bCs/>
          <w:szCs w:val="24"/>
        </w:rPr>
        <w:t xml:space="preserve">on exports </w:t>
      </w:r>
      <w:r w:rsidR="00C60C00" w:rsidRPr="000E0CA0">
        <w:rPr>
          <w:bCs/>
          <w:szCs w:val="24"/>
        </w:rPr>
        <w:t xml:space="preserve">between the Member States.  It </w:t>
      </w:r>
      <w:r w:rsidR="00D94BF9" w:rsidRPr="000E0CA0">
        <w:rPr>
          <w:bCs/>
          <w:szCs w:val="24"/>
        </w:rPr>
        <w:t>provides that:</w:t>
      </w:r>
    </w:p>
    <w:p w14:paraId="5FA132C7" w14:textId="77777777" w:rsidR="00DA0614" w:rsidRPr="000E0CA0" w:rsidRDefault="00D94BF9" w:rsidP="002D37BA">
      <w:pPr>
        <w:pStyle w:val="Quote"/>
        <w:rPr>
          <w:bCs/>
          <w:szCs w:val="24"/>
        </w:rPr>
      </w:pPr>
      <w:r w:rsidRPr="000E0CA0">
        <w:rPr>
          <w:bCs/>
          <w:szCs w:val="24"/>
        </w:rPr>
        <w:t>“Quantitative restrictions on exports, and all measures having equivalent effect, shall be prohibited between Member States”.</w:t>
      </w:r>
    </w:p>
    <w:p w14:paraId="4625F3BB" w14:textId="77777777" w:rsidR="009C1DE1" w:rsidRPr="000E0CA0" w:rsidRDefault="00FC6370" w:rsidP="002D37BA">
      <w:pPr>
        <w:pStyle w:val="ParaLevel1"/>
        <w:numPr>
          <w:ilvl w:val="0"/>
          <w:numId w:val="13"/>
        </w:numPr>
        <w:ind w:left="567" w:hanging="567"/>
        <w:rPr>
          <w:bCs/>
          <w:szCs w:val="24"/>
        </w:rPr>
      </w:pPr>
      <w:r w:rsidRPr="000E0CA0">
        <w:rPr>
          <w:bCs/>
          <w:szCs w:val="24"/>
        </w:rPr>
        <w:t xml:space="preserve">There is a substantial body of case law </w:t>
      </w:r>
      <w:r w:rsidR="00E36E5E" w:rsidRPr="000E0CA0">
        <w:rPr>
          <w:bCs/>
          <w:szCs w:val="24"/>
        </w:rPr>
        <w:t>up</w:t>
      </w:r>
      <w:r w:rsidRPr="000E0CA0">
        <w:rPr>
          <w:bCs/>
          <w:szCs w:val="24"/>
        </w:rPr>
        <w:t xml:space="preserve">on the nature and scope of </w:t>
      </w:r>
      <w:r w:rsidR="00021B45" w:rsidRPr="000E0CA0">
        <w:rPr>
          <w:bCs/>
          <w:szCs w:val="24"/>
        </w:rPr>
        <w:t>A</w:t>
      </w:r>
      <w:r w:rsidRPr="000E0CA0">
        <w:rPr>
          <w:bCs/>
          <w:szCs w:val="24"/>
        </w:rPr>
        <w:t>rticle 3</w:t>
      </w:r>
      <w:r w:rsidR="00235831" w:rsidRPr="000E0CA0">
        <w:rPr>
          <w:bCs/>
          <w:szCs w:val="24"/>
        </w:rPr>
        <w:t>5</w:t>
      </w:r>
      <w:r w:rsidRPr="000E0CA0">
        <w:rPr>
          <w:bCs/>
          <w:szCs w:val="24"/>
        </w:rPr>
        <w:t xml:space="preserve">, which it is unnecessary to delve into for the purpose of resolving this appeal.  </w:t>
      </w:r>
      <w:r w:rsidR="00C60C00" w:rsidRPr="000E0CA0">
        <w:rPr>
          <w:bCs/>
          <w:szCs w:val="24"/>
        </w:rPr>
        <w:t>The</w:t>
      </w:r>
      <w:r w:rsidRPr="000E0CA0">
        <w:rPr>
          <w:bCs/>
          <w:szCs w:val="24"/>
        </w:rPr>
        <w:t xml:space="preserve"> </w:t>
      </w:r>
      <w:r w:rsidR="00E36E5E" w:rsidRPr="000E0CA0">
        <w:rPr>
          <w:bCs/>
          <w:szCs w:val="24"/>
        </w:rPr>
        <w:t>concept</w:t>
      </w:r>
      <w:r w:rsidR="007E31FB" w:rsidRPr="000E0CA0">
        <w:rPr>
          <w:bCs/>
          <w:szCs w:val="24"/>
        </w:rPr>
        <w:t>s</w:t>
      </w:r>
      <w:r w:rsidR="00E36E5E" w:rsidRPr="000E0CA0">
        <w:rPr>
          <w:bCs/>
          <w:szCs w:val="24"/>
        </w:rPr>
        <w:t xml:space="preserve"> of </w:t>
      </w:r>
      <w:r w:rsidR="007E31FB" w:rsidRPr="000E0CA0">
        <w:rPr>
          <w:bCs/>
          <w:szCs w:val="24"/>
        </w:rPr>
        <w:t>“</w:t>
      </w:r>
      <w:r w:rsidR="00E36E5E" w:rsidRPr="000E0CA0">
        <w:rPr>
          <w:bCs/>
          <w:i/>
          <w:iCs/>
          <w:szCs w:val="24"/>
        </w:rPr>
        <w:t>quantitative restriction</w:t>
      </w:r>
      <w:r w:rsidR="007E31FB" w:rsidRPr="000E0CA0">
        <w:rPr>
          <w:bCs/>
          <w:i/>
          <w:iCs/>
          <w:szCs w:val="24"/>
        </w:rPr>
        <w:t>s</w:t>
      </w:r>
      <w:r w:rsidR="007E31FB" w:rsidRPr="000E0CA0">
        <w:rPr>
          <w:bCs/>
          <w:szCs w:val="24"/>
        </w:rPr>
        <w:t>”</w:t>
      </w:r>
      <w:r w:rsidR="00E36E5E" w:rsidRPr="000E0CA0">
        <w:rPr>
          <w:bCs/>
          <w:szCs w:val="24"/>
        </w:rPr>
        <w:t xml:space="preserve"> and </w:t>
      </w:r>
      <w:r w:rsidR="007E31FB" w:rsidRPr="000E0CA0">
        <w:rPr>
          <w:bCs/>
          <w:szCs w:val="24"/>
        </w:rPr>
        <w:t>“</w:t>
      </w:r>
      <w:r w:rsidR="00E36E5E" w:rsidRPr="000E0CA0">
        <w:rPr>
          <w:bCs/>
          <w:i/>
          <w:iCs/>
          <w:szCs w:val="24"/>
        </w:rPr>
        <w:t>measure</w:t>
      </w:r>
      <w:r w:rsidR="007E31FB" w:rsidRPr="000E0CA0">
        <w:rPr>
          <w:bCs/>
          <w:i/>
          <w:iCs/>
          <w:szCs w:val="24"/>
        </w:rPr>
        <w:t>s</w:t>
      </w:r>
      <w:r w:rsidR="00E36E5E" w:rsidRPr="000E0CA0">
        <w:rPr>
          <w:bCs/>
          <w:i/>
          <w:iCs/>
          <w:szCs w:val="24"/>
        </w:rPr>
        <w:t xml:space="preserve"> </w:t>
      </w:r>
      <w:r w:rsidR="007E31FB" w:rsidRPr="000E0CA0">
        <w:rPr>
          <w:bCs/>
          <w:i/>
          <w:iCs/>
          <w:szCs w:val="24"/>
        </w:rPr>
        <w:t xml:space="preserve">having </w:t>
      </w:r>
      <w:r w:rsidR="00E36E5E" w:rsidRPr="000E0CA0">
        <w:rPr>
          <w:bCs/>
          <w:i/>
          <w:iCs/>
          <w:szCs w:val="24"/>
        </w:rPr>
        <w:t>equivalent effect</w:t>
      </w:r>
      <w:r w:rsidR="007E31FB" w:rsidRPr="000E0CA0">
        <w:rPr>
          <w:bCs/>
          <w:szCs w:val="24"/>
        </w:rPr>
        <w:t xml:space="preserve">” to a quantitative restriction are </w:t>
      </w:r>
      <w:r w:rsidR="009C1DE1" w:rsidRPr="000E0CA0">
        <w:rPr>
          <w:bCs/>
          <w:szCs w:val="24"/>
        </w:rPr>
        <w:t xml:space="preserve">very broad. A quantitative restriction is </w:t>
      </w:r>
      <w:r w:rsidR="00340C52" w:rsidRPr="000E0CA0">
        <w:rPr>
          <w:bCs/>
          <w:szCs w:val="24"/>
        </w:rPr>
        <w:t xml:space="preserve">exemplified by </w:t>
      </w:r>
      <w:r w:rsidR="009C1DE1" w:rsidRPr="000E0CA0">
        <w:rPr>
          <w:bCs/>
          <w:szCs w:val="24"/>
        </w:rPr>
        <w:t>a classic quota (</w:t>
      </w:r>
      <w:r w:rsidR="00C60C00" w:rsidRPr="000E0CA0">
        <w:rPr>
          <w:bCs/>
          <w:szCs w:val="24"/>
        </w:rPr>
        <w:t>e</w:t>
      </w:r>
      <w:r w:rsidR="00320316">
        <w:rPr>
          <w:bCs/>
          <w:szCs w:val="24"/>
        </w:rPr>
        <w:t>.</w:t>
      </w:r>
      <w:r w:rsidR="00C60C00" w:rsidRPr="000E0CA0">
        <w:rPr>
          <w:bCs/>
          <w:szCs w:val="24"/>
        </w:rPr>
        <w:t>g</w:t>
      </w:r>
      <w:r w:rsidR="00320316">
        <w:rPr>
          <w:bCs/>
          <w:szCs w:val="24"/>
        </w:rPr>
        <w:t>.</w:t>
      </w:r>
      <w:r w:rsidR="00C60C00" w:rsidRPr="000E0CA0">
        <w:rPr>
          <w:bCs/>
          <w:szCs w:val="24"/>
        </w:rPr>
        <w:t xml:space="preserve"> </w:t>
      </w:r>
      <w:r w:rsidR="009C1DE1" w:rsidRPr="000E0CA0">
        <w:rPr>
          <w:bCs/>
          <w:szCs w:val="24"/>
        </w:rPr>
        <w:t xml:space="preserve">only </w:t>
      </w:r>
      <w:r w:rsidR="009C1DE1" w:rsidRPr="000E0CA0">
        <w:rPr>
          <w:b/>
          <w:bCs/>
          <w:i/>
          <w:szCs w:val="24"/>
        </w:rPr>
        <w:t>x</w:t>
      </w:r>
      <w:r w:rsidR="009C1DE1" w:rsidRPr="000E0CA0">
        <w:rPr>
          <w:b/>
          <w:bCs/>
          <w:szCs w:val="24"/>
        </w:rPr>
        <w:t xml:space="preserve"> </w:t>
      </w:r>
      <w:r w:rsidR="009C1DE1" w:rsidRPr="000E0CA0">
        <w:rPr>
          <w:bCs/>
          <w:szCs w:val="24"/>
        </w:rPr>
        <w:t xml:space="preserve">amount can be </w:t>
      </w:r>
      <w:r w:rsidR="007E31FB" w:rsidRPr="000E0CA0">
        <w:rPr>
          <w:bCs/>
          <w:szCs w:val="24"/>
        </w:rPr>
        <w:t>exported</w:t>
      </w:r>
      <w:r w:rsidR="00C60C00" w:rsidRPr="000E0CA0">
        <w:rPr>
          <w:bCs/>
          <w:szCs w:val="24"/>
        </w:rPr>
        <w:t>) but, according to well established case law,</w:t>
      </w:r>
      <w:r w:rsidR="009C1DE1" w:rsidRPr="000E0CA0">
        <w:rPr>
          <w:bCs/>
          <w:szCs w:val="24"/>
        </w:rPr>
        <w:t xml:space="preserve"> </w:t>
      </w:r>
      <w:r w:rsidR="009C1DE1" w:rsidRPr="000E0CA0">
        <w:rPr>
          <w:bCs/>
          <w:i/>
          <w:szCs w:val="24"/>
        </w:rPr>
        <w:t>all</w:t>
      </w:r>
      <w:r w:rsidR="009C1DE1" w:rsidRPr="000E0CA0">
        <w:rPr>
          <w:bCs/>
          <w:szCs w:val="24"/>
        </w:rPr>
        <w:t xml:space="preserve"> trading rules</w:t>
      </w:r>
      <w:r w:rsidR="00235831" w:rsidRPr="000E0CA0">
        <w:rPr>
          <w:bCs/>
          <w:szCs w:val="24"/>
        </w:rPr>
        <w:t xml:space="preserve"> or administrative practices </w:t>
      </w:r>
      <w:r w:rsidR="009C1DE1" w:rsidRPr="000E0CA0">
        <w:rPr>
          <w:bCs/>
          <w:szCs w:val="24"/>
        </w:rPr>
        <w:t>enacted by Member States which are capable of hindering, directly or indirectly, actually or potentially, intra-Community trade are to be considered as measures having an effect equivalent to quantitative restrictions</w:t>
      </w:r>
      <w:r w:rsidR="00340C52" w:rsidRPr="000E0CA0">
        <w:rPr>
          <w:bCs/>
          <w:szCs w:val="24"/>
        </w:rPr>
        <w:t xml:space="preserve"> </w:t>
      </w:r>
      <w:r w:rsidR="00C901D4">
        <w:rPr>
          <w:bCs/>
          <w:szCs w:val="24"/>
        </w:rPr>
        <w:t xml:space="preserve">on exports </w:t>
      </w:r>
      <w:r w:rsidR="00340C52" w:rsidRPr="000E0CA0">
        <w:rPr>
          <w:bCs/>
          <w:szCs w:val="24"/>
        </w:rPr>
        <w:t>and therefore fall within the scope of the prohibition</w:t>
      </w:r>
      <w:r w:rsidR="009C1DE1" w:rsidRPr="000E0CA0">
        <w:rPr>
          <w:bCs/>
          <w:szCs w:val="24"/>
        </w:rPr>
        <w:t xml:space="preserve">. </w:t>
      </w:r>
    </w:p>
    <w:p w14:paraId="390414F1" w14:textId="77777777" w:rsidR="00FC6370" w:rsidRPr="000E0CA0" w:rsidRDefault="00FC6370" w:rsidP="002D37BA">
      <w:pPr>
        <w:pStyle w:val="ParaLevel1"/>
        <w:numPr>
          <w:ilvl w:val="0"/>
          <w:numId w:val="13"/>
        </w:numPr>
        <w:ind w:left="567" w:hanging="567"/>
        <w:rPr>
          <w:bCs/>
          <w:szCs w:val="24"/>
        </w:rPr>
      </w:pPr>
      <w:r w:rsidRPr="000E0CA0">
        <w:rPr>
          <w:bCs/>
          <w:szCs w:val="24"/>
        </w:rPr>
        <w:t>But this is not the end of the story because under Article 3</w:t>
      </w:r>
      <w:r w:rsidR="001A71E8" w:rsidRPr="000E0CA0">
        <w:rPr>
          <w:bCs/>
          <w:szCs w:val="24"/>
        </w:rPr>
        <w:t>6</w:t>
      </w:r>
      <w:r w:rsidRPr="000E0CA0">
        <w:rPr>
          <w:bCs/>
          <w:szCs w:val="24"/>
        </w:rPr>
        <w:t xml:space="preserve"> TFEU a series of exceptions are set out</w:t>
      </w:r>
      <w:r w:rsidR="00EC1E1C" w:rsidRPr="000E0CA0">
        <w:rPr>
          <w:bCs/>
          <w:szCs w:val="24"/>
        </w:rPr>
        <w:t xml:space="preserve"> which include </w:t>
      </w:r>
      <w:r w:rsidR="00C60C00" w:rsidRPr="000E0CA0">
        <w:rPr>
          <w:bCs/>
          <w:szCs w:val="24"/>
        </w:rPr>
        <w:t xml:space="preserve">in </w:t>
      </w:r>
      <w:r w:rsidR="00EC1E1C" w:rsidRPr="000E0CA0">
        <w:rPr>
          <w:bCs/>
          <w:szCs w:val="24"/>
        </w:rPr>
        <w:t xml:space="preserve">relation to </w:t>
      </w:r>
      <w:r w:rsidR="00320316">
        <w:rPr>
          <w:bCs/>
          <w:szCs w:val="24"/>
        </w:rPr>
        <w:t xml:space="preserve">the protection of </w:t>
      </w:r>
      <w:r w:rsidR="00EC1E1C" w:rsidRPr="000E0CA0">
        <w:rPr>
          <w:bCs/>
          <w:szCs w:val="24"/>
        </w:rPr>
        <w:t>national treasures of artistic and historical value</w:t>
      </w:r>
      <w:r w:rsidR="00E36E5E" w:rsidRPr="000E0CA0">
        <w:rPr>
          <w:bCs/>
          <w:szCs w:val="24"/>
        </w:rPr>
        <w:t xml:space="preserve">, and it is not in dispute in this case that </w:t>
      </w:r>
      <w:r w:rsidR="00C60C00" w:rsidRPr="000E0CA0">
        <w:rPr>
          <w:bCs/>
          <w:szCs w:val="24"/>
        </w:rPr>
        <w:t xml:space="preserve">the </w:t>
      </w:r>
      <w:r w:rsidR="00C60C00" w:rsidRPr="000E0CA0">
        <w:rPr>
          <w:bCs/>
          <w:i/>
          <w:iCs/>
          <w:szCs w:val="24"/>
        </w:rPr>
        <w:t>Madonna con Bambino</w:t>
      </w:r>
      <w:r w:rsidR="00C60C00" w:rsidRPr="000E0CA0">
        <w:rPr>
          <w:bCs/>
          <w:szCs w:val="24"/>
        </w:rPr>
        <w:t xml:space="preserve"> </w:t>
      </w:r>
      <w:r w:rsidR="00E36E5E" w:rsidRPr="000E0CA0">
        <w:rPr>
          <w:bCs/>
          <w:szCs w:val="24"/>
        </w:rPr>
        <w:t>qualifies as such a treasure</w:t>
      </w:r>
      <w:r w:rsidRPr="000E0CA0">
        <w:rPr>
          <w:bCs/>
          <w:szCs w:val="24"/>
        </w:rPr>
        <w:t>.</w:t>
      </w:r>
      <w:r w:rsidR="00E36E5E" w:rsidRPr="000E0CA0">
        <w:rPr>
          <w:bCs/>
          <w:szCs w:val="24"/>
        </w:rPr>
        <w:t xml:space="preserve"> Article 3</w:t>
      </w:r>
      <w:r w:rsidR="00340C52" w:rsidRPr="000E0CA0">
        <w:rPr>
          <w:bCs/>
          <w:szCs w:val="24"/>
        </w:rPr>
        <w:t>6</w:t>
      </w:r>
      <w:r w:rsidR="00E36E5E" w:rsidRPr="000E0CA0">
        <w:rPr>
          <w:bCs/>
          <w:szCs w:val="24"/>
        </w:rPr>
        <w:t xml:space="preserve"> </w:t>
      </w:r>
      <w:r w:rsidRPr="000E0CA0">
        <w:rPr>
          <w:bCs/>
          <w:szCs w:val="24"/>
        </w:rPr>
        <w:t>allows Member States to maintain in respect of their national territory</w:t>
      </w:r>
      <w:r w:rsidR="00C60C00" w:rsidRPr="000E0CA0">
        <w:rPr>
          <w:bCs/>
          <w:szCs w:val="24"/>
        </w:rPr>
        <w:t>:</w:t>
      </w:r>
    </w:p>
    <w:p w14:paraId="6CA42A61" w14:textId="77777777" w:rsidR="00FC6370" w:rsidRPr="000E0CA0" w:rsidRDefault="00FC6370" w:rsidP="002D37BA">
      <w:pPr>
        <w:pStyle w:val="Quote"/>
        <w:rPr>
          <w:bCs/>
          <w:szCs w:val="24"/>
        </w:rPr>
      </w:pPr>
      <w:r w:rsidRPr="000E0CA0">
        <w:rPr>
          <w:bCs/>
          <w:szCs w:val="24"/>
        </w:rPr>
        <w:t>“… prohibitions or restrictions on imports, exports or goods in transit justified on grounds of …</w:t>
      </w:r>
      <w:r w:rsidRPr="000E0CA0">
        <w:rPr>
          <w:bCs/>
          <w:i/>
          <w:iCs/>
          <w:szCs w:val="24"/>
        </w:rPr>
        <w:t>the protection of national treasures possessing artistic, historic</w:t>
      </w:r>
      <w:r w:rsidRPr="000E0CA0">
        <w:rPr>
          <w:bCs/>
          <w:szCs w:val="24"/>
        </w:rPr>
        <w:t xml:space="preserve"> or archaeological value….  </w:t>
      </w:r>
    </w:p>
    <w:p w14:paraId="70FABA5B" w14:textId="77777777" w:rsidR="00FC6370" w:rsidRPr="000E0CA0" w:rsidRDefault="00FC6370" w:rsidP="002D37BA">
      <w:pPr>
        <w:pStyle w:val="Quote"/>
        <w:rPr>
          <w:bCs/>
          <w:szCs w:val="24"/>
        </w:rPr>
      </w:pPr>
      <w:r w:rsidRPr="000E0CA0">
        <w:rPr>
          <w:bCs/>
          <w:szCs w:val="24"/>
        </w:rPr>
        <w:t xml:space="preserve">Such prohibitions or restrictions shall not, however, constitute a means of arbitrary discrimination or a disguised restriction on trade between Member States.” </w:t>
      </w:r>
    </w:p>
    <w:p w14:paraId="5DCC1D48" w14:textId="77777777" w:rsidR="00267E86" w:rsidRPr="000E0CA0" w:rsidRDefault="00267E86" w:rsidP="002D37BA">
      <w:pPr>
        <w:pStyle w:val="ParaLevel1"/>
        <w:numPr>
          <w:ilvl w:val="0"/>
          <w:numId w:val="0"/>
        </w:numPr>
        <w:ind w:left="862"/>
        <w:rPr>
          <w:bCs/>
          <w:szCs w:val="24"/>
        </w:rPr>
      </w:pPr>
      <w:r w:rsidRPr="000E0CA0">
        <w:rPr>
          <w:bCs/>
          <w:szCs w:val="24"/>
        </w:rPr>
        <w:tab/>
      </w:r>
      <w:r w:rsidRPr="000E0CA0">
        <w:rPr>
          <w:bCs/>
          <w:szCs w:val="24"/>
        </w:rPr>
        <w:tab/>
      </w:r>
      <w:r w:rsidRPr="000E0CA0">
        <w:rPr>
          <w:bCs/>
          <w:szCs w:val="24"/>
        </w:rPr>
        <w:tab/>
      </w:r>
      <w:r w:rsidRPr="000E0CA0">
        <w:rPr>
          <w:bCs/>
          <w:szCs w:val="24"/>
        </w:rPr>
        <w:tab/>
        <w:t>(emphasis added)</w:t>
      </w:r>
    </w:p>
    <w:p w14:paraId="7A8C4678" w14:textId="6227ABAB" w:rsidR="00D94BF9" w:rsidRPr="000E0CA0" w:rsidRDefault="00661974" w:rsidP="002D37BA">
      <w:pPr>
        <w:pStyle w:val="ParaLevel1"/>
        <w:numPr>
          <w:ilvl w:val="0"/>
          <w:numId w:val="13"/>
        </w:numPr>
        <w:ind w:left="567" w:hanging="567"/>
        <w:rPr>
          <w:bCs/>
          <w:szCs w:val="24"/>
        </w:rPr>
      </w:pPr>
      <w:r w:rsidRPr="000E0CA0">
        <w:rPr>
          <w:bCs/>
          <w:szCs w:val="24"/>
        </w:rPr>
        <w:t xml:space="preserve">The third category of provisions are those relied upon </w:t>
      </w:r>
      <w:r w:rsidR="00267E86" w:rsidRPr="000E0CA0">
        <w:rPr>
          <w:bCs/>
          <w:szCs w:val="24"/>
        </w:rPr>
        <w:t xml:space="preserve">by the legislature </w:t>
      </w:r>
      <w:r w:rsidRPr="000E0CA0">
        <w:rPr>
          <w:bCs/>
          <w:szCs w:val="24"/>
        </w:rPr>
        <w:t xml:space="preserve">as the </w:t>
      </w:r>
      <w:r w:rsidR="009C1DE1" w:rsidRPr="000E0CA0">
        <w:rPr>
          <w:bCs/>
          <w:szCs w:val="24"/>
        </w:rPr>
        <w:t xml:space="preserve">legal basis or </w:t>
      </w:r>
      <w:r w:rsidRPr="000E0CA0">
        <w:rPr>
          <w:bCs/>
          <w:szCs w:val="24"/>
        </w:rPr>
        <w:t xml:space="preserve">vires </w:t>
      </w:r>
      <w:r w:rsidR="009C1DE1" w:rsidRPr="000E0CA0">
        <w:rPr>
          <w:bCs/>
          <w:szCs w:val="24"/>
        </w:rPr>
        <w:t xml:space="preserve">of the </w:t>
      </w:r>
      <w:r w:rsidR="00235831" w:rsidRPr="000E0CA0">
        <w:rPr>
          <w:bCs/>
          <w:szCs w:val="24"/>
        </w:rPr>
        <w:t xml:space="preserve">measures of secondary law </w:t>
      </w:r>
      <w:r w:rsidRPr="000E0CA0">
        <w:rPr>
          <w:bCs/>
          <w:szCs w:val="24"/>
        </w:rPr>
        <w:t xml:space="preserve">on the regulation of trade in cultural items. In this case there are two pieces of </w:t>
      </w:r>
      <w:r w:rsidR="00D31B1C">
        <w:rPr>
          <w:bCs/>
          <w:szCs w:val="24"/>
        </w:rPr>
        <w:t xml:space="preserve">EU </w:t>
      </w:r>
      <w:r w:rsidRPr="000E0CA0">
        <w:rPr>
          <w:bCs/>
          <w:szCs w:val="24"/>
        </w:rPr>
        <w:t xml:space="preserve">subordinate legislation </w:t>
      </w:r>
      <w:r w:rsidR="009C1DE1" w:rsidRPr="000E0CA0">
        <w:rPr>
          <w:bCs/>
          <w:szCs w:val="24"/>
        </w:rPr>
        <w:t>in</w:t>
      </w:r>
      <w:r w:rsidRPr="000E0CA0">
        <w:rPr>
          <w:bCs/>
          <w:szCs w:val="24"/>
        </w:rPr>
        <w:t xml:space="preserve"> issue. They cite Articles </w:t>
      </w:r>
      <w:r w:rsidR="009A0E19" w:rsidRPr="000E0CA0">
        <w:rPr>
          <w:bCs/>
          <w:szCs w:val="24"/>
        </w:rPr>
        <w:t>114 and 207</w:t>
      </w:r>
      <w:r w:rsidR="00235831" w:rsidRPr="000E0CA0">
        <w:rPr>
          <w:bCs/>
          <w:szCs w:val="24"/>
        </w:rPr>
        <w:t xml:space="preserve"> TFEU as their legal bas</w:t>
      </w:r>
      <w:r w:rsidR="00C901D4">
        <w:rPr>
          <w:bCs/>
          <w:szCs w:val="24"/>
        </w:rPr>
        <w:t>e</w:t>
      </w:r>
      <w:r w:rsidR="00235831" w:rsidRPr="000E0CA0">
        <w:rPr>
          <w:bCs/>
          <w:szCs w:val="24"/>
        </w:rPr>
        <w:t>s</w:t>
      </w:r>
      <w:r w:rsidRPr="000E0CA0">
        <w:rPr>
          <w:bCs/>
          <w:szCs w:val="24"/>
        </w:rPr>
        <w:t xml:space="preserve">. </w:t>
      </w:r>
      <w:r w:rsidR="009A0E19" w:rsidRPr="000E0CA0">
        <w:rPr>
          <w:bCs/>
          <w:szCs w:val="24"/>
        </w:rPr>
        <w:t>Both confer a power or competence to adopt measures of harmonisation.  But</w:t>
      </w:r>
      <w:r w:rsidR="007E31FB" w:rsidRPr="000E0CA0">
        <w:rPr>
          <w:bCs/>
          <w:szCs w:val="24"/>
        </w:rPr>
        <w:t xml:space="preserve"> s</w:t>
      </w:r>
      <w:r w:rsidR="00BC4FAA" w:rsidRPr="000E0CA0">
        <w:rPr>
          <w:bCs/>
          <w:szCs w:val="24"/>
        </w:rPr>
        <w:t xml:space="preserve">imply </w:t>
      </w:r>
      <w:r w:rsidR="007E31FB" w:rsidRPr="000E0CA0">
        <w:rPr>
          <w:bCs/>
          <w:szCs w:val="24"/>
        </w:rPr>
        <w:t>because the E</w:t>
      </w:r>
      <w:r w:rsidR="00BC4FAA" w:rsidRPr="000E0CA0">
        <w:rPr>
          <w:bCs/>
          <w:szCs w:val="24"/>
        </w:rPr>
        <w:t>U</w:t>
      </w:r>
      <w:r w:rsidR="007E31FB" w:rsidRPr="000E0CA0">
        <w:rPr>
          <w:bCs/>
          <w:szCs w:val="24"/>
        </w:rPr>
        <w:t xml:space="preserve"> has jurisdiction to enact </w:t>
      </w:r>
      <w:r w:rsidR="00BC4FAA" w:rsidRPr="000E0CA0">
        <w:rPr>
          <w:bCs/>
          <w:szCs w:val="24"/>
        </w:rPr>
        <w:t>legislation</w:t>
      </w:r>
      <w:r w:rsidR="007E31FB" w:rsidRPr="000E0CA0">
        <w:rPr>
          <w:bCs/>
          <w:szCs w:val="24"/>
        </w:rPr>
        <w:t xml:space="preserve"> does not indicate that it </w:t>
      </w:r>
      <w:r w:rsidR="00BC4FAA" w:rsidRPr="000E0CA0">
        <w:rPr>
          <w:bCs/>
          <w:szCs w:val="24"/>
        </w:rPr>
        <w:t xml:space="preserve">has competence to </w:t>
      </w:r>
      <w:r w:rsidR="007E31FB" w:rsidRPr="000E0CA0">
        <w:rPr>
          <w:bCs/>
          <w:szCs w:val="24"/>
        </w:rPr>
        <w:t xml:space="preserve">legislate </w:t>
      </w:r>
      <w:r w:rsidR="007E31FB" w:rsidRPr="000E0CA0">
        <w:rPr>
          <w:bCs/>
          <w:i/>
          <w:iCs/>
          <w:szCs w:val="24"/>
        </w:rPr>
        <w:t>fully</w:t>
      </w:r>
      <w:r w:rsidR="00235831" w:rsidRPr="000E0CA0">
        <w:rPr>
          <w:bCs/>
          <w:szCs w:val="24"/>
        </w:rPr>
        <w:t xml:space="preserve"> to occupy</w:t>
      </w:r>
      <w:r w:rsidR="007E31FB" w:rsidRPr="000E0CA0">
        <w:rPr>
          <w:bCs/>
          <w:szCs w:val="24"/>
        </w:rPr>
        <w:t xml:space="preserve"> a fi</w:t>
      </w:r>
      <w:r w:rsidR="009A0E19" w:rsidRPr="000E0CA0">
        <w:rPr>
          <w:bCs/>
          <w:szCs w:val="24"/>
        </w:rPr>
        <w:t>eld</w:t>
      </w:r>
      <w:r w:rsidR="007E31FB" w:rsidRPr="000E0CA0">
        <w:rPr>
          <w:bCs/>
          <w:szCs w:val="24"/>
        </w:rPr>
        <w:t>.  T</w:t>
      </w:r>
      <w:r w:rsidR="00BC4FAA" w:rsidRPr="000E0CA0">
        <w:rPr>
          <w:bCs/>
          <w:szCs w:val="24"/>
        </w:rPr>
        <w:t>h</w:t>
      </w:r>
      <w:r w:rsidR="007E31FB" w:rsidRPr="000E0CA0">
        <w:rPr>
          <w:bCs/>
          <w:szCs w:val="24"/>
        </w:rPr>
        <w:t xml:space="preserve">e nature and extent of </w:t>
      </w:r>
      <w:r w:rsidR="009A0E19" w:rsidRPr="000E0CA0">
        <w:rPr>
          <w:bCs/>
          <w:szCs w:val="24"/>
        </w:rPr>
        <w:t>the competence</w:t>
      </w:r>
      <w:r w:rsidR="00235831" w:rsidRPr="000E0CA0">
        <w:rPr>
          <w:bCs/>
          <w:szCs w:val="24"/>
        </w:rPr>
        <w:t xml:space="preserve"> of the Union to legislate is </w:t>
      </w:r>
      <w:r w:rsidR="007E31FB" w:rsidRPr="000E0CA0">
        <w:rPr>
          <w:bCs/>
          <w:szCs w:val="24"/>
        </w:rPr>
        <w:t>affected</w:t>
      </w:r>
      <w:r w:rsidR="00BC4FAA" w:rsidRPr="000E0CA0">
        <w:rPr>
          <w:bCs/>
          <w:szCs w:val="24"/>
        </w:rPr>
        <w:t xml:space="preserve">, and </w:t>
      </w:r>
      <w:r w:rsidR="009A0E19" w:rsidRPr="000E0CA0">
        <w:rPr>
          <w:bCs/>
          <w:szCs w:val="24"/>
        </w:rPr>
        <w:t>circumscribed</w:t>
      </w:r>
      <w:r w:rsidR="00235831" w:rsidRPr="000E0CA0">
        <w:rPr>
          <w:bCs/>
          <w:szCs w:val="24"/>
        </w:rPr>
        <w:t>,</w:t>
      </w:r>
      <w:r w:rsidR="009A0E19" w:rsidRPr="000E0CA0">
        <w:rPr>
          <w:bCs/>
          <w:szCs w:val="24"/>
        </w:rPr>
        <w:t xml:space="preserve"> </w:t>
      </w:r>
      <w:r w:rsidR="007E31FB" w:rsidRPr="000E0CA0">
        <w:rPr>
          <w:bCs/>
          <w:szCs w:val="24"/>
        </w:rPr>
        <w:t xml:space="preserve">by the </w:t>
      </w:r>
      <w:r w:rsidR="009A0E19" w:rsidRPr="000E0CA0">
        <w:rPr>
          <w:bCs/>
          <w:szCs w:val="24"/>
        </w:rPr>
        <w:t>T</w:t>
      </w:r>
      <w:r w:rsidR="00BC4FAA" w:rsidRPr="000E0CA0">
        <w:rPr>
          <w:bCs/>
          <w:szCs w:val="24"/>
        </w:rPr>
        <w:t xml:space="preserve">reaty </w:t>
      </w:r>
      <w:r w:rsidR="009A0E19" w:rsidRPr="000E0CA0">
        <w:rPr>
          <w:bCs/>
          <w:szCs w:val="24"/>
        </w:rPr>
        <w:t xml:space="preserve">provisions </w:t>
      </w:r>
      <w:r w:rsidR="00BC4FAA" w:rsidRPr="000E0CA0">
        <w:rPr>
          <w:bCs/>
          <w:szCs w:val="24"/>
        </w:rPr>
        <w:t xml:space="preserve">referred to above </w:t>
      </w:r>
      <w:r w:rsidR="009A0E19" w:rsidRPr="000E0CA0">
        <w:rPr>
          <w:bCs/>
          <w:szCs w:val="24"/>
        </w:rPr>
        <w:t xml:space="preserve">which, in the case of cultural goods, include </w:t>
      </w:r>
      <w:r w:rsidR="00BC4FAA" w:rsidRPr="000E0CA0">
        <w:rPr>
          <w:bCs/>
          <w:szCs w:val="24"/>
        </w:rPr>
        <w:t>Articles 6 and 167</w:t>
      </w:r>
      <w:r w:rsidR="00235831" w:rsidRPr="000E0CA0">
        <w:rPr>
          <w:bCs/>
          <w:szCs w:val="24"/>
        </w:rPr>
        <w:t xml:space="preserve"> TFEU</w:t>
      </w:r>
      <w:r w:rsidR="00BC4FAA" w:rsidRPr="000E0CA0">
        <w:rPr>
          <w:bCs/>
          <w:szCs w:val="24"/>
        </w:rPr>
        <w:t xml:space="preserve">. </w:t>
      </w:r>
    </w:p>
    <w:p w14:paraId="72785856" w14:textId="77777777" w:rsidR="00671F00" w:rsidRPr="000E0CA0" w:rsidRDefault="00671F00" w:rsidP="002D37BA">
      <w:pPr>
        <w:pStyle w:val="ParaLevel1"/>
        <w:numPr>
          <w:ilvl w:val="0"/>
          <w:numId w:val="26"/>
        </w:numPr>
        <w:ind w:hanging="513"/>
        <w:rPr>
          <w:b/>
          <w:bCs/>
          <w:i/>
          <w:iCs/>
          <w:szCs w:val="24"/>
        </w:rPr>
      </w:pPr>
      <w:r w:rsidRPr="000E0CA0">
        <w:rPr>
          <w:b/>
          <w:bCs/>
          <w:i/>
          <w:iCs/>
          <w:szCs w:val="24"/>
        </w:rPr>
        <w:lastRenderedPageBreak/>
        <w:t xml:space="preserve">The </w:t>
      </w:r>
      <w:r w:rsidR="00BE6A21" w:rsidRPr="000E0CA0">
        <w:rPr>
          <w:b/>
          <w:bCs/>
          <w:i/>
          <w:iCs/>
          <w:szCs w:val="24"/>
        </w:rPr>
        <w:t xml:space="preserve">2009 </w:t>
      </w:r>
      <w:r w:rsidRPr="000E0CA0">
        <w:rPr>
          <w:b/>
          <w:bCs/>
          <w:i/>
          <w:iCs/>
          <w:szCs w:val="24"/>
        </w:rPr>
        <w:t>Export Regulation</w:t>
      </w:r>
    </w:p>
    <w:p w14:paraId="0DE1C711" w14:textId="77777777" w:rsidR="008E2BAB" w:rsidRPr="000E0CA0" w:rsidRDefault="00267E86" w:rsidP="002D37BA">
      <w:pPr>
        <w:pStyle w:val="ParaLevel1"/>
        <w:numPr>
          <w:ilvl w:val="0"/>
          <w:numId w:val="13"/>
        </w:numPr>
        <w:ind w:left="567" w:hanging="567"/>
        <w:rPr>
          <w:bCs/>
          <w:i/>
          <w:iCs/>
          <w:szCs w:val="24"/>
        </w:rPr>
      </w:pPr>
      <w:r w:rsidRPr="000E0CA0">
        <w:rPr>
          <w:bCs/>
          <w:szCs w:val="24"/>
        </w:rPr>
        <w:t xml:space="preserve">I turn </w:t>
      </w:r>
      <w:r w:rsidR="00485055" w:rsidRPr="000E0CA0">
        <w:rPr>
          <w:bCs/>
          <w:szCs w:val="24"/>
        </w:rPr>
        <w:t>n</w:t>
      </w:r>
      <w:r w:rsidRPr="000E0CA0">
        <w:rPr>
          <w:bCs/>
          <w:szCs w:val="24"/>
        </w:rPr>
        <w:t xml:space="preserve">ow to the relevant subordinate EU legislation. The first piece of </w:t>
      </w:r>
      <w:r w:rsidR="00671F00" w:rsidRPr="000E0CA0">
        <w:rPr>
          <w:bCs/>
          <w:szCs w:val="24"/>
        </w:rPr>
        <w:t xml:space="preserve">legislation was Council </w:t>
      </w:r>
      <w:r w:rsidR="00BE6A21" w:rsidRPr="000E0CA0">
        <w:rPr>
          <w:bCs/>
          <w:szCs w:val="24"/>
        </w:rPr>
        <w:t>R</w:t>
      </w:r>
      <w:r w:rsidR="00671F00" w:rsidRPr="000E0CA0">
        <w:rPr>
          <w:bCs/>
          <w:szCs w:val="24"/>
        </w:rPr>
        <w:t>egulation 39</w:t>
      </w:r>
      <w:r w:rsidR="00B67E11" w:rsidRPr="000E0CA0">
        <w:rPr>
          <w:bCs/>
          <w:szCs w:val="24"/>
        </w:rPr>
        <w:t>1</w:t>
      </w:r>
      <w:r w:rsidR="00671F00" w:rsidRPr="000E0CA0">
        <w:rPr>
          <w:bCs/>
          <w:szCs w:val="24"/>
        </w:rPr>
        <w:t>1/92 of 9</w:t>
      </w:r>
      <w:r w:rsidR="00671F00" w:rsidRPr="000E0CA0">
        <w:rPr>
          <w:bCs/>
          <w:szCs w:val="24"/>
          <w:vertAlign w:val="superscript"/>
        </w:rPr>
        <w:t>th</w:t>
      </w:r>
      <w:r w:rsidR="00671F00" w:rsidRPr="000E0CA0">
        <w:rPr>
          <w:bCs/>
          <w:szCs w:val="24"/>
        </w:rPr>
        <w:t xml:space="preserve"> December </w:t>
      </w:r>
      <w:r w:rsidR="00235831" w:rsidRPr="000E0CA0">
        <w:rPr>
          <w:bCs/>
          <w:szCs w:val="24"/>
        </w:rPr>
        <w:t>1</w:t>
      </w:r>
      <w:r w:rsidR="00671F00" w:rsidRPr="000E0CA0">
        <w:rPr>
          <w:bCs/>
          <w:szCs w:val="24"/>
        </w:rPr>
        <w:t>99</w:t>
      </w:r>
      <w:r w:rsidR="008E2BAB" w:rsidRPr="000E0CA0">
        <w:rPr>
          <w:bCs/>
          <w:szCs w:val="24"/>
        </w:rPr>
        <w:t>2</w:t>
      </w:r>
      <w:r w:rsidR="00235831" w:rsidRPr="000E0CA0">
        <w:rPr>
          <w:bCs/>
          <w:szCs w:val="24"/>
        </w:rPr>
        <w:t xml:space="preserve">.  The </w:t>
      </w:r>
      <w:r w:rsidR="009A0E19" w:rsidRPr="000E0CA0">
        <w:rPr>
          <w:bCs/>
          <w:szCs w:val="24"/>
        </w:rPr>
        <w:t xml:space="preserve">legal basis </w:t>
      </w:r>
      <w:r w:rsidR="00235831" w:rsidRPr="000E0CA0">
        <w:rPr>
          <w:bCs/>
          <w:szCs w:val="24"/>
        </w:rPr>
        <w:t>was</w:t>
      </w:r>
      <w:r w:rsidR="00AA3B16" w:rsidRPr="000E0CA0">
        <w:rPr>
          <w:bCs/>
          <w:szCs w:val="24"/>
        </w:rPr>
        <w:t xml:space="preserve"> </w:t>
      </w:r>
      <w:r w:rsidR="00B84905" w:rsidRPr="000E0CA0">
        <w:rPr>
          <w:bCs/>
          <w:szCs w:val="24"/>
        </w:rPr>
        <w:t>A</w:t>
      </w:r>
      <w:r w:rsidR="008E2BAB" w:rsidRPr="000E0CA0">
        <w:rPr>
          <w:bCs/>
          <w:szCs w:val="24"/>
        </w:rPr>
        <w:t xml:space="preserve">rticle 113 </w:t>
      </w:r>
      <w:r w:rsidR="00B84905" w:rsidRPr="000E0CA0">
        <w:rPr>
          <w:bCs/>
          <w:szCs w:val="24"/>
        </w:rPr>
        <w:t>E</w:t>
      </w:r>
      <w:r w:rsidR="008E2BAB" w:rsidRPr="000E0CA0">
        <w:rPr>
          <w:bCs/>
          <w:szCs w:val="24"/>
        </w:rPr>
        <w:t>EC</w:t>
      </w:r>
      <w:r w:rsidR="00643DCB" w:rsidRPr="000E0CA0">
        <w:rPr>
          <w:bCs/>
          <w:szCs w:val="24"/>
        </w:rPr>
        <w:t xml:space="preserve"> which authorises the adoption of uniform EU wide measures in the field of the common commercial policy. </w:t>
      </w:r>
    </w:p>
    <w:p w14:paraId="299E9957" w14:textId="77777777" w:rsidR="00643DCB" w:rsidRPr="000E0CA0" w:rsidRDefault="004F47D3" w:rsidP="002D37BA">
      <w:pPr>
        <w:pStyle w:val="ParaLevel1"/>
        <w:numPr>
          <w:ilvl w:val="0"/>
          <w:numId w:val="13"/>
        </w:numPr>
        <w:ind w:left="567" w:hanging="567"/>
        <w:rPr>
          <w:bCs/>
          <w:i/>
          <w:iCs/>
          <w:szCs w:val="24"/>
        </w:rPr>
      </w:pPr>
      <w:r w:rsidRPr="000E0CA0">
        <w:rPr>
          <w:bCs/>
          <w:szCs w:val="24"/>
        </w:rPr>
        <w:t xml:space="preserve">This </w:t>
      </w:r>
      <w:r w:rsidR="00235831" w:rsidRPr="000E0CA0">
        <w:rPr>
          <w:bCs/>
          <w:szCs w:val="24"/>
        </w:rPr>
        <w:t xml:space="preserve">measure </w:t>
      </w:r>
      <w:r w:rsidRPr="000E0CA0">
        <w:rPr>
          <w:bCs/>
          <w:szCs w:val="24"/>
        </w:rPr>
        <w:t xml:space="preserve">was </w:t>
      </w:r>
      <w:r w:rsidR="00671F00" w:rsidRPr="000E0CA0">
        <w:rPr>
          <w:bCs/>
          <w:szCs w:val="24"/>
        </w:rPr>
        <w:t>subsequently amended and codified in 2009 in the form of Regulation 116/2009 of 18</w:t>
      </w:r>
      <w:r w:rsidR="00671F00" w:rsidRPr="000E0CA0">
        <w:rPr>
          <w:bCs/>
          <w:szCs w:val="24"/>
          <w:vertAlign w:val="superscript"/>
        </w:rPr>
        <w:t>th</w:t>
      </w:r>
      <w:r w:rsidR="00671F00" w:rsidRPr="000E0CA0">
        <w:rPr>
          <w:bCs/>
          <w:szCs w:val="24"/>
        </w:rPr>
        <w:t xml:space="preserve"> December 200</w:t>
      </w:r>
      <w:r w:rsidR="00B84905" w:rsidRPr="000E0CA0">
        <w:rPr>
          <w:bCs/>
          <w:szCs w:val="24"/>
        </w:rPr>
        <w:t>8</w:t>
      </w:r>
      <w:r w:rsidR="00267E86" w:rsidRPr="000E0CA0">
        <w:rPr>
          <w:bCs/>
          <w:szCs w:val="24"/>
        </w:rPr>
        <w:t xml:space="preserve"> (“</w:t>
      </w:r>
      <w:r w:rsidR="00267E86" w:rsidRPr="000E0CA0">
        <w:rPr>
          <w:bCs/>
          <w:i/>
          <w:iCs/>
          <w:szCs w:val="24"/>
        </w:rPr>
        <w:t>the Export Regulation</w:t>
      </w:r>
      <w:r w:rsidR="00267E86" w:rsidRPr="000E0CA0">
        <w:rPr>
          <w:bCs/>
          <w:szCs w:val="24"/>
        </w:rPr>
        <w:t>”)</w:t>
      </w:r>
      <w:r w:rsidR="00671F00" w:rsidRPr="000E0CA0">
        <w:rPr>
          <w:bCs/>
          <w:szCs w:val="24"/>
        </w:rPr>
        <w:t xml:space="preserve">, which is the measure which now applies. It was adopted under Article 133 </w:t>
      </w:r>
      <w:r w:rsidR="00B67E11" w:rsidRPr="000E0CA0">
        <w:rPr>
          <w:bCs/>
          <w:szCs w:val="24"/>
        </w:rPr>
        <w:t xml:space="preserve">EC </w:t>
      </w:r>
      <w:r w:rsidR="00B84905" w:rsidRPr="000E0CA0">
        <w:rPr>
          <w:bCs/>
          <w:szCs w:val="24"/>
        </w:rPr>
        <w:t>which was the successor (and is in somewhat different terms) to Article 113</w:t>
      </w:r>
      <w:r w:rsidR="00320316">
        <w:rPr>
          <w:bCs/>
          <w:szCs w:val="24"/>
        </w:rPr>
        <w:t xml:space="preserve"> </w:t>
      </w:r>
      <w:r w:rsidR="00B84905" w:rsidRPr="000E0CA0">
        <w:rPr>
          <w:bCs/>
          <w:szCs w:val="24"/>
        </w:rPr>
        <w:t>EEC in the field of the common commercial policy.  It is now set out in</w:t>
      </w:r>
      <w:r w:rsidR="00B67E11" w:rsidRPr="000E0CA0">
        <w:rPr>
          <w:bCs/>
          <w:szCs w:val="24"/>
        </w:rPr>
        <w:t xml:space="preserve"> Article </w:t>
      </w:r>
      <w:r w:rsidR="00643DCB" w:rsidRPr="000E0CA0">
        <w:rPr>
          <w:bCs/>
          <w:szCs w:val="24"/>
        </w:rPr>
        <w:t>207 TFEU which permits common action in the field of the common commercial policy. Under Article 207(1) the policy is based upon “</w:t>
      </w:r>
      <w:r w:rsidR="00643DCB" w:rsidRPr="000E0CA0">
        <w:rPr>
          <w:bCs/>
          <w:i/>
          <w:iCs/>
          <w:szCs w:val="24"/>
          <w:shd w:val="clear" w:color="auto" w:fill="FFFFFF"/>
        </w:rPr>
        <w:t>uniform principles</w:t>
      </w:r>
      <w:r w:rsidR="00643DCB" w:rsidRPr="000E0CA0">
        <w:rPr>
          <w:bCs/>
          <w:szCs w:val="24"/>
          <w:shd w:val="clear" w:color="auto" w:fill="FFFFFF"/>
        </w:rPr>
        <w:t>”.  Under Article 207(6): “</w:t>
      </w:r>
      <w:r w:rsidR="00643DCB" w:rsidRPr="000E0CA0">
        <w:rPr>
          <w:bCs/>
          <w:i/>
          <w:iCs/>
          <w:szCs w:val="24"/>
          <w:shd w:val="clear" w:color="auto" w:fill="FFFFFF"/>
        </w:rPr>
        <w:t>The exercise of the competences conferred by this Article in the field of the common commercial policy shall not affect the delimitation of competences between the Union and the Member States, and shall not lead to harmonisation of legislative or regulatory provisions of the Member States in so far as the Treaties exclude such harmonisation</w:t>
      </w:r>
      <w:r w:rsidR="00643DCB" w:rsidRPr="000E0CA0">
        <w:rPr>
          <w:bCs/>
          <w:szCs w:val="24"/>
          <w:shd w:val="clear" w:color="auto" w:fill="FFFFFF"/>
        </w:rPr>
        <w:t xml:space="preserve">.”  The exercise of </w:t>
      </w:r>
      <w:r w:rsidR="00C901D4">
        <w:rPr>
          <w:bCs/>
          <w:szCs w:val="24"/>
          <w:shd w:val="clear" w:color="auto" w:fill="FFFFFF"/>
        </w:rPr>
        <w:t xml:space="preserve">such </w:t>
      </w:r>
      <w:r w:rsidR="00643DCB" w:rsidRPr="000E0CA0">
        <w:rPr>
          <w:bCs/>
          <w:szCs w:val="24"/>
          <w:shd w:val="clear" w:color="auto" w:fill="FFFFFF"/>
        </w:rPr>
        <w:t>powers of harmonisation must be compatible with the broader allocation of competences as between the Union and the Member States.  Put another way</w:t>
      </w:r>
      <w:r w:rsidR="00320316">
        <w:rPr>
          <w:bCs/>
          <w:szCs w:val="24"/>
          <w:shd w:val="clear" w:color="auto" w:fill="FFFFFF"/>
        </w:rPr>
        <w:t>,</w:t>
      </w:r>
      <w:r w:rsidR="00643DCB" w:rsidRPr="000E0CA0">
        <w:rPr>
          <w:bCs/>
          <w:szCs w:val="24"/>
          <w:shd w:val="clear" w:color="auto" w:fill="FFFFFF"/>
        </w:rPr>
        <w:t xml:space="preserve"> the Union is not competent to legislate in a manner which lies outside of its competence.  </w:t>
      </w:r>
    </w:p>
    <w:p w14:paraId="446D60FE" w14:textId="77777777" w:rsidR="001F4065" w:rsidRDefault="00C57956" w:rsidP="002D37BA">
      <w:pPr>
        <w:pStyle w:val="ParaLevel1"/>
        <w:numPr>
          <w:ilvl w:val="0"/>
          <w:numId w:val="13"/>
        </w:numPr>
        <w:ind w:left="567" w:hanging="578"/>
        <w:rPr>
          <w:bCs/>
          <w:szCs w:val="24"/>
        </w:rPr>
      </w:pPr>
      <w:r w:rsidRPr="000E0CA0">
        <w:rPr>
          <w:bCs/>
          <w:szCs w:val="24"/>
        </w:rPr>
        <w:t xml:space="preserve">The purpose of the Regulation, as referred to in recital 1, focuses upon the need for rules on trade </w:t>
      </w:r>
      <w:r w:rsidRPr="000E0CA0">
        <w:rPr>
          <w:bCs/>
          <w:i/>
          <w:szCs w:val="24"/>
          <w:u w:val="single"/>
        </w:rPr>
        <w:t>with third countries</w:t>
      </w:r>
      <w:r w:rsidRPr="000E0CA0">
        <w:rPr>
          <w:bCs/>
          <w:szCs w:val="24"/>
        </w:rPr>
        <w:t xml:space="preserve"> of cultural goods</w:t>
      </w:r>
      <w:r w:rsidR="004F47D3" w:rsidRPr="000E0CA0">
        <w:rPr>
          <w:bCs/>
          <w:szCs w:val="24"/>
        </w:rPr>
        <w:t xml:space="preserve"> and sets out measures ensuring </w:t>
      </w:r>
      <w:r w:rsidRPr="000E0CA0">
        <w:rPr>
          <w:bCs/>
          <w:szCs w:val="24"/>
        </w:rPr>
        <w:t xml:space="preserve">that exports of cultural goods </w:t>
      </w:r>
      <w:r w:rsidR="00235831" w:rsidRPr="000E0CA0">
        <w:rPr>
          <w:bCs/>
          <w:szCs w:val="24"/>
        </w:rPr>
        <w:t xml:space="preserve">from the EU </w:t>
      </w:r>
      <w:r w:rsidRPr="000E0CA0">
        <w:rPr>
          <w:bCs/>
          <w:szCs w:val="24"/>
        </w:rPr>
        <w:t xml:space="preserve">are subject to uniform controls at the </w:t>
      </w:r>
      <w:r w:rsidR="00320316">
        <w:rPr>
          <w:bCs/>
          <w:szCs w:val="24"/>
        </w:rPr>
        <w:t>Union</w:t>
      </w:r>
      <w:r w:rsidRPr="000E0CA0">
        <w:rPr>
          <w:bCs/>
          <w:szCs w:val="24"/>
        </w:rPr>
        <w:t>'s external borders.</w:t>
      </w:r>
      <w:r w:rsidR="001F4065" w:rsidRPr="000E0CA0">
        <w:rPr>
          <w:bCs/>
          <w:szCs w:val="24"/>
        </w:rPr>
        <w:t xml:space="preserve"> As is explained below the refe</w:t>
      </w:r>
      <w:r w:rsidR="00320316">
        <w:rPr>
          <w:bCs/>
          <w:szCs w:val="24"/>
        </w:rPr>
        <w:t>re</w:t>
      </w:r>
      <w:r w:rsidR="001F4065" w:rsidRPr="000E0CA0">
        <w:rPr>
          <w:bCs/>
          <w:szCs w:val="24"/>
        </w:rPr>
        <w:t>nce to “</w:t>
      </w:r>
      <w:r w:rsidR="001F4065" w:rsidRPr="000E0CA0">
        <w:rPr>
          <w:bCs/>
          <w:i/>
          <w:iCs/>
          <w:szCs w:val="24"/>
        </w:rPr>
        <w:t>uniform</w:t>
      </w:r>
      <w:r w:rsidR="001F4065" w:rsidRPr="000E0CA0">
        <w:rPr>
          <w:bCs/>
          <w:szCs w:val="24"/>
        </w:rPr>
        <w:t>” does not</w:t>
      </w:r>
      <w:r w:rsidR="00235831" w:rsidRPr="000E0CA0">
        <w:rPr>
          <w:bCs/>
          <w:szCs w:val="24"/>
        </w:rPr>
        <w:t xml:space="preserve"> </w:t>
      </w:r>
      <w:r w:rsidR="00B67E11" w:rsidRPr="000E0CA0">
        <w:rPr>
          <w:bCs/>
          <w:szCs w:val="24"/>
        </w:rPr>
        <w:t>necessarily imply</w:t>
      </w:r>
      <w:r w:rsidR="001F4065" w:rsidRPr="000E0CA0">
        <w:rPr>
          <w:bCs/>
          <w:szCs w:val="24"/>
        </w:rPr>
        <w:t xml:space="preserve"> a single, EU based, set of rules; but</w:t>
      </w:r>
      <w:r w:rsidR="00731B6E" w:rsidRPr="000E0CA0">
        <w:rPr>
          <w:bCs/>
          <w:szCs w:val="24"/>
        </w:rPr>
        <w:t xml:space="preserve"> can include </w:t>
      </w:r>
      <w:r w:rsidR="001F4065" w:rsidRPr="000E0CA0">
        <w:rPr>
          <w:bCs/>
          <w:szCs w:val="24"/>
        </w:rPr>
        <w:t>a</w:t>
      </w:r>
      <w:r w:rsidR="00B67E11" w:rsidRPr="000E0CA0">
        <w:rPr>
          <w:bCs/>
          <w:szCs w:val="24"/>
        </w:rPr>
        <w:t>n</w:t>
      </w:r>
      <w:r w:rsidR="001F4065" w:rsidRPr="000E0CA0">
        <w:rPr>
          <w:bCs/>
          <w:szCs w:val="24"/>
        </w:rPr>
        <w:t xml:space="preserve"> </w:t>
      </w:r>
      <w:r w:rsidR="00B67E11" w:rsidRPr="000E0CA0">
        <w:rPr>
          <w:bCs/>
          <w:szCs w:val="24"/>
        </w:rPr>
        <w:t xml:space="preserve">agreed set or suite of </w:t>
      </w:r>
      <w:r w:rsidR="00731B6E" w:rsidRPr="000E0CA0">
        <w:rPr>
          <w:bCs/>
          <w:szCs w:val="24"/>
        </w:rPr>
        <w:t xml:space="preserve">different </w:t>
      </w:r>
      <w:r w:rsidR="001F4065" w:rsidRPr="000E0CA0">
        <w:rPr>
          <w:bCs/>
          <w:szCs w:val="24"/>
        </w:rPr>
        <w:t>national law</w:t>
      </w:r>
      <w:r w:rsidR="00731B6E" w:rsidRPr="000E0CA0">
        <w:rPr>
          <w:bCs/>
          <w:szCs w:val="24"/>
        </w:rPr>
        <w:t>s</w:t>
      </w:r>
      <w:r w:rsidR="00B67E11" w:rsidRPr="000E0CA0">
        <w:rPr>
          <w:bCs/>
          <w:szCs w:val="24"/>
        </w:rPr>
        <w:t xml:space="preserve"> which, according to an allocation system, mean that only one </w:t>
      </w:r>
      <w:r w:rsidR="00144C16">
        <w:rPr>
          <w:bCs/>
          <w:szCs w:val="24"/>
        </w:rPr>
        <w:t xml:space="preserve">state regulates exports </w:t>
      </w:r>
      <w:r w:rsidR="00B67E11" w:rsidRPr="000E0CA0">
        <w:rPr>
          <w:bCs/>
          <w:szCs w:val="24"/>
        </w:rPr>
        <w:t>at any one ti</w:t>
      </w:r>
      <w:r w:rsidR="001D4FDA" w:rsidRPr="000E0CA0">
        <w:rPr>
          <w:bCs/>
          <w:szCs w:val="24"/>
        </w:rPr>
        <w:t>m</w:t>
      </w:r>
      <w:r w:rsidR="00B67E11" w:rsidRPr="000E0CA0">
        <w:rPr>
          <w:bCs/>
          <w:szCs w:val="24"/>
        </w:rPr>
        <w:t>e</w:t>
      </w:r>
      <w:r w:rsidR="001F4065" w:rsidRPr="000E0CA0">
        <w:rPr>
          <w:bCs/>
          <w:szCs w:val="24"/>
        </w:rPr>
        <w:t xml:space="preserve">. </w:t>
      </w:r>
    </w:p>
    <w:p w14:paraId="24AAD09B" w14:textId="77777777" w:rsidR="00C57956" w:rsidRPr="000E0CA0" w:rsidRDefault="00C57956" w:rsidP="002D37BA">
      <w:pPr>
        <w:pStyle w:val="ParaLevel1"/>
        <w:numPr>
          <w:ilvl w:val="0"/>
          <w:numId w:val="13"/>
        </w:numPr>
        <w:ind w:left="567" w:hanging="567"/>
        <w:rPr>
          <w:bCs/>
          <w:szCs w:val="24"/>
        </w:rPr>
      </w:pPr>
      <w:r w:rsidRPr="000E0CA0">
        <w:rPr>
          <w:bCs/>
          <w:szCs w:val="24"/>
        </w:rPr>
        <w:t xml:space="preserve">Recital 4 states: </w:t>
      </w:r>
    </w:p>
    <w:p w14:paraId="4811965C" w14:textId="77777777" w:rsidR="00C57956" w:rsidRPr="000E0CA0" w:rsidRDefault="00C57956" w:rsidP="002D37BA">
      <w:pPr>
        <w:pStyle w:val="Quote"/>
        <w:rPr>
          <w:bCs/>
          <w:szCs w:val="24"/>
        </w:rPr>
      </w:pPr>
      <w:r w:rsidRPr="000E0CA0">
        <w:rPr>
          <w:bCs/>
          <w:szCs w:val="24"/>
        </w:rPr>
        <w:t>“(4) Such a system should require the presentation of a licence issued by the competent Member State prior to the export of cultural goods covered by this Regulation. This necessitates a clear definition of the scope of such measures and the procedures for their implementation. The implementation of the system should be as simple and efficient as possible.”</w:t>
      </w:r>
    </w:p>
    <w:p w14:paraId="65C22F45" w14:textId="77777777" w:rsidR="004F47D3" w:rsidRPr="000E0CA0" w:rsidRDefault="00BC4FAA" w:rsidP="002D37BA">
      <w:pPr>
        <w:pStyle w:val="ParaLevel1"/>
        <w:numPr>
          <w:ilvl w:val="0"/>
          <w:numId w:val="13"/>
        </w:numPr>
        <w:ind w:left="567" w:hanging="567"/>
        <w:rPr>
          <w:bCs/>
          <w:szCs w:val="24"/>
        </w:rPr>
      </w:pPr>
      <w:r w:rsidRPr="000E0CA0">
        <w:rPr>
          <w:bCs/>
          <w:szCs w:val="24"/>
        </w:rPr>
        <w:t xml:space="preserve">The Regulation </w:t>
      </w:r>
      <w:r w:rsidR="00144C16">
        <w:rPr>
          <w:bCs/>
          <w:szCs w:val="24"/>
        </w:rPr>
        <w:t xml:space="preserve">imposes </w:t>
      </w:r>
      <w:r w:rsidRPr="000E0CA0">
        <w:rPr>
          <w:bCs/>
          <w:szCs w:val="24"/>
        </w:rPr>
        <w:t xml:space="preserve">upon Member States a duty to introduce export licences in relation to removal from the EU. </w:t>
      </w:r>
      <w:r w:rsidR="00083388" w:rsidRPr="000E0CA0">
        <w:rPr>
          <w:bCs/>
          <w:szCs w:val="24"/>
        </w:rPr>
        <w:t xml:space="preserve">It is not, primarily, about restrictions upon trade </w:t>
      </w:r>
      <w:r w:rsidR="00083388" w:rsidRPr="000E0CA0">
        <w:rPr>
          <w:bCs/>
          <w:i/>
          <w:szCs w:val="24"/>
        </w:rPr>
        <w:t>as between</w:t>
      </w:r>
      <w:r w:rsidR="00083388" w:rsidRPr="000E0CA0">
        <w:rPr>
          <w:bCs/>
          <w:szCs w:val="24"/>
        </w:rPr>
        <w:t xml:space="preserve"> the Member States. </w:t>
      </w:r>
      <w:r w:rsidR="004F47D3" w:rsidRPr="000E0CA0">
        <w:rPr>
          <w:bCs/>
          <w:szCs w:val="24"/>
        </w:rPr>
        <w:t xml:space="preserve">The basic model is </w:t>
      </w:r>
      <w:r w:rsidR="004F47D3" w:rsidRPr="000E0CA0">
        <w:rPr>
          <w:bCs/>
          <w:szCs w:val="24"/>
          <w:u w:val="single"/>
        </w:rPr>
        <w:t>not</w:t>
      </w:r>
      <w:r w:rsidR="004F47D3" w:rsidRPr="000E0CA0">
        <w:rPr>
          <w:bCs/>
          <w:szCs w:val="24"/>
        </w:rPr>
        <w:t xml:space="preserve"> to harmonise national laws but </w:t>
      </w:r>
      <w:r w:rsidR="00731B6E" w:rsidRPr="000E0CA0">
        <w:rPr>
          <w:bCs/>
          <w:szCs w:val="24"/>
        </w:rPr>
        <w:t xml:space="preserve">instead </w:t>
      </w:r>
      <w:r w:rsidR="004F47D3" w:rsidRPr="000E0CA0">
        <w:rPr>
          <w:bCs/>
          <w:szCs w:val="24"/>
        </w:rPr>
        <w:t xml:space="preserve">to set up a system for the allocation of responsibility to a single national competent authority whose task it </w:t>
      </w:r>
      <w:r w:rsidR="00083388" w:rsidRPr="000E0CA0">
        <w:rPr>
          <w:bCs/>
          <w:szCs w:val="24"/>
        </w:rPr>
        <w:t xml:space="preserve">then </w:t>
      </w:r>
      <w:r w:rsidR="00144C16">
        <w:rPr>
          <w:bCs/>
          <w:szCs w:val="24"/>
        </w:rPr>
        <w:t xml:space="preserve">is </w:t>
      </w:r>
      <w:r w:rsidR="004F47D3" w:rsidRPr="000E0CA0">
        <w:rPr>
          <w:bCs/>
          <w:szCs w:val="24"/>
        </w:rPr>
        <w:t xml:space="preserve">to grant </w:t>
      </w:r>
      <w:r w:rsidR="00083388" w:rsidRPr="000E0CA0">
        <w:rPr>
          <w:bCs/>
          <w:szCs w:val="24"/>
        </w:rPr>
        <w:t xml:space="preserve">a </w:t>
      </w:r>
      <w:r w:rsidR="004F47D3" w:rsidRPr="000E0CA0">
        <w:rPr>
          <w:bCs/>
          <w:szCs w:val="24"/>
        </w:rPr>
        <w:t>licence</w:t>
      </w:r>
      <w:r w:rsidR="001F4065" w:rsidRPr="000E0CA0">
        <w:rPr>
          <w:bCs/>
          <w:szCs w:val="24"/>
        </w:rPr>
        <w:t xml:space="preserve"> to export </w:t>
      </w:r>
      <w:r w:rsidR="00083388" w:rsidRPr="000E0CA0">
        <w:rPr>
          <w:bCs/>
          <w:szCs w:val="24"/>
        </w:rPr>
        <w:t xml:space="preserve">from </w:t>
      </w:r>
      <w:r w:rsidR="001F4065" w:rsidRPr="000E0CA0">
        <w:rPr>
          <w:bCs/>
          <w:szCs w:val="24"/>
        </w:rPr>
        <w:t>the EU</w:t>
      </w:r>
      <w:r w:rsidR="004F47D3" w:rsidRPr="000E0CA0">
        <w:rPr>
          <w:bCs/>
          <w:szCs w:val="24"/>
        </w:rPr>
        <w:t xml:space="preserve">.  Once granted the cultural item in question can move freely within the EU and </w:t>
      </w:r>
      <w:r w:rsidR="00B67E11" w:rsidRPr="000E0CA0">
        <w:rPr>
          <w:bCs/>
          <w:szCs w:val="24"/>
        </w:rPr>
        <w:t xml:space="preserve">then </w:t>
      </w:r>
      <w:r w:rsidR="004F47D3" w:rsidRPr="000E0CA0">
        <w:rPr>
          <w:bCs/>
          <w:szCs w:val="24"/>
        </w:rPr>
        <w:t xml:space="preserve">be exported from </w:t>
      </w:r>
      <w:r w:rsidR="00144C16">
        <w:rPr>
          <w:bCs/>
          <w:szCs w:val="24"/>
        </w:rPr>
        <w:t xml:space="preserve">the EU from </w:t>
      </w:r>
      <w:r w:rsidR="00B67E11" w:rsidRPr="000E0CA0">
        <w:rPr>
          <w:bCs/>
          <w:szCs w:val="24"/>
        </w:rPr>
        <w:t xml:space="preserve">some other </w:t>
      </w:r>
      <w:r w:rsidR="004F47D3" w:rsidRPr="000E0CA0">
        <w:rPr>
          <w:bCs/>
          <w:szCs w:val="24"/>
        </w:rPr>
        <w:t xml:space="preserve">Member State.  </w:t>
      </w:r>
    </w:p>
    <w:p w14:paraId="659C60D3" w14:textId="77777777" w:rsidR="00731B6E" w:rsidRPr="000E0CA0" w:rsidRDefault="001F4065" w:rsidP="002D37BA">
      <w:pPr>
        <w:pStyle w:val="ParaLevel1"/>
        <w:numPr>
          <w:ilvl w:val="0"/>
          <w:numId w:val="13"/>
        </w:numPr>
        <w:ind w:left="567" w:hanging="578"/>
        <w:rPr>
          <w:bCs/>
          <w:szCs w:val="24"/>
        </w:rPr>
      </w:pPr>
      <w:r w:rsidRPr="000E0CA0">
        <w:rPr>
          <w:bCs/>
          <w:szCs w:val="24"/>
        </w:rPr>
        <w:t xml:space="preserve">The measure thus </w:t>
      </w:r>
      <w:r w:rsidR="00BC4FAA" w:rsidRPr="000E0CA0">
        <w:rPr>
          <w:bCs/>
          <w:szCs w:val="24"/>
        </w:rPr>
        <w:t xml:space="preserve">stipulates that there must be a competent authority in each Member State empowered to grant the requisite export licence.  It lays down </w:t>
      </w:r>
      <w:r w:rsidR="00731B6E" w:rsidRPr="000E0CA0">
        <w:rPr>
          <w:bCs/>
          <w:szCs w:val="24"/>
        </w:rPr>
        <w:t xml:space="preserve">principles for determining </w:t>
      </w:r>
      <w:r w:rsidR="00BC4FAA" w:rsidRPr="000E0CA0">
        <w:rPr>
          <w:bCs/>
          <w:i/>
          <w:szCs w:val="24"/>
        </w:rPr>
        <w:t>which</w:t>
      </w:r>
      <w:r w:rsidR="00BC4FAA" w:rsidRPr="000E0CA0">
        <w:rPr>
          <w:bCs/>
          <w:szCs w:val="24"/>
        </w:rPr>
        <w:t xml:space="preserve"> competent authority may grant</w:t>
      </w:r>
      <w:r w:rsidR="00144C16">
        <w:rPr>
          <w:bCs/>
          <w:szCs w:val="24"/>
        </w:rPr>
        <w:t xml:space="preserve"> the </w:t>
      </w:r>
      <w:r w:rsidR="00BC4FAA" w:rsidRPr="000E0CA0">
        <w:rPr>
          <w:bCs/>
          <w:szCs w:val="24"/>
        </w:rPr>
        <w:t xml:space="preserve">licence where a cultural item has passed between different Member States. </w:t>
      </w:r>
      <w:r w:rsidR="00731B6E" w:rsidRPr="000E0CA0">
        <w:rPr>
          <w:bCs/>
          <w:szCs w:val="24"/>
        </w:rPr>
        <w:t xml:space="preserve"> It does not law down common rules governing </w:t>
      </w:r>
      <w:r w:rsidR="00731B6E" w:rsidRPr="000E0CA0">
        <w:rPr>
          <w:bCs/>
          <w:szCs w:val="24"/>
        </w:rPr>
        <w:lastRenderedPageBreak/>
        <w:t xml:space="preserve">whether an item is to be treated as of cultural significance to a Member State, that being a matter for each state under </w:t>
      </w:r>
      <w:r w:rsidR="00B67E11" w:rsidRPr="000E0CA0">
        <w:rPr>
          <w:bCs/>
          <w:szCs w:val="24"/>
        </w:rPr>
        <w:t>A</w:t>
      </w:r>
      <w:r w:rsidR="00731B6E" w:rsidRPr="000E0CA0">
        <w:rPr>
          <w:bCs/>
          <w:szCs w:val="24"/>
        </w:rPr>
        <w:t>rticle</w:t>
      </w:r>
      <w:r w:rsidR="00B67E11" w:rsidRPr="000E0CA0">
        <w:rPr>
          <w:bCs/>
          <w:szCs w:val="24"/>
        </w:rPr>
        <w:t>s</w:t>
      </w:r>
      <w:r w:rsidR="00731B6E" w:rsidRPr="000E0CA0">
        <w:rPr>
          <w:bCs/>
          <w:szCs w:val="24"/>
        </w:rPr>
        <w:t xml:space="preserve"> 6 and 167 TFEU. </w:t>
      </w:r>
      <w:r w:rsidR="00BC4FAA" w:rsidRPr="000E0CA0">
        <w:rPr>
          <w:bCs/>
          <w:szCs w:val="24"/>
        </w:rPr>
        <w:t xml:space="preserve"> </w:t>
      </w:r>
      <w:r w:rsidR="00731B6E" w:rsidRPr="000E0CA0">
        <w:rPr>
          <w:bCs/>
          <w:szCs w:val="24"/>
        </w:rPr>
        <w:t>Consistently</w:t>
      </w:r>
      <w:r w:rsidR="00144C16">
        <w:rPr>
          <w:bCs/>
          <w:szCs w:val="24"/>
        </w:rPr>
        <w:t>,</w:t>
      </w:r>
      <w:r w:rsidR="00731B6E" w:rsidRPr="000E0CA0">
        <w:rPr>
          <w:bCs/>
          <w:szCs w:val="24"/>
        </w:rPr>
        <w:t xml:space="preserve"> it provide</w:t>
      </w:r>
      <w:r w:rsidR="00B67E11" w:rsidRPr="000E0CA0">
        <w:rPr>
          <w:bCs/>
          <w:szCs w:val="24"/>
        </w:rPr>
        <w:t>s</w:t>
      </w:r>
      <w:r w:rsidR="00731B6E" w:rsidRPr="000E0CA0">
        <w:rPr>
          <w:bCs/>
          <w:szCs w:val="24"/>
        </w:rPr>
        <w:t xml:space="preserve"> that a</w:t>
      </w:r>
      <w:r w:rsidR="00083388" w:rsidRPr="000E0CA0">
        <w:rPr>
          <w:bCs/>
          <w:szCs w:val="24"/>
        </w:rPr>
        <w:t xml:space="preserve"> licence may be refused where the cultural goods in question are covered by domestic laws protecting national treasures of artistic, historical or archaeological value “</w:t>
      </w:r>
      <w:r w:rsidR="00083388" w:rsidRPr="000E0CA0">
        <w:rPr>
          <w:bCs/>
          <w:i/>
          <w:szCs w:val="24"/>
        </w:rPr>
        <w:t>in the Member State concerned</w:t>
      </w:r>
      <w:r w:rsidR="00083388" w:rsidRPr="000E0CA0">
        <w:rPr>
          <w:bCs/>
          <w:szCs w:val="24"/>
        </w:rPr>
        <w:t>”</w:t>
      </w:r>
      <w:r w:rsidR="00B67E11" w:rsidRPr="000E0CA0">
        <w:rPr>
          <w:bCs/>
          <w:szCs w:val="24"/>
        </w:rPr>
        <w:t xml:space="preserve"> which </w:t>
      </w:r>
      <w:r w:rsidR="00731B6E" w:rsidRPr="000E0CA0">
        <w:rPr>
          <w:bCs/>
          <w:szCs w:val="24"/>
        </w:rPr>
        <w:t xml:space="preserve">signifies that </w:t>
      </w:r>
      <w:r w:rsidR="00083388" w:rsidRPr="000E0CA0">
        <w:rPr>
          <w:bCs/>
          <w:szCs w:val="24"/>
        </w:rPr>
        <w:t xml:space="preserve">the identification and protection of a cultural item </w:t>
      </w:r>
      <w:r w:rsidR="00731B6E" w:rsidRPr="000E0CA0">
        <w:rPr>
          <w:bCs/>
          <w:szCs w:val="24"/>
        </w:rPr>
        <w:t xml:space="preserve">may </w:t>
      </w:r>
      <w:r w:rsidR="00083388" w:rsidRPr="000E0CA0">
        <w:rPr>
          <w:bCs/>
          <w:szCs w:val="24"/>
        </w:rPr>
        <w:t>be driven, perfectly legitimately, by national</w:t>
      </w:r>
      <w:r w:rsidR="00B67E11" w:rsidRPr="000E0CA0">
        <w:rPr>
          <w:bCs/>
          <w:szCs w:val="24"/>
        </w:rPr>
        <w:t xml:space="preserve"> </w:t>
      </w:r>
      <w:r w:rsidR="00083388" w:rsidRPr="000E0CA0">
        <w:rPr>
          <w:bCs/>
          <w:szCs w:val="24"/>
        </w:rPr>
        <w:t xml:space="preserve">sentiment.  </w:t>
      </w:r>
    </w:p>
    <w:p w14:paraId="3B3B7B09" w14:textId="77777777" w:rsidR="00671F00" w:rsidRPr="000E0CA0" w:rsidRDefault="00B67E11" w:rsidP="002D37BA">
      <w:pPr>
        <w:pStyle w:val="ParaLevel1"/>
        <w:numPr>
          <w:ilvl w:val="0"/>
          <w:numId w:val="13"/>
        </w:numPr>
        <w:ind w:left="567" w:hanging="567"/>
        <w:rPr>
          <w:bCs/>
          <w:szCs w:val="24"/>
        </w:rPr>
      </w:pPr>
      <w:r w:rsidRPr="000E0CA0">
        <w:rPr>
          <w:bCs/>
          <w:szCs w:val="24"/>
        </w:rPr>
        <w:t>Article 2 i</w:t>
      </w:r>
      <w:r w:rsidR="001356B6" w:rsidRPr="000E0CA0">
        <w:rPr>
          <w:bCs/>
          <w:szCs w:val="24"/>
        </w:rPr>
        <w:t>s</w:t>
      </w:r>
      <w:r w:rsidRPr="000E0CA0">
        <w:rPr>
          <w:bCs/>
          <w:szCs w:val="24"/>
        </w:rPr>
        <w:t xml:space="preserve"> the heart of the measure. </w:t>
      </w:r>
      <w:r w:rsidR="00083388" w:rsidRPr="000E0CA0">
        <w:rPr>
          <w:bCs/>
          <w:szCs w:val="24"/>
        </w:rPr>
        <w:t>Arti</w:t>
      </w:r>
      <w:r w:rsidR="00BC4FAA" w:rsidRPr="000E0CA0">
        <w:rPr>
          <w:bCs/>
          <w:szCs w:val="24"/>
        </w:rPr>
        <w:t xml:space="preserve">cle 2(2) confers a power (but not a duty) </w:t>
      </w:r>
      <w:r w:rsidR="001F4065" w:rsidRPr="000E0CA0">
        <w:rPr>
          <w:bCs/>
          <w:szCs w:val="24"/>
        </w:rPr>
        <w:t>up</w:t>
      </w:r>
      <w:r w:rsidR="00BC4FAA" w:rsidRPr="000E0CA0">
        <w:rPr>
          <w:bCs/>
          <w:szCs w:val="24"/>
        </w:rPr>
        <w:t xml:space="preserve">on Member States to create an exception from the duty to obtain a licence in the case of cultural goods of “… </w:t>
      </w:r>
      <w:r w:rsidR="00BC4FAA" w:rsidRPr="000E0CA0">
        <w:rPr>
          <w:bCs/>
          <w:i/>
          <w:szCs w:val="24"/>
        </w:rPr>
        <w:t>limited archaeological or scientific interest</w:t>
      </w:r>
      <w:r w:rsidR="00BC4FAA" w:rsidRPr="000E0CA0">
        <w:rPr>
          <w:bCs/>
          <w:szCs w:val="24"/>
        </w:rPr>
        <w:t xml:space="preserve">”, provided </w:t>
      </w:r>
      <w:r w:rsidR="00083388" w:rsidRPr="000E0CA0">
        <w:rPr>
          <w:bCs/>
          <w:szCs w:val="24"/>
        </w:rPr>
        <w:t xml:space="preserve">they are not </w:t>
      </w:r>
      <w:r w:rsidR="00BC4FAA" w:rsidRPr="000E0CA0">
        <w:rPr>
          <w:bCs/>
          <w:szCs w:val="24"/>
        </w:rPr>
        <w:t xml:space="preserve">the direct product of excavations, finds or archaeological sites within a Member State, and that their presence on the market is lawful. </w:t>
      </w:r>
      <w:r w:rsidR="001F4065" w:rsidRPr="000E0CA0">
        <w:rPr>
          <w:bCs/>
          <w:szCs w:val="24"/>
        </w:rPr>
        <w:t xml:space="preserve">Article 2(3) addresses the </w:t>
      </w:r>
      <w:r w:rsidR="00731B6E" w:rsidRPr="000E0CA0">
        <w:rPr>
          <w:bCs/>
          <w:szCs w:val="24"/>
        </w:rPr>
        <w:t>p</w:t>
      </w:r>
      <w:r w:rsidR="001F4065" w:rsidRPr="000E0CA0">
        <w:rPr>
          <w:bCs/>
          <w:szCs w:val="24"/>
        </w:rPr>
        <w:t>an</w:t>
      </w:r>
      <w:r w:rsidR="00731B6E" w:rsidRPr="000E0CA0">
        <w:rPr>
          <w:bCs/>
          <w:szCs w:val="24"/>
        </w:rPr>
        <w:t>-</w:t>
      </w:r>
      <w:r w:rsidR="001F4065" w:rsidRPr="000E0CA0">
        <w:rPr>
          <w:bCs/>
          <w:szCs w:val="24"/>
        </w:rPr>
        <w:t>European validity of a licence granted by a single competent authority.</w:t>
      </w:r>
      <w:r w:rsidRPr="000E0CA0">
        <w:rPr>
          <w:bCs/>
          <w:szCs w:val="24"/>
        </w:rPr>
        <w:t xml:space="preserve"> </w:t>
      </w:r>
      <w:r w:rsidR="00BC4FAA" w:rsidRPr="000E0CA0">
        <w:rPr>
          <w:bCs/>
          <w:szCs w:val="24"/>
        </w:rPr>
        <w:t xml:space="preserve">Article 2 in full provides: </w:t>
      </w:r>
      <w:r w:rsidR="00671F00" w:rsidRPr="000E0CA0">
        <w:rPr>
          <w:bCs/>
          <w:szCs w:val="24"/>
        </w:rPr>
        <w:t xml:space="preserve"> </w:t>
      </w:r>
    </w:p>
    <w:p w14:paraId="73EBCFD3" w14:textId="77777777" w:rsidR="00671F00" w:rsidRPr="000E0CA0" w:rsidRDefault="00671F00" w:rsidP="002D37BA">
      <w:pPr>
        <w:pStyle w:val="Quote"/>
        <w:rPr>
          <w:bCs/>
          <w:szCs w:val="24"/>
        </w:rPr>
      </w:pPr>
      <w:r w:rsidRPr="000E0CA0">
        <w:rPr>
          <w:bCs/>
          <w:szCs w:val="24"/>
        </w:rPr>
        <w:t>“Article 2 Export licence</w:t>
      </w:r>
    </w:p>
    <w:p w14:paraId="3890BD66" w14:textId="77777777" w:rsidR="00671F00" w:rsidRPr="000E0CA0" w:rsidRDefault="00671F00" w:rsidP="002D37BA">
      <w:pPr>
        <w:pStyle w:val="Quote"/>
        <w:rPr>
          <w:bCs/>
          <w:szCs w:val="24"/>
        </w:rPr>
      </w:pPr>
      <w:r w:rsidRPr="000E0CA0">
        <w:rPr>
          <w:bCs/>
          <w:szCs w:val="24"/>
        </w:rPr>
        <w:t>1. The export of cultural goods outside the customs territory of the Community shall be subject to the presentation of an export licence.</w:t>
      </w:r>
    </w:p>
    <w:p w14:paraId="23BED3B0" w14:textId="77777777" w:rsidR="00671F00" w:rsidRPr="000E0CA0" w:rsidRDefault="00671F00" w:rsidP="002D37BA">
      <w:pPr>
        <w:pStyle w:val="Quote"/>
        <w:rPr>
          <w:bCs/>
          <w:szCs w:val="24"/>
        </w:rPr>
      </w:pPr>
      <w:r w:rsidRPr="000E0CA0">
        <w:rPr>
          <w:bCs/>
          <w:szCs w:val="24"/>
        </w:rPr>
        <w:t>2. The export licence shall be issued at the request of the person concerned:</w:t>
      </w:r>
    </w:p>
    <w:p w14:paraId="6ACBD469" w14:textId="77777777" w:rsidR="00671F00" w:rsidRPr="000E0CA0" w:rsidRDefault="00671F00" w:rsidP="002D37BA">
      <w:pPr>
        <w:pStyle w:val="Quote"/>
        <w:rPr>
          <w:bCs/>
          <w:szCs w:val="24"/>
        </w:rPr>
      </w:pPr>
      <w:r w:rsidRPr="000E0CA0">
        <w:rPr>
          <w:bCs/>
          <w:szCs w:val="24"/>
        </w:rPr>
        <w:t>(a) by a competent authority of the Member State in whose territory the cultural object in question was lawfully and definitively located on 1 January 1993;</w:t>
      </w:r>
    </w:p>
    <w:p w14:paraId="28A0B94E" w14:textId="77777777" w:rsidR="00671F00" w:rsidRPr="000E0CA0" w:rsidRDefault="00671F00" w:rsidP="002D37BA">
      <w:pPr>
        <w:pStyle w:val="Quote"/>
        <w:rPr>
          <w:bCs/>
          <w:szCs w:val="24"/>
        </w:rPr>
      </w:pPr>
      <w:r w:rsidRPr="000E0CA0">
        <w:rPr>
          <w:bCs/>
          <w:szCs w:val="24"/>
        </w:rPr>
        <w:t>(b) or, thereafter, by a competent authority of the Member State in whose territory it is located following either lawful and definitive dispatch from another Member State, or importation from a third country, or re-importation from a third country after lawful dispatch from a Member State to that country.</w:t>
      </w:r>
    </w:p>
    <w:p w14:paraId="38F1B43C" w14:textId="77777777" w:rsidR="00671F00" w:rsidRPr="000E0CA0" w:rsidRDefault="00671F00" w:rsidP="002D37BA">
      <w:pPr>
        <w:pStyle w:val="Quote"/>
        <w:rPr>
          <w:bCs/>
          <w:szCs w:val="24"/>
        </w:rPr>
      </w:pPr>
      <w:r w:rsidRPr="000E0CA0">
        <w:rPr>
          <w:bCs/>
          <w:szCs w:val="24"/>
        </w:rPr>
        <w:t>However, without prejudice to paragraph 4, the Member State which is competent in accordance with points (a) or (b) of the first subparagraph is authorised not to require export licences for the cultural goods specified in the first and second indents of category A.1 of Annex I where they are of limited archaeological or scientific interest, and provided that they are not the direct product of excavations, finds or archaeological sites within a Member State, and that their presence on the market is lawful.</w:t>
      </w:r>
    </w:p>
    <w:p w14:paraId="2B9C45E7" w14:textId="77777777" w:rsidR="00671F00" w:rsidRPr="000E0CA0" w:rsidRDefault="00671F00" w:rsidP="002D37BA">
      <w:pPr>
        <w:pStyle w:val="Quote"/>
        <w:rPr>
          <w:bCs/>
          <w:szCs w:val="24"/>
        </w:rPr>
      </w:pPr>
      <w:r w:rsidRPr="000E0CA0">
        <w:rPr>
          <w:bCs/>
          <w:szCs w:val="24"/>
        </w:rPr>
        <w:t>The export licence may be refused, for the purposes of this Regulation, where the cultural goods in question are covered by legislation protecting national treasures of artistic, historical or archaeological value in the Member State concerned.</w:t>
      </w:r>
    </w:p>
    <w:p w14:paraId="25327C2C" w14:textId="77777777" w:rsidR="00671F00" w:rsidRPr="000E0CA0" w:rsidRDefault="00671F00" w:rsidP="002D37BA">
      <w:pPr>
        <w:pStyle w:val="Quote"/>
        <w:rPr>
          <w:bCs/>
          <w:szCs w:val="24"/>
        </w:rPr>
      </w:pPr>
      <w:r w:rsidRPr="000E0CA0">
        <w:rPr>
          <w:bCs/>
          <w:szCs w:val="24"/>
        </w:rPr>
        <w:t xml:space="preserve">Where necessary, the authority referred to in point (b) of the first subparagraph shall enter into contact with the competent authorities of the Member State from which the cultural object in question came, and in particular the competent authorities </w:t>
      </w:r>
      <w:r w:rsidRPr="000E0CA0">
        <w:rPr>
          <w:bCs/>
          <w:szCs w:val="24"/>
        </w:rPr>
        <w:lastRenderedPageBreak/>
        <w:t>within the meaning of Council Directive 93/7/EEC of 15 March 1993 on the return of cultural objects unlawfully removed from the territory of a Member State (1).</w:t>
      </w:r>
    </w:p>
    <w:p w14:paraId="1CD261E1" w14:textId="77777777" w:rsidR="00671F00" w:rsidRPr="000E0CA0" w:rsidRDefault="00671F00" w:rsidP="002D37BA">
      <w:pPr>
        <w:pStyle w:val="Quote"/>
        <w:rPr>
          <w:bCs/>
          <w:szCs w:val="24"/>
        </w:rPr>
      </w:pPr>
      <w:r w:rsidRPr="000E0CA0">
        <w:rPr>
          <w:bCs/>
          <w:szCs w:val="24"/>
        </w:rPr>
        <w:t>3. The export licence shall be valid throughout the Community.</w:t>
      </w:r>
    </w:p>
    <w:p w14:paraId="4E01A990" w14:textId="77777777" w:rsidR="00671F00" w:rsidRPr="000E0CA0" w:rsidRDefault="00671F00" w:rsidP="002D37BA">
      <w:pPr>
        <w:pStyle w:val="Quote"/>
        <w:rPr>
          <w:bCs/>
          <w:szCs w:val="24"/>
        </w:rPr>
      </w:pPr>
      <w:r w:rsidRPr="000E0CA0">
        <w:rPr>
          <w:bCs/>
          <w:szCs w:val="24"/>
        </w:rPr>
        <w:t>4. Without prejudice to the provisions of paragraphs 1, 2 and 3, direct export from the customs territory of the Community of national treasures having artistic, historic or archaeological value which are not cultural goods within the meaning of this Regulation is subject to the national law of the Member State of export.</w:t>
      </w:r>
    </w:p>
    <w:p w14:paraId="30D2D553" w14:textId="6578B063" w:rsidR="00083388" w:rsidRPr="000E0CA0" w:rsidRDefault="00B67E11" w:rsidP="002D37BA">
      <w:pPr>
        <w:pStyle w:val="ParaLevel1"/>
        <w:numPr>
          <w:ilvl w:val="0"/>
          <w:numId w:val="13"/>
        </w:numPr>
        <w:ind w:left="567" w:hanging="567"/>
        <w:rPr>
          <w:bCs/>
          <w:szCs w:val="24"/>
        </w:rPr>
      </w:pPr>
      <w:r w:rsidRPr="000E0CA0">
        <w:rPr>
          <w:bCs/>
          <w:szCs w:val="24"/>
        </w:rPr>
        <w:t>As to other provisions,</w:t>
      </w:r>
      <w:r w:rsidR="001356B6" w:rsidRPr="000E0CA0">
        <w:rPr>
          <w:bCs/>
          <w:szCs w:val="24"/>
        </w:rPr>
        <w:t xml:space="preserve"> </w:t>
      </w:r>
      <w:r w:rsidR="00731B6E" w:rsidRPr="000E0CA0">
        <w:rPr>
          <w:bCs/>
          <w:szCs w:val="24"/>
        </w:rPr>
        <w:t>Article 1 is entitled “</w:t>
      </w:r>
      <w:r w:rsidR="00731B6E" w:rsidRPr="000E0CA0">
        <w:rPr>
          <w:bCs/>
          <w:i/>
          <w:iCs/>
          <w:szCs w:val="24"/>
        </w:rPr>
        <w:t>Definitions</w:t>
      </w:r>
      <w:r w:rsidR="00731B6E" w:rsidRPr="000E0CA0">
        <w:rPr>
          <w:bCs/>
          <w:szCs w:val="24"/>
        </w:rPr>
        <w:t>” but all it does is to state that the term “</w:t>
      </w:r>
      <w:r w:rsidR="00731B6E" w:rsidRPr="000E0CA0">
        <w:rPr>
          <w:bCs/>
          <w:i/>
          <w:iCs/>
          <w:szCs w:val="24"/>
        </w:rPr>
        <w:t>cultural goods</w:t>
      </w:r>
      <w:r w:rsidR="00731B6E" w:rsidRPr="000E0CA0">
        <w:rPr>
          <w:bCs/>
          <w:szCs w:val="24"/>
        </w:rPr>
        <w:t>” shall refer, for the purposes of the Regulation, to the items listed in Annex I. There is no definition of the expression which is in dispute in this case i</w:t>
      </w:r>
      <w:r w:rsidR="001A310F">
        <w:rPr>
          <w:bCs/>
          <w:szCs w:val="24"/>
        </w:rPr>
        <w:t>.</w:t>
      </w:r>
      <w:r w:rsidR="00731B6E" w:rsidRPr="000E0CA0">
        <w:rPr>
          <w:bCs/>
          <w:szCs w:val="24"/>
        </w:rPr>
        <w:t>e</w:t>
      </w:r>
      <w:r w:rsidR="001A310F">
        <w:rPr>
          <w:bCs/>
          <w:szCs w:val="24"/>
        </w:rPr>
        <w:t>.</w:t>
      </w:r>
      <w:r w:rsidR="00731B6E" w:rsidRPr="000E0CA0">
        <w:rPr>
          <w:bCs/>
          <w:szCs w:val="24"/>
        </w:rPr>
        <w:t xml:space="preserve"> “</w:t>
      </w:r>
      <w:r w:rsidR="00731B6E" w:rsidRPr="000E0CA0">
        <w:rPr>
          <w:bCs/>
          <w:i/>
          <w:iCs/>
          <w:szCs w:val="24"/>
        </w:rPr>
        <w:t>lawful and definitive dispatch</w:t>
      </w:r>
      <w:r w:rsidR="00731B6E" w:rsidRPr="000E0CA0">
        <w:rPr>
          <w:bCs/>
          <w:szCs w:val="24"/>
        </w:rPr>
        <w:t>” in Article 2</w:t>
      </w:r>
      <w:r w:rsidR="001356B6" w:rsidRPr="000E0CA0">
        <w:rPr>
          <w:bCs/>
          <w:szCs w:val="24"/>
        </w:rPr>
        <w:t>(2)</w:t>
      </w:r>
      <w:r w:rsidR="00731B6E" w:rsidRPr="000E0CA0">
        <w:rPr>
          <w:bCs/>
          <w:szCs w:val="24"/>
        </w:rPr>
        <w:t xml:space="preserve">(b).  </w:t>
      </w:r>
      <w:r w:rsidR="00083388" w:rsidRPr="000E0CA0">
        <w:rPr>
          <w:bCs/>
          <w:szCs w:val="24"/>
        </w:rPr>
        <w:t>Article 3 requires Member States to notify the Commission of the identity of the competent authorities empowered to issue export licences.  Article 4 states that an export licence shall be presented, in support of the export declaration, when the customs export formalities are carried out, at the customs office which is competent to accept that declaration.  Article 5 permits Member States to restrict the number of customs offices empowered to handle formalities. Article 6 concerns cooperation between national authorities.  Articles 7 and 8 concern the possibility that a committee of Member States</w:t>
      </w:r>
      <w:r w:rsidR="0064402B">
        <w:rPr>
          <w:bCs/>
          <w:szCs w:val="24"/>
        </w:rPr>
        <w:t xml:space="preserve"> </w:t>
      </w:r>
      <w:r w:rsidR="001A310F">
        <w:rPr>
          <w:bCs/>
          <w:szCs w:val="24"/>
        </w:rPr>
        <w:t>will</w:t>
      </w:r>
      <w:r w:rsidR="00083388" w:rsidRPr="000E0CA0">
        <w:rPr>
          <w:bCs/>
          <w:szCs w:val="24"/>
        </w:rPr>
        <w:t xml:space="preserve"> assist the Commission in the taking of measures of implementation of the Regulation. Article 9 imposes a duty on Member States to impose penalties applicable to infringements of the rules but is silent as to the nature or extent of applicable sanctions</w:t>
      </w:r>
      <w:r w:rsidR="00731B6E" w:rsidRPr="000E0CA0">
        <w:rPr>
          <w:bCs/>
          <w:szCs w:val="24"/>
        </w:rPr>
        <w:t>, leaving that to the individual Member States</w:t>
      </w:r>
      <w:r w:rsidR="00083388" w:rsidRPr="000E0CA0">
        <w:rPr>
          <w:bCs/>
          <w:szCs w:val="24"/>
        </w:rPr>
        <w:t xml:space="preserve">. Article 10 imposes a broad notification duty on Member States in relation to measures taken under the regulation. </w:t>
      </w:r>
    </w:p>
    <w:p w14:paraId="234EAD17" w14:textId="77777777" w:rsidR="00083388" w:rsidRPr="000E0CA0" w:rsidRDefault="0064402B" w:rsidP="002D37BA">
      <w:pPr>
        <w:pStyle w:val="ParaLevel1"/>
        <w:numPr>
          <w:ilvl w:val="0"/>
          <w:numId w:val="13"/>
        </w:numPr>
        <w:ind w:left="567" w:hanging="567"/>
        <w:rPr>
          <w:bCs/>
          <w:szCs w:val="24"/>
        </w:rPr>
      </w:pPr>
      <w:r>
        <w:rPr>
          <w:bCs/>
          <w:szCs w:val="24"/>
        </w:rPr>
        <w:t>B</w:t>
      </w:r>
      <w:r w:rsidR="00731B6E" w:rsidRPr="000E0CA0">
        <w:rPr>
          <w:bCs/>
          <w:szCs w:val="24"/>
        </w:rPr>
        <w:t xml:space="preserve">ecause the </w:t>
      </w:r>
      <w:r w:rsidR="00083388" w:rsidRPr="000E0CA0">
        <w:rPr>
          <w:bCs/>
          <w:szCs w:val="24"/>
        </w:rPr>
        <w:t xml:space="preserve">Export Regulation </w:t>
      </w:r>
      <w:r w:rsidR="00731B6E" w:rsidRPr="000E0CA0">
        <w:rPr>
          <w:bCs/>
          <w:szCs w:val="24"/>
        </w:rPr>
        <w:t>is directed</w:t>
      </w:r>
      <w:r w:rsidR="00B67E11" w:rsidRPr="000E0CA0">
        <w:rPr>
          <w:bCs/>
          <w:szCs w:val="24"/>
        </w:rPr>
        <w:t xml:space="preserve"> at </w:t>
      </w:r>
      <w:r w:rsidR="00731B6E" w:rsidRPr="000E0CA0">
        <w:rPr>
          <w:bCs/>
          <w:szCs w:val="24"/>
        </w:rPr>
        <w:t xml:space="preserve">exports from the EU and </w:t>
      </w:r>
      <w:r w:rsidR="00083388" w:rsidRPr="000E0CA0">
        <w:rPr>
          <w:bCs/>
          <w:szCs w:val="24"/>
        </w:rPr>
        <w:t>impose</w:t>
      </w:r>
      <w:r w:rsidR="00B67E11" w:rsidRPr="000E0CA0">
        <w:rPr>
          <w:bCs/>
          <w:szCs w:val="24"/>
        </w:rPr>
        <w:t>s</w:t>
      </w:r>
      <w:r w:rsidR="00083388" w:rsidRPr="000E0CA0">
        <w:rPr>
          <w:bCs/>
          <w:szCs w:val="24"/>
        </w:rPr>
        <w:t xml:space="preserve"> certain </w:t>
      </w:r>
      <w:r w:rsidR="00B67E11" w:rsidRPr="000E0CA0">
        <w:rPr>
          <w:bCs/>
          <w:szCs w:val="24"/>
        </w:rPr>
        <w:t xml:space="preserve">(limited) </w:t>
      </w:r>
      <w:r w:rsidR="00083388" w:rsidRPr="000E0CA0">
        <w:rPr>
          <w:bCs/>
          <w:szCs w:val="24"/>
        </w:rPr>
        <w:t xml:space="preserve">requirements and duties </w:t>
      </w:r>
      <w:r w:rsidR="00731B6E" w:rsidRPr="000E0CA0">
        <w:rPr>
          <w:bCs/>
          <w:szCs w:val="24"/>
        </w:rPr>
        <w:t xml:space="preserve">in that regard it has </w:t>
      </w:r>
      <w:r w:rsidR="00083388" w:rsidRPr="000E0CA0">
        <w:rPr>
          <w:bCs/>
          <w:szCs w:val="24"/>
        </w:rPr>
        <w:t xml:space="preserve">little of note to say about the substantive content of national law or as to trade as between Member States. </w:t>
      </w:r>
    </w:p>
    <w:p w14:paraId="1C532054" w14:textId="77777777" w:rsidR="00671F00" w:rsidRPr="000E0CA0" w:rsidRDefault="00671F00" w:rsidP="002D37BA">
      <w:pPr>
        <w:pStyle w:val="ParaLevel1"/>
        <w:numPr>
          <w:ilvl w:val="0"/>
          <w:numId w:val="26"/>
        </w:numPr>
        <w:ind w:hanging="513"/>
        <w:rPr>
          <w:b/>
          <w:bCs/>
          <w:i/>
          <w:iCs/>
          <w:szCs w:val="24"/>
        </w:rPr>
      </w:pPr>
      <w:r w:rsidRPr="000E0CA0">
        <w:rPr>
          <w:b/>
          <w:bCs/>
          <w:i/>
          <w:iCs/>
          <w:szCs w:val="24"/>
        </w:rPr>
        <w:t xml:space="preserve">The Return Directive </w:t>
      </w:r>
    </w:p>
    <w:p w14:paraId="3C0BE93E" w14:textId="5AD42F24" w:rsidR="00AA3B16" w:rsidRPr="000E0CA0" w:rsidRDefault="00671F00" w:rsidP="002D37BA">
      <w:pPr>
        <w:pStyle w:val="ParaLevel1"/>
        <w:numPr>
          <w:ilvl w:val="0"/>
          <w:numId w:val="13"/>
        </w:numPr>
        <w:ind w:left="567" w:hanging="578"/>
        <w:rPr>
          <w:bCs/>
          <w:i/>
          <w:iCs/>
          <w:szCs w:val="24"/>
        </w:rPr>
      </w:pPr>
      <w:r w:rsidRPr="000E0CA0">
        <w:rPr>
          <w:bCs/>
          <w:szCs w:val="24"/>
        </w:rPr>
        <w:t>The second measure of EU law referred to, the so-called Return Directive (Directive 2014/60/EU of 15</w:t>
      </w:r>
      <w:r w:rsidRPr="000E0CA0">
        <w:rPr>
          <w:bCs/>
          <w:szCs w:val="24"/>
          <w:vertAlign w:val="superscript"/>
        </w:rPr>
        <w:t>th</w:t>
      </w:r>
      <w:r w:rsidRPr="000E0CA0">
        <w:rPr>
          <w:bCs/>
          <w:szCs w:val="24"/>
        </w:rPr>
        <w:t xml:space="preserve"> May 2014)</w:t>
      </w:r>
      <w:r w:rsidR="00C57956" w:rsidRPr="000E0CA0">
        <w:rPr>
          <w:bCs/>
          <w:szCs w:val="24"/>
        </w:rPr>
        <w:t>,</w:t>
      </w:r>
      <w:r w:rsidRPr="000E0CA0">
        <w:rPr>
          <w:bCs/>
          <w:szCs w:val="24"/>
        </w:rPr>
        <w:t xml:space="preserve"> addresses the return of cultural objects unlawfully removed from the territory of </w:t>
      </w:r>
      <w:r w:rsidR="00B67E11" w:rsidRPr="000E0CA0">
        <w:rPr>
          <w:bCs/>
          <w:szCs w:val="24"/>
        </w:rPr>
        <w:t xml:space="preserve">one </w:t>
      </w:r>
      <w:r w:rsidRPr="000E0CA0">
        <w:rPr>
          <w:bCs/>
          <w:szCs w:val="24"/>
        </w:rPr>
        <w:t>Member State</w:t>
      </w:r>
      <w:r w:rsidR="00B67E11" w:rsidRPr="000E0CA0">
        <w:rPr>
          <w:bCs/>
          <w:szCs w:val="24"/>
        </w:rPr>
        <w:t xml:space="preserve"> to another Member State</w:t>
      </w:r>
      <w:r w:rsidRPr="000E0CA0">
        <w:rPr>
          <w:bCs/>
          <w:szCs w:val="24"/>
        </w:rPr>
        <w:t>. This was adopted under Article 1</w:t>
      </w:r>
      <w:r w:rsidR="00B67E11" w:rsidRPr="000E0CA0">
        <w:rPr>
          <w:bCs/>
          <w:szCs w:val="24"/>
        </w:rPr>
        <w:t>1</w:t>
      </w:r>
      <w:r w:rsidRPr="000E0CA0">
        <w:rPr>
          <w:bCs/>
          <w:szCs w:val="24"/>
        </w:rPr>
        <w:t>4 TFEU</w:t>
      </w:r>
      <w:r w:rsidR="001A310F" w:rsidRPr="000E0CA0">
        <w:rPr>
          <w:bCs/>
          <w:noProof/>
          <w:szCs w:val="24"/>
        </w:rPr>
        <mc:AlternateContent>
          <mc:Choice Requires="wpi">
            <w:drawing>
              <wp:anchor distT="0" distB="0" distL="114300" distR="114300" simplePos="0" relativeHeight="251658240" behindDoc="0" locked="0" layoutInCell="1" allowOverlap="1" wp14:anchorId="0FE37FE0" wp14:editId="78D6930C">
                <wp:simplePos x="0" y="0"/>
                <wp:positionH relativeFrom="column">
                  <wp:posOffset>7762240</wp:posOffset>
                </wp:positionH>
                <wp:positionV relativeFrom="paragraph">
                  <wp:posOffset>4035425</wp:posOffset>
                </wp:positionV>
                <wp:extent cx="54610" cy="61595"/>
                <wp:effectExtent l="66040" t="63500" r="50800" b="55880"/>
                <wp:wrapNone/>
                <wp:docPr id="1" name="Ink 3"/>
                <wp:cNvGraphicFramePr>
                  <a:graphicFrameLocks xmlns:a="http://schemas.openxmlformats.org/drawingml/2006/main"/>
                </wp:cNvGraphicFramePr>
                <a:graphic xmlns:a="http://schemas.openxmlformats.org/drawingml/2006/main">
                  <a:graphicData uri="http://schemas.microsoft.com/office/word/2010/wordprocessingInk">
                    <w14:contentPart bwMode="auto" r:id="rId22">
                      <w14:nvContentPartPr>
                        <w14:cNvContentPartPr>
                          <a14:cpLocks xmlns:a14="http://schemas.microsoft.com/office/drawing/2010/main" noRot="1" noChangeArrowheads="1"/>
                        </w14:cNvContentPartPr>
                      </w14:nvContentPartPr>
                      <w14:xfrm>
                        <a:off x="0" y="0"/>
                        <a:ext cx="54610" cy="61595"/>
                      </w14:xfrm>
                    </w14:contentPart>
                  </a:graphicData>
                </a:graphic>
                <wp14:sizeRelH relativeFrom="page">
                  <wp14:pctWidth>0</wp14:pctWidth>
                </wp14:sizeRelH>
                <wp14:sizeRelV relativeFrom="page">
                  <wp14:pctHeight>0</wp14:pctHeight>
                </wp14:sizeRelV>
              </wp:anchor>
            </w:drawing>
          </mc:Choice>
          <mc:Fallback>
            <w:pict>
              <v:shape w14:anchorId="38EBAFF4" id="Ink 3" o:spid="_x0000_s1026" type="#_x0000_t75" style="position:absolute;margin-left:610.15pt;margin-top:316.75pt;width:6.35pt;height: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">
                <v:imagedata r:id="rId23" o:title=""/>
                <o:lock v:ext="edit" rotation="t" aspectratio="f"/>
              </v:shape>
            </w:pict>
          </mc:Fallback>
        </mc:AlternateContent>
      </w:r>
      <w:r w:rsidR="00AA3B16" w:rsidRPr="000E0CA0">
        <w:rPr>
          <w:bCs/>
          <w:szCs w:val="24"/>
        </w:rPr>
        <w:t xml:space="preserve"> which confers a power of harmonisation upon the Union but does not indicate to what level or depth any particular measure of harmonisation is allowed to go.  Again, the power must be re</w:t>
      </w:r>
      <w:r w:rsidR="00083388" w:rsidRPr="000E0CA0">
        <w:rPr>
          <w:bCs/>
          <w:szCs w:val="24"/>
        </w:rPr>
        <w:t>a</w:t>
      </w:r>
      <w:r w:rsidR="00AA3B16" w:rsidRPr="000E0CA0">
        <w:rPr>
          <w:bCs/>
          <w:szCs w:val="24"/>
        </w:rPr>
        <w:t xml:space="preserve">d subject to the other provisions of the Treaty upon the delineation of competences. </w:t>
      </w:r>
    </w:p>
    <w:p w14:paraId="2FFFC83D" w14:textId="049D1BB7" w:rsidR="00671F00" w:rsidRPr="000E0CA0" w:rsidRDefault="00671F00" w:rsidP="009A22EB">
      <w:pPr>
        <w:pStyle w:val="ParaLevel1"/>
        <w:numPr>
          <w:ilvl w:val="0"/>
          <w:numId w:val="13"/>
        </w:numPr>
        <w:ind w:left="567" w:hanging="567"/>
        <w:rPr>
          <w:bCs/>
          <w:szCs w:val="24"/>
        </w:rPr>
      </w:pPr>
      <w:r w:rsidRPr="000E0CA0">
        <w:rPr>
          <w:bCs/>
          <w:szCs w:val="24"/>
        </w:rPr>
        <w:t xml:space="preserve">The subject matter </w:t>
      </w:r>
      <w:r w:rsidR="00B67E11" w:rsidRPr="000E0CA0">
        <w:rPr>
          <w:bCs/>
          <w:szCs w:val="24"/>
        </w:rPr>
        <w:t xml:space="preserve">of the Return Directive </w:t>
      </w:r>
      <w:r w:rsidRPr="000E0CA0">
        <w:rPr>
          <w:bCs/>
          <w:szCs w:val="24"/>
        </w:rPr>
        <w:t xml:space="preserve">is by its nature apt for </w:t>
      </w:r>
      <w:r w:rsidR="0064402B">
        <w:rPr>
          <w:bCs/>
          <w:szCs w:val="24"/>
        </w:rPr>
        <w:t xml:space="preserve">coordination </w:t>
      </w:r>
      <w:r w:rsidRPr="000E0CA0">
        <w:rPr>
          <w:bCs/>
          <w:szCs w:val="24"/>
        </w:rPr>
        <w:t xml:space="preserve">at the EU level </w:t>
      </w:r>
      <w:r w:rsidR="00C022AE" w:rsidRPr="000E0CA0">
        <w:rPr>
          <w:bCs/>
          <w:szCs w:val="24"/>
        </w:rPr>
        <w:t xml:space="preserve">because it concerns </w:t>
      </w:r>
      <w:r w:rsidR="00AA3B16" w:rsidRPr="000E0CA0">
        <w:rPr>
          <w:bCs/>
          <w:szCs w:val="24"/>
        </w:rPr>
        <w:t xml:space="preserve">cooperation as between </w:t>
      </w:r>
      <w:r w:rsidR="00083388" w:rsidRPr="000E0CA0">
        <w:rPr>
          <w:bCs/>
          <w:szCs w:val="24"/>
        </w:rPr>
        <w:t>M</w:t>
      </w:r>
      <w:r w:rsidR="00AA3B16" w:rsidRPr="000E0CA0">
        <w:rPr>
          <w:bCs/>
          <w:szCs w:val="24"/>
        </w:rPr>
        <w:t xml:space="preserve">ember States and </w:t>
      </w:r>
      <w:r w:rsidR="00083388" w:rsidRPr="000E0CA0">
        <w:rPr>
          <w:bCs/>
          <w:szCs w:val="24"/>
        </w:rPr>
        <w:t xml:space="preserve">– again - </w:t>
      </w:r>
      <w:r w:rsidR="00AA3B16" w:rsidRPr="000E0CA0">
        <w:rPr>
          <w:bCs/>
          <w:szCs w:val="24"/>
        </w:rPr>
        <w:t xml:space="preserve">the allocation of jurisdiction to grant licences to export from the EU. As with the Export </w:t>
      </w:r>
      <w:r w:rsidR="00083388" w:rsidRPr="000E0CA0">
        <w:rPr>
          <w:bCs/>
          <w:szCs w:val="24"/>
        </w:rPr>
        <w:t>R</w:t>
      </w:r>
      <w:r w:rsidR="00AA3B16" w:rsidRPr="000E0CA0">
        <w:rPr>
          <w:bCs/>
          <w:szCs w:val="24"/>
        </w:rPr>
        <w:t>egulation it has</w:t>
      </w:r>
      <w:r w:rsidR="00083388" w:rsidRPr="000E0CA0">
        <w:rPr>
          <w:bCs/>
          <w:szCs w:val="24"/>
        </w:rPr>
        <w:t xml:space="preserve"> </w:t>
      </w:r>
      <w:r w:rsidR="00AA3B16" w:rsidRPr="000E0CA0">
        <w:rPr>
          <w:bCs/>
          <w:szCs w:val="24"/>
        </w:rPr>
        <w:t xml:space="preserve">little to say about the substantive content of national laws on the protection of </w:t>
      </w:r>
      <w:r w:rsidR="00083388" w:rsidRPr="000E0CA0">
        <w:rPr>
          <w:bCs/>
          <w:szCs w:val="24"/>
        </w:rPr>
        <w:t>cultural</w:t>
      </w:r>
      <w:r w:rsidR="00AA3B16" w:rsidRPr="000E0CA0">
        <w:rPr>
          <w:bCs/>
          <w:szCs w:val="24"/>
        </w:rPr>
        <w:t xml:space="preserve"> items</w:t>
      </w:r>
      <w:r w:rsidR="00983475" w:rsidRPr="000E0CA0">
        <w:rPr>
          <w:bCs/>
          <w:szCs w:val="24"/>
        </w:rPr>
        <w:t>. I</w:t>
      </w:r>
      <w:r w:rsidR="00731B6E" w:rsidRPr="000E0CA0">
        <w:rPr>
          <w:bCs/>
          <w:szCs w:val="24"/>
        </w:rPr>
        <w:t xml:space="preserve">f </w:t>
      </w:r>
      <w:r w:rsidR="001C42F9">
        <w:rPr>
          <w:bCs/>
          <w:szCs w:val="24"/>
        </w:rPr>
        <w:t xml:space="preserve">an </w:t>
      </w:r>
      <w:r w:rsidR="00983475" w:rsidRPr="000E0CA0">
        <w:rPr>
          <w:bCs/>
          <w:szCs w:val="24"/>
        </w:rPr>
        <w:t>item is fo</w:t>
      </w:r>
      <w:r w:rsidR="00731B6E" w:rsidRPr="000E0CA0">
        <w:rPr>
          <w:bCs/>
          <w:szCs w:val="24"/>
        </w:rPr>
        <w:t>u</w:t>
      </w:r>
      <w:r w:rsidR="00983475" w:rsidRPr="000E0CA0">
        <w:rPr>
          <w:bCs/>
          <w:szCs w:val="24"/>
        </w:rPr>
        <w:t>nd to have been unlawfully removed</w:t>
      </w:r>
      <w:r w:rsidR="00B67E11" w:rsidRPr="000E0CA0">
        <w:rPr>
          <w:bCs/>
          <w:szCs w:val="24"/>
        </w:rPr>
        <w:t>,</w:t>
      </w:r>
      <w:r w:rsidR="00731B6E" w:rsidRPr="000E0CA0">
        <w:rPr>
          <w:bCs/>
          <w:szCs w:val="24"/>
        </w:rPr>
        <w:t xml:space="preserve"> then </w:t>
      </w:r>
      <w:r w:rsidR="00983475" w:rsidRPr="000E0CA0">
        <w:rPr>
          <w:bCs/>
          <w:szCs w:val="24"/>
        </w:rPr>
        <w:t>a duty of return arises</w:t>
      </w:r>
      <w:r w:rsidR="00731B6E" w:rsidRPr="000E0CA0">
        <w:rPr>
          <w:bCs/>
          <w:szCs w:val="24"/>
        </w:rPr>
        <w:t xml:space="preserve"> and the state of the location of the item does not have the power to </w:t>
      </w:r>
      <w:r w:rsidR="00731B6E" w:rsidRPr="000E0CA0">
        <w:rPr>
          <w:bCs/>
          <w:szCs w:val="24"/>
        </w:rPr>
        <w:lastRenderedPageBreak/>
        <w:t xml:space="preserve">grant </w:t>
      </w:r>
      <w:r w:rsidR="001A310F">
        <w:rPr>
          <w:bCs/>
          <w:szCs w:val="24"/>
        </w:rPr>
        <w:t xml:space="preserve">an </w:t>
      </w:r>
      <w:r w:rsidR="00731B6E" w:rsidRPr="000E0CA0">
        <w:rPr>
          <w:bCs/>
          <w:szCs w:val="24"/>
        </w:rPr>
        <w:t xml:space="preserve">export licence from the EU. </w:t>
      </w:r>
      <w:r w:rsidR="001C42F9">
        <w:rPr>
          <w:bCs/>
          <w:szCs w:val="24"/>
        </w:rPr>
        <w:t xml:space="preserve">The </w:t>
      </w:r>
      <w:r w:rsidR="00B67E11" w:rsidRPr="000E0CA0">
        <w:rPr>
          <w:bCs/>
          <w:szCs w:val="24"/>
        </w:rPr>
        <w:t>R</w:t>
      </w:r>
      <w:r w:rsidR="00983475" w:rsidRPr="000E0CA0">
        <w:rPr>
          <w:bCs/>
          <w:szCs w:val="24"/>
        </w:rPr>
        <w:t xml:space="preserve">eturn Directive is </w:t>
      </w:r>
      <w:r w:rsidR="001C42F9">
        <w:rPr>
          <w:bCs/>
          <w:szCs w:val="24"/>
        </w:rPr>
        <w:t xml:space="preserve">thus </w:t>
      </w:r>
      <w:r w:rsidR="00983475" w:rsidRPr="000E0CA0">
        <w:rPr>
          <w:bCs/>
          <w:szCs w:val="24"/>
        </w:rPr>
        <w:t xml:space="preserve">complementary with, and supplements, the system set up in the Export </w:t>
      </w:r>
      <w:r w:rsidR="00D14A18" w:rsidRPr="000E0CA0">
        <w:rPr>
          <w:bCs/>
          <w:szCs w:val="24"/>
        </w:rPr>
        <w:t>R</w:t>
      </w:r>
      <w:r w:rsidR="00983475" w:rsidRPr="000E0CA0">
        <w:rPr>
          <w:bCs/>
          <w:szCs w:val="24"/>
        </w:rPr>
        <w:t xml:space="preserve">egulation. </w:t>
      </w:r>
    </w:p>
    <w:p w14:paraId="02B1A867" w14:textId="77777777" w:rsidR="00671F00" w:rsidRPr="000E0CA0" w:rsidRDefault="00671F00" w:rsidP="002D37BA">
      <w:pPr>
        <w:pStyle w:val="ParaLevel1"/>
        <w:numPr>
          <w:ilvl w:val="0"/>
          <w:numId w:val="13"/>
        </w:numPr>
        <w:ind w:left="567" w:hanging="567"/>
        <w:rPr>
          <w:bCs/>
          <w:szCs w:val="24"/>
        </w:rPr>
      </w:pPr>
      <w:r w:rsidRPr="000E0CA0">
        <w:rPr>
          <w:bCs/>
          <w:szCs w:val="24"/>
        </w:rPr>
        <w:t xml:space="preserve">Recitals 2 and 3 </w:t>
      </w:r>
      <w:r w:rsidR="00C57956" w:rsidRPr="000E0CA0">
        <w:rPr>
          <w:bCs/>
          <w:szCs w:val="24"/>
        </w:rPr>
        <w:t>describe the secondary role played by the EU in this area</w:t>
      </w:r>
      <w:r w:rsidR="00983475" w:rsidRPr="000E0CA0">
        <w:rPr>
          <w:bCs/>
          <w:szCs w:val="24"/>
        </w:rPr>
        <w:t xml:space="preserve"> but also address how and why national laws regulating trade in cultural items </w:t>
      </w:r>
      <w:r w:rsidR="00B67E11" w:rsidRPr="000E0CA0">
        <w:rPr>
          <w:bCs/>
          <w:szCs w:val="24"/>
        </w:rPr>
        <w:t xml:space="preserve">can </w:t>
      </w:r>
      <w:r w:rsidR="00983475" w:rsidRPr="000E0CA0">
        <w:rPr>
          <w:bCs/>
          <w:szCs w:val="24"/>
        </w:rPr>
        <w:t>be compatible with Article 36 T</w:t>
      </w:r>
      <w:r w:rsidR="001A310F">
        <w:rPr>
          <w:bCs/>
          <w:szCs w:val="24"/>
        </w:rPr>
        <w:t>F</w:t>
      </w:r>
      <w:r w:rsidR="00983475" w:rsidRPr="000E0CA0">
        <w:rPr>
          <w:bCs/>
          <w:szCs w:val="24"/>
        </w:rPr>
        <w:t>EU</w:t>
      </w:r>
      <w:r w:rsidR="00C57956" w:rsidRPr="000E0CA0">
        <w:rPr>
          <w:bCs/>
          <w:szCs w:val="24"/>
        </w:rPr>
        <w:t>:</w:t>
      </w:r>
      <w:r w:rsidRPr="000E0CA0">
        <w:rPr>
          <w:bCs/>
          <w:szCs w:val="24"/>
        </w:rPr>
        <w:t xml:space="preserve"> </w:t>
      </w:r>
    </w:p>
    <w:p w14:paraId="74961B88" w14:textId="77777777" w:rsidR="00671F00" w:rsidRPr="000E0CA0" w:rsidRDefault="00671F00" w:rsidP="002D37BA">
      <w:pPr>
        <w:pStyle w:val="Quote"/>
        <w:rPr>
          <w:bCs/>
          <w:szCs w:val="24"/>
        </w:rPr>
      </w:pPr>
      <w:r w:rsidRPr="000E0CA0">
        <w:rPr>
          <w:bCs/>
          <w:szCs w:val="24"/>
        </w:rPr>
        <w:t>“(2)</w:t>
      </w:r>
      <w:r w:rsidR="00C022AE" w:rsidRPr="000E0CA0">
        <w:rPr>
          <w:bCs/>
          <w:szCs w:val="24"/>
        </w:rPr>
        <w:t xml:space="preserve"> </w:t>
      </w:r>
      <w:r w:rsidRPr="000E0CA0">
        <w:rPr>
          <w:bCs/>
          <w:szCs w:val="24"/>
        </w:rPr>
        <w:t>The internal market comprises an area without internal frontiers in which the free movement of goods, persons, services and capital is ensured in accordance with the Treaty on the Functioning of the European Union (TFEU). According to Article 36 TFEU, the relevant provisions on free movement of goods do not preclude prohibitions or restrictions on imports, exports or goods in transit, justified on grounds of the protection of national treasures possessing artistic, historic or archaeological value</w:t>
      </w:r>
      <w:r w:rsidR="00C022AE" w:rsidRPr="000E0CA0">
        <w:rPr>
          <w:bCs/>
          <w:szCs w:val="24"/>
        </w:rPr>
        <w:t>.</w:t>
      </w:r>
    </w:p>
    <w:p w14:paraId="3DAB1F61" w14:textId="77777777" w:rsidR="00671F00" w:rsidRPr="000E0CA0" w:rsidRDefault="00671F00" w:rsidP="002D37BA">
      <w:pPr>
        <w:pStyle w:val="Quote"/>
        <w:rPr>
          <w:bCs/>
          <w:szCs w:val="24"/>
        </w:rPr>
      </w:pPr>
      <w:r w:rsidRPr="000E0CA0">
        <w:rPr>
          <w:bCs/>
          <w:szCs w:val="24"/>
        </w:rPr>
        <w:t>(3)  Under the terms and within the limits of Article 36 TFEU, Member States retain the right to define their national treasures and to take the necessary measures to protect them. Nevertheless, the Union plays a valuable role in encouraging cooperation between Member States with a view to protecting cultural heritage of European significance, to which such national treasures belong.</w:t>
      </w:r>
      <w:r w:rsidR="00C022AE" w:rsidRPr="000E0CA0">
        <w:rPr>
          <w:bCs/>
          <w:szCs w:val="24"/>
        </w:rPr>
        <w:t>”</w:t>
      </w:r>
    </w:p>
    <w:p w14:paraId="68DF9717" w14:textId="77777777" w:rsidR="00671F00" w:rsidRPr="000E0CA0" w:rsidRDefault="00983475" w:rsidP="002D37BA">
      <w:pPr>
        <w:pStyle w:val="ParaLevel1"/>
        <w:numPr>
          <w:ilvl w:val="0"/>
          <w:numId w:val="13"/>
        </w:numPr>
        <w:ind w:left="567" w:hanging="567"/>
        <w:rPr>
          <w:bCs/>
          <w:szCs w:val="24"/>
        </w:rPr>
      </w:pPr>
      <w:r w:rsidRPr="000E0CA0">
        <w:rPr>
          <w:bCs/>
          <w:szCs w:val="24"/>
        </w:rPr>
        <w:t xml:space="preserve">In relation to national </w:t>
      </w:r>
      <w:r w:rsidR="001C42F9">
        <w:rPr>
          <w:bCs/>
          <w:szCs w:val="24"/>
        </w:rPr>
        <w:t xml:space="preserve">laws </w:t>
      </w:r>
      <w:r w:rsidRPr="000E0CA0">
        <w:rPr>
          <w:bCs/>
          <w:szCs w:val="24"/>
        </w:rPr>
        <w:t>designed to protect cultural items the</w:t>
      </w:r>
      <w:r w:rsidR="00C022AE" w:rsidRPr="000E0CA0">
        <w:rPr>
          <w:bCs/>
          <w:szCs w:val="24"/>
        </w:rPr>
        <w:t xml:space="preserve"> </w:t>
      </w:r>
      <w:r w:rsidR="00671F00" w:rsidRPr="000E0CA0">
        <w:rPr>
          <w:bCs/>
          <w:szCs w:val="24"/>
        </w:rPr>
        <w:t xml:space="preserve">EU </w:t>
      </w:r>
      <w:r w:rsidR="00D14A18" w:rsidRPr="000E0CA0">
        <w:rPr>
          <w:bCs/>
          <w:szCs w:val="24"/>
        </w:rPr>
        <w:t xml:space="preserve">thus </w:t>
      </w:r>
      <w:r w:rsidR="00671F00" w:rsidRPr="000E0CA0">
        <w:rPr>
          <w:bCs/>
          <w:szCs w:val="24"/>
        </w:rPr>
        <w:t>plays a “</w:t>
      </w:r>
      <w:r w:rsidR="00C022AE" w:rsidRPr="000E0CA0">
        <w:rPr>
          <w:bCs/>
          <w:i/>
          <w:iCs/>
          <w:szCs w:val="24"/>
        </w:rPr>
        <w:t>v</w:t>
      </w:r>
      <w:r w:rsidR="00671F00" w:rsidRPr="000E0CA0">
        <w:rPr>
          <w:bCs/>
          <w:i/>
          <w:iCs/>
          <w:szCs w:val="24"/>
        </w:rPr>
        <w:t>aluable role</w:t>
      </w:r>
      <w:r w:rsidR="00671F00" w:rsidRPr="000E0CA0">
        <w:rPr>
          <w:bCs/>
          <w:szCs w:val="24"/>
        </w:rPr>
        <w:t>” in “</w:t>
      </w:r>
      <w:r w:rsidR="00671F00" w:rsidRPr="000E0CA0">
        <w:rPr>
          <w:bCs/>
          <w:i/>
          <w:iCs/>
          <w:szCs w:val="24"/>
        </w:rPr>
        <w:t>encouraging cooperation</w:t>
      </w:r>
      <w:r w:rsidR="00671F00" w:rsidRPr="000E0CA0">
        <w:rPr>
          <w:bCs/>
          <w:szCs w:val="24"/>
        </w:rPr>
        <w:t>” so as, in effect, to enhance “</w:t>
      </w:r>
      <w:r w:rsidR="00671F00" w:rsidRPr="000E0CA0">
        <w:rPr>
          <w:bCs/>
          <w:i/>
          <w:iCs/>
          <w:szCs w:val="24"/>
        </w:rPr>
        <w:t>cultural heritage of European significance</w:t>
      </w:r>
      <w:r w:rsidR="00671F00" w:rsidRPr="000E0CA0">
        <w:rPr>
          <w:bCs/>
          <w:szCs w:val="24"/>
        </w:rPr>
        <w:t>”.</w:t>
      </w:r>
      <w:r w:rsidR="006B1A00" w:rsidRPr="000E0CA0">
        <w:rPr>
          <w:bCs/>
          <w:szCs w:val="24"/>
        </w:rPr>
        <w:t xml:space="preserve">  </w:t>
      </w:r>
      <w:r w:rsidR="00671F00" w:rsidRPr="000E0CA0">
        <w:rPr>
          <w:bCs/>
          <w:szCs w:val="24"/>
        </w:rPr>
        <w:t>The secondary and supportive role played by the EU in this area is reflected in many other recitals and in its substantive provisions. It suffices to refer, for instance, to recital 16</w:t>
      </w:r>
      <w:r w:rsidRPr="000E0CA0">
        <w:rPr>
          <w:bCs/>
          <w:szCs w:val="24"/>
        </w:rPr>
        <w:t xml:space="preserve"> which </w:t>
      </w:r>
      <w:r w:rsidR="00B67E11" w:rsidRPr="000E0CA0">
        <w:rPr>
          <w:bCs/>
          <w:szCs w:val="24"/>
        </w:rPr>
        <w:t xml:space="preserve">acknowledges the problem of the illicit trade in cultural items and which </w:t>
      </w:r>
      <w:r w:rsidRPr="000E0CA0">
        <w:rPr>
          <w:bCs/>
          <w:szCs w:val="24"/>
        </w:rPr>
        <w:t>encourages the Commission to take a supportive role vi</w:t>
      </w:r>
      <w:r w:rsidR="00952F13">
        <w:rPr>
          <w:bCs/>
          <w:szCs w:val="24"/>
        </w:rPr>
        <w:t>s-a-</w:t>
      </w:r>
      <w:r w:rsidRPr="000E0CA0">
        <w:rPr>
          <w:bCs/>
          <w:szCs w:val="24"/>
        </w:rPr>
        <w:t>vi</w:t>
      </w:r>
      <w:r w:rsidR="00952F13">
        <w:rPr>
          <w:bCs/>
          <w:szCs w:val="24"/>
        </w:rPr>
        <w:t>s</w:t>
      </w:r>
      <w:r w:rsidRPr="000E0CA0">
        <w:rPr>
          <w:bCs/>
          <w:szCs w:val="24"/>
        </w:rPr>
        <w:t xml:space="preserve"> the Member States</w:t>
      </w:r>
      <w:r w:rsidR="00671F00" w:rsidRPr="000E0CA0">
        <w:rPr>
          <w:bCs/>
          <w:szCs w:val="24"/>
        </w:rPr>
        <w:t xml:space="preserve">: </w:t>
      </w:r>
    </w:p>
    <w:p w14:paraId="64B438CD" w14:textId="77777777" w:rsidR="00671F00" w:rsidRPr="000E0CA0" w:rsidRDefault="00671F00" w:rsidP="002D37BA">
      <w:pPr>
        <w:pStyle w:val="Quote"/>
        <w:rPr>
          <w:bCs/>
          <w:szCs w:val="24"/>
        </w:rPr>
      </w:pPr>
      <w:r w:rsidRPr="000E0CA0">
        <w:rPr>
          <w:bCs/>
          <w:szCs w:val="24"/>
        </w:rPr>
        <w:t>“In its Conclusions on preventing and combating crime against cultural goods adopted on 13 and 14 December 2011, the Council recognised the need to take measures in order to make preventing and combating crime concerning cultural objects more effective. It recommended that the Commission support Member States in the effective protection of cultural objects with a view to preventing and combating trafficking and promoting complementary measures where appropriate. In addition, the Council recommended that the Member States consider the ratification of the Unesco Convention on the Means of Prohibiting and Preventing the Illicit Import, Export and Transfer of Ownership of Cultural Property signed in Paris on 17 November 1970, and the UNIDROIT Convention on Stolen or Illegally Exported Cultural Objects signed in Rome on 24 June 1995.”</w:t>
      </w:r>
    </w:p>
    <w:p w14:paraId="70F3FC71" w14:textId="77777777" w:rsidR="006B1A00" w:rsidRPr="000E0CA0" w:rsidRDefault="006B1A00" w:rsidP="002D37BA">
      <w:pPr>
        <w:pStyle w:val="ParaLevel1"/>
        <w:numPr>
          <w:ilvl w:val="0"/>
          <w:numId w:val="13"/>
        </w:numPr>
        <w:ind w:left="567" w:hanging="567"/>
        <w:rPr>
          <w:bCs/>
          <w:szCs w:val="24"/>
        </w:rPr>
      </w:pPr>
      <w:r w:rsidRPr="000E0CA0">
        <w:rPr>
          <w:bCs/>
          <w:szCs w:val="24"/>
        </w:rPr>
        <w:t xml:space="preserve">Article 3 imposes an obligation on Member States to ensure that cultural objects which have been unlawfully removed from the territory of a Member State are returned in </w:t>
      </w:r>
      <w:r w:rsidRPr="000E0CA0">
        <w:rPr>
          <w:bCs/>
          <w:szCs w:val="24"/>
        </w:rPr>
        <w:lastRenderedPageBreak/>
        <w:t>accordance with the provisions of the Directive.  There are provisions governing the</w:t>
      </w:r>
      <w:r w:rsidR="00D14A18" w:rsidRPr="000E0CA0">
        <w:rPr>
          <w:bCs/>
          <w:szCs w:val="24"/>
        </w:rPr>
        <w:t xml:space="preserve"> </w:t>
      </w:r>
      <w:r w:rsidRPr="000E0CA0">
        <w:rPr>
          <w:bCs/>
          <w:szCs w:val="24"/>
        </w:rPr>
        <w:t xml:space="preserve">mechanisms that Member States must apply to the return of cultural products.  </w:t>
      </w:r>
    </w:p>
    <w:p w14:paraId="5B287170" w14:textId="609C05C6" w:rsidR="00671F00" w:rsidRPr="000E0CA0" w:rsidRDefault="006B1A00" w:rsidP="002D37BA">
      <w:pPr>
        <w:pStyle w:val="ParaLevel1"/>
        <w:numPr>
          <w:ilvl w:val="0"/>
          <w:numId w:val="13"/>
        </w:numPr>
        <w:ind w:left="567" w:hanging="567"/>
        <w:rPr>
          <w:bCs/>
          <w:szCs w:val="24"/>
        </w:rPr>
      </w:pPr>
      <w:r w:rsidRPr="000E0CA0">
        <w:rPr>
          <w:bCs/>
          <w:szCs w:val="24"/>
        </w:rPr>
        <w:t>T</w:t>
      </w:r>
      <w:r w:rsidR="00671F00" w:rsidRPr="000E0CA0">
        <w:rPr>
          <w:bCs/>
          <w:szCs w:val="24"/>
        </w:rPr>
        <w:t>he Directive ha</w:t>
      </w:r>
      <w:r w:rsidRPr="000E0CA0">
        <w:rPr>
          <w:bCs/>
          <w:szCs w:val="24"/>
        </w:rPr>
        <w:t xml:space="preserve">s </w:t>
      </w:r>
      <w:r w:rsidR="00671F00" w:rsidRPr="000E0CA0">
        <w:rPr>
          <w:bCs/>
          <w:szCs w:val="24"/>
        </w:rPr>
        <w:t>a definitions section covering: “</w:t>
      </w:r>
      <w:r w:rsidR="00671F00" w:rsidRPr="000E0CA0">
        <w:rPr>
          <w:bCs/>
          <w:i/>
          <w:iCs/>
          <w:szCs w:val="24"/>
        </w:rPr>
        <w:t>cultural object</w:t>
      </w:r>
      <w:r w:rsidR="00671F00" w:rsidRPr="000E0CA0">
        <w:rPr>
          <w:bCs/>
          <w:szCs w:val="24"/>
        </w:rPr>
        <w:t>”, “</w:t>
      </w:r>
      <w:r w:rsidR="00671F00" w:rsidRPr="000E0CA0">
        <w:rPr>
          <w:bCs/>
          <w:i/>
          <w:iCs/>
          <w:szCs w:val="24"/>
        </w:rPr>
        <w:t>unlawfully removed from the territory of a Member</w:t>
      </w:r>
      <w:r w:rsidR="004B1186">
        <w:rPr>
          <w:bCs/>
          <w:i/>
          <w:iCs/>
          <w:szCs w:val="24"/>
        </w:rPr>
        <w:t xml:space="preserve"> State</w:t>
      </w:r>
      <w:r w:rsidR="00671F00" w:rsidRPr="000E0CA0">
        <w:rPr>
          <w:bCs/>
          <w:szCs w:val="24"/>
        </w:rPr>
        <w:t>”, “</w:t>
      </w:r>
      <w:r w:rsidR="00671F00" w:rsidRPr="000E0CA0">
        <w:rPr>
          <w:bCs/>
          <w:i/>
          <w:iCs/>
          <w:szCs w:val="24"/>
        </w:rPr>
        <w:t>requesting Member State</w:t>
      </w:r>
      <w:r w:rsidR="00671F00" w:rsidRPr="000E0CA0">
        <w:rPr>
          <w:bCs/>
          <w:szCs w:val="24"/>
        </w:rPr>
        <w:t>”, “</w:t>
      </w:r>
      <w:r w:rsidR="00671F00" w:rsidRPr="000E0CA0">
        <w:rPr>
          <w:bCs/>
          <w:i/>
          <w:iCs/>
          <w:szCs w:val="24"/>
        </w:rPr>
        <w:t>requested Member State</w:t>
      </w:r>
      <w:r w:rsidR="00671F00" w:rsidRPr="000E0CA0">
        <w:rPr>
          <w:bCs/>
          <w:szCs w:val="24"/>
        </w:rPr>
        <w:t>”, “</w:t>
      </w:r>
      <w:r w:rsidR="00671F00" w:rsidRPr="000E0CA0">
        <w:rPr>
          <w:bCs/>
          <w:i/>
          <w:iCs/>
          <w:szCs w:val="24"/>
        </w:rPr>
        <w:t>return</w:t>
      </w:r>
      <w:r w:rsidR="00671F00" w:rsidRPr="000E0CA0">
        <w:rPr>
          <w:bCs/>
          <w:szCs w:val="24"/>
        </w:rPr>
        <w:t>”, “</w:t>
      </w:r>
      <w:r w:rsidR="00671F00" w:rsidRPr="000E0CA0">
        <w:rPr>
          <w:bCs/>
          <w:i/>
          <w:iCs/>
          <w:szCs w:val="24"/>
        </w:rPr>
        <w:t>possessor</w:t>
      </w:r>
      <w:r w:rsidR="00671F00" w:rsidRPr="000E0CA0">
        <w:rPr>
          <w:bCs/>
          <w:szCs w:val="24"/>
        </w:rPr>
        <w:t>”, “</w:t>
      </w:r>
      <w:r w:rsidR="00671F00" w:rsidRPr="000E0CA0">
        <w:rPr>
          <w:bCs/>
          <w:i/>
          <w:iCs/>
          <w:szCs w:val="24"/>
        </w:rPr>
        <w:t>holder</w:t>
      </w:r>
      <w:r w:rsidR="00671F00" w:rsidRPr="000E0CA0">
        <w:rPr>
          <w:bCs/>
          <w:szCs w:val="24"/>
        </w:rPr>
        <w:t>”, and “</w:t>
      </w:r>
      <w:r w:rsidR="00671F00" w:rsidRPr="000E0CA0">
        <w:rPr>
          <w:bCs/>
          <w:i/>
          <w:iCs/>
          <w:szCs w:val="24"/>
        </w:rPr>
        <w:t>public collections</w:t>
      </w:r>
      <w:r w:rsidR="00671F00" w:rsidRPr="000E0CA0">
        <w:rPr>
          <w:bCs/>
          <w:szCs w:val="24"/>
        </w:rPr>
        <w:t>”.</w:t>
      </w:r>
      <w:r w:rsidRPr="000E0CA0">
        <w:rPr>
          <w:bCs/>
          <w:szCs w:val="24"/>
        </w:rPr>
        <w:t xml:space="preserve">  </w:t>
      </w:r>
      <w:r w:rsidR="00671F00" w:rsidRPr="000E0CA0">
        <w:rPr>
          <w:bCs/>
          <w:szCs w:val="24"/>
        </w:rPr>
        <w:t xml:space="preserve">Article 2(2)(a) and (b) provides: </w:t>
      </w:r>
    </w:p>
    <w:p w14:paraId="3994AF3A" w14:textId="77777777" w:rsidR="00671F00" w:rsidRPr="000E0CA0" w:rsidRDefault="00671F00" w:rsidP="002D37BA">
      <w:pPr>
        <w:pStyle w:val="Quote"/>
        <w:rPr>
          <w:bCs/>
          <w:szCs w:val="24"/>
        </w:rPr>
      </w:pPr>
      <w:r w:rsidRPr="000E0CA0">
        <w:rPr>
          <w:bCs/>
          <w:szCs w:val="24"/>
        </w:rPr>
        <w:t>“unlawfully removed from the territory of a Member State’ means: (</w:t>
      </w:r>
      <w:r w:rsidR="00983475" w:rsidRPr="000E0CA0">
        <w:rPr>
          <w:bCs/>
          <w:szCs w:val="24"/>
        </w:rPr>
        <w:t>a) removed</w:t>
      </w:r>
      <w:r w:rsidRPr="000E0CA0">
        <w:rPr>
          <w:bCs/>
          <w:szCs w:val="24"/>
        </w:rPr>
        <w:t xml:space="preserve"> from the territory of a Member State in breach of its rules on the protection of national treasures or in breach of Regulation (EC) No 116/2009; or (</w:t>
      </w:r>
      <w:r w:rsidR="00983475" w:rsidRPr="000E0CA0">
        <w:rPr>
          <w:bCs/>
          <w:szCs w:val="24"/>
        </w:rPr>
        <w:t>b) not</w:t>
      </w:r>
      <w:r w:rsidRPr="000E0CA0">
        <w:rPr>
          <w:bCs/>
          <w:szCs w:val="24"/>
        </w:rPr>
        <w:t xml:space="preserve"> returned at the end of a period of lawful temporary removal or any breach of another condition governing such temporary removal…”</w:t>
      </w:r>
    </w:p>
    <w:p w14:paraId="1813203C" w14:textId="6C74C0BB" w:rsidR="00983475" w:rsidRPr="000E0CA0" w:rsidRDefault="00983475" w:rsidP="002D37BA">
      <w:pPr>
        <w:pStyle w:val="ParaLevel1"/>
        <w:numPr>
          <w:ilvl w:val="0"/>
          <w:numId w:val="13"/>
        </w:numPr>
        <w:ind w:left="567" w:hanging="567"/>
        <w:rPr>
          <w:szCs w:val="24"/>
        </w:rPr>
      </w:pPr>
      <w:r w:rsidRPr="000E0CA0">
        <w:rPr>
          <w:szCs w:val="24"/>
        </w:rPr>
        <w:t>It is in my view perfectly clear that the definition of “</w:t>
      </w:r>
      <w:r w:rsidRPr="000E0CA0">
        <w:rPr>
          <w:bCs/>
          <w:i/>
          <w:iCs/>
          <w:szCs w:val="24"/>
        </w:rPr>
        <w:t>unlawfully removed from the territory of a Member</w:t>
      </w:r>
      <w:r w:rsidR="00FD22D1">
        <w:rPr>
          <w:bCs/>
          <w:i/>
          <w:iCs/>
          <w:szCs w:val="24"/>
        </w:rPr>
        <w:t xml:space="preserve"> State</w:t>
      </w:r>
      <w:r w:rsidRPr="000E0CA0">
        <w:rPr>
          <w:bCs/>
          <w:szCs w:val="24"/>
        </w:rPr>
        <w:t>”, as applied to the present case</w:t>
      </w:r>
      <w:r w:rsidR="001356B6" w:rsidRPr="000E0CA0">
        <w:rPr>
          <w:bCs/>
          <w:szCs w:val="24"/>
        </w:rPr>
        <w:t>,</w:t>
      </w:r>
      <w:r w:rsidRPr="000E0CA0">
        <w:rPr>
          <w:bCs/>
          <w:szCs w:val="24"/>
        </w:rPr>
        <w:t xml:space="preserve"> w</w:t>
      </w:r>
      <w:r w:rsidR="009038D1" w:rsidRPr="000E0CA0">
        <w:rPr>
          <w:bCs/>
          <w:szCs w:val="24"/>
        </w:rPr>
        <w:t>ou</w:t>
      </w:r>
      <w:r w:rsidRPr="000E0CA0">
        <w:rPr>
          <w:bCs/>
          <w:szCs w:val="24"/>
        </w:rPr>
        <w:t>ld require the Arts Co</w:t>
      </w:r>
      <w:r w:rsidR="009038D1" w:rsidRPr="000E0CA0">
        <w:rPr>
          <w:bCs/>
          <w:szCs w:val="24"/>
        </w:rPr>
        <w:t xml:space="preserve">uncil </w:t>
      </w:r>
      <w:r w:rsidRPr="000E0CA0">
        <w:rPr>
          <w:bCs/>
          <w:szCs w:val="24"/>
        </w:rPr>
        <w:t>to determine whether the painting was removed in breach of It</w:t>
      </w:r>
      <w:r w:rsidR="009038D1" w:rsidRPr="000E0CA0">
        <w:rPr>
          <w:bCs/>
          <w:szCs w:val="24"/>
        </w:rPr>
        <w:t xml:space="preserve">alian </w:t>
      </w:r>
      <w:r w:rsidRPr="000E0CA0">
        <w:rPr>
          <w:bCs/>
          <w:szCs w:val="24"/>
        </w:rPr>
        <w:t xml:space="preserve">law. </w:t>
      </w:r>
      <w:r w:rsidR="009038D1" w:rsidRPr="000E0CA0">
        <w:rPr>
          <w:bCs/>
          <w:szCs w:val="24"/>
        </w:rPr>
        <w:t>If it was then the Arts Council does not have jurisdiction</w:t>
      </w:r>
      <w:r w:rsidR="001356B6" w:rsidRPr="000E0CA0">
        <w:rPr>
          <w:bCs/>
          <w:szCs w:val="24"/>
        </w:rPr>
        <w:t xml:space="preserve"> to grant a licence to export from the EU.</w:t>
      </w:r>
      <w:r w:rsidR="00D14A18" w:rsidRPr="000E0CA0">
        <w:rPr>
          <w:bCs/>
          <w:szCs w:val="24"/>
        </w:rPr>
        <w:t xml:space="preserve"> </w:t>
      </w:r>
      <w:r w:rsidR="009038D1" w:rsidRPr="000E0CA0">
        <w:rPr>
          <w:bCs/>
          <w:szCs w:val="24"/>
        </w:rPr>
        <w:t xml:space="preserve"> </w:t>
      </w:r>
    </w:p>
    <w:p w14:paraId="30C8614F" w14:textId="77777777" w:rsidR="000A38CB" w:rsidRPr="000E0CA0" w:rsidRDefault="000A38CB" w:rsidP="002D37BA">
      <w:pPr>
        <w:pStyle w:val="ParaLevel1"/>
        <w:numPr>
          <w:ilvl w:val="0"/>
          <w:numId w:val="26"/>
        </w:numPr>
        <w:ind w:hanging="513"/>
        <w:rPr>
          <w:b/>
          <w:bCs/>
          <w:szCs w:val="24"/>
        </w:rPr>
      </w:pPr>
      <w:r w:rsidRPr="000E0CA0">
        <w:rPr>
          <w:b/>
          <w:bCs/>
          <w:i/>
          <w:iCs/>
          <w:szCs w:val="24"/>
        </w:rPr>
        <w:t>Domestic implementing measures</w:t>
      </w:r>
    </w:p>
    <w:p w14:paraId="1249E06E" w14:textId="08D121FA" w:rsidR="00DA1A0E" w:rsidRPr="000E0CA0" w:rsidRDefault="000A38CB" w:rsidP="002D37BA">
      <w:pPr>
        <w:pStyle w:val="ListParagraph"/>
        <w:numPr>
          <w:ilvl w:val="0"/>
          <w:numId w:val="13"/>
        </w:numPr>
        <w:spacing w:after="0" w:line="240" w:lineRule="auto"/>
        <w:ind w:left="567" w:hanging="567"/>
        <w:contextualSpacing w:val="0"/>
        <w:jc w:val="both"/>
        <w:rPr>
          <w:rFonts w:ascii="Times New Roman" w:hAnsi="Times New Roman"/>
          <w:bCs/>
          <w:sz w:val="24"/>
          <w:szCs w:val="24"/>
          <w:lang w:val="en"/>
        </w:rPr>
      </w:pPr>
      <w:r w:rsidRPr="000E0CA0">
        <w:rPr>
          <w:rFonts w:ascii="Times New Roman" w:hAnsi="Times New Roman"/>
          <w:bCs/>
          <w:sz w:val="24"/>
          <w:szCs w:val="24"/>
        </w:rPr>
        <w:t xml:space="preserve">I refer, for the sake of completeness, to the </w:t>
      </w:r>
      <w:r w:rsidR="001C42F9">
        <w:rPr>
          <w:rFonts w:ascii="Times New Roman" w:hAnsi="Times New Roman"/>
          <w:bCs/>
          <w:sz w:val="24"/>
          <w:szCs w:val="24"/>
        </w:rPr>
        <w:t xml:space="preserve">implementing </w:t>
      </w:r>
      <w:r w:rsidRPr="000E0CA0">
        <w:rPr>
          <w:rFonts w:ascii="Times New Roman" w:hAnsi="Times New Roman"/>
          <w:bCs/>
          <w:sz w:val="24"/>
          <w:szCs w:val="24"/>
        </w:rPr>
        <w:t>measures adopted in domestic law.  Strictly</w:t>
      </w:r>
      <w:r w:rsidR="001356B6" w:rsidRPr="000E0CA0">
        <w:rPr>
          <w:rFonts w:ascii="Times New Roman" w:hAnsi="Times New Roman"/>
          <w:bCs/>
          <w:sz w:val="24"/>
          <w:szCs w:val="24"/>
        </w:rPr>
        <w:t>,</w:t>
      </w:r>
      <w:r w:rsidRPr="000E0CA0">
        <w:rPr>
          <w:rFonts w:ascii="Times New Roman" w:hAnsi="Times New Roman"/>
          <w:bCs/>
          <w:sz w:val="24"/>
          <w:szCs w:val="24"/>
        </w:rPr>
        <w:t xml:space="preserve"> an EU regulation</w:t>
      </w:r>
      <w:r w:rsidR="00DA1A0E" w:rsidRPr="000E0CA0">
        <w:rPr>
          <w:rFonts w:ascii="Times New Roman" w:hAnsi="Times New Roman"/>
          <w:bCs/>
          <w:sz w:val="24"/>
          <w:szCs w:val="24"/>
        </w:rPr>
        <w:t xml:space="preserve">, being directly applicable, </w:t>
      </w:r>
      <w:r w:rsidRPr="000E0CA0">
        <w:rPr>
          <w:rFonts w:ascii="Times New Roman" w:hAnsi="Times New Roman"/>
          <w:bCs/>
          <w:sz w:val="24"/>
          <w:szCs w:val="24"/>
        </w:rPr>
        <w:t xml:space="preserve">does not require transposition into domestic law in order for it to have legal effect.  </w:t>
      </w:r>
      <w:r w:rsidR="003E6C02">
        <w:rPr>
          <w:rFonts w:ascii="Times New Roman" w:hAnsi="Times New Roman"/>
          <w:bCs/>
          <w:sz w:val="24"/>
          <w:szCs w:val="24"/>
        </w:rPr>
        <w:t>By</w:t>
      </w:r>
      <w:r w:rsidRPr="000E0CA0">
        <w:rPr>
          <w:rFonts w:ascii="Times New Roman" w:hAnsi="Times New Roman"/>
          <w:bCs/>
          <w:sz w:val="24"/>
          <w:szCs w:val="24"/>
        </w:rPr>
        <w:t xml:space="preserve"> contrast </w:t>
      </w:r>
      <w:r w:rsidR="00B67E11" w:rsidRPr="000E0CA0">
        <w:rPr>
          <w:rFonts w:ascii="Times New Roman" w:hAnsi="Times New Roman"/>
          <w:bCs/>
          <w:sz w:val="24"/>
          <w:szCs w:val="24"/>
        </w:rPr>
        <w:t xml:space="preserve">an EU </w:t>
      </w:r>
      <w:r w:rsidRPr="000E0CA0">
        <w:rPr>
          <w:rFonts w:ascii="Times New Roman" w:hAnsi="Times New Roman"/>
          <w:bCs/>
          <w:sz w:val="24"/>
          <w:szCs w:val="24"/>
        </w:rPr>
        <w:t xml:space="preserve">directive must be implemented by measures of domestic law which give it full force and effect. </w:t>
      </w:r>
      <w:r w:rsidR="009A61B6">
        <w:rPr>
          <w:rFonts w:ascii="Times New Roman" w:hAnsi="Times New Roman"/>
          <w:bCs/>
          <w:sz w:val="24"/>
          <w:szCs w:val="24"/>
        </w:rPr>
        <w:t xml:space="preserve"> T</w:t>
      </w:r>
      <w:r w:rsidR="00DA1A0E" w:rsidRPr="000E0CA0">
        <w:rPr>
          <w:rFonts w:ascii="Times New Roman" w:hAnsi="Times New Roman"/>
          <w:bCs/>
          <w:sz w:val="24"/>
          <w:szCs w:val="24"/>
        </w:rPr>
        <w:t xml:space="preserve">he </w:t>
      </w:r>
      <w:r w:rsidR="007E2ED4" w:rsidRPr="000E0CA0">
        <w:rPr>
          <w:rFonts w:ascii="Times New Roman" w:hAnsi="Times New Roman"/>
          <w:bCs/>
          <w:sz w:val="24"/>
          <w:szCs w:val="24"/>
        </w:rPr>
        <w:t xml:space="preserve">Export </w:t>
      </w:r>
      <w:r w:rsidR="00DA1A0E" w:rsidRPr="000E0CA0">
        <w:rPr>
          <w:rFonts w:ascii="Times New Roman" w:hAnsi="Times New Roman"/>
          <w:bCs/>
          <w:sz w:val="24"/>
          <w:szCs w:val="24"/>
        </w:rPr>
        <w:t xml:space="preserve">Regulation and the </w:t>
      </w:r>
      <w:r w:rsidR="007E2ED4" w:rsidRPr="000E0CA0">
        <w:rPr>
          <w:rFonts w:ascii="Times New Roman" w:hAnsi="Times New Roman"/>
          <w:bCs/>
          <w:sz w:val="24"/>
          <w:szCs w:val="24"/>
        </w:rPr>
        <w:t xml:space="preserve">Return </w:t>
      </w:r>
      <w:r w:rsidR="00DA1A0E" w:rsidRPr="000E0CA0">
        <w:rPr>
          <w:rFonts w:ascii="Times New Roman" w:hAnsi="Times New Roman"/>
          <w:bCs/>
          <w:sz w:val="24"/>
          <w:szCs w:val="24"/>
        </w:rPr>
        <w:t xml:space="preserve">Directive have been </w:t>
      </w:r>
      <w:r w:rsidR="007E2ED4" w:rsidRPr="000E0CA0">
        <w:rPr>
          <w:rFonts w:ascii="Times New Roman" w:hAnsi="Times New Roman"/>
          <w:bCs/>
          <w:sz w:val="24"/>
          <w:szCs w:val="24"/>
        </w:rPr>
        <w:t xml:space="preserve">implemented </w:t>
      </w:r>
      <w:r w:rsidR="00DA1A0E" w:rsidRPr="000E0CA0">
        <w:rPr>
          <w:rFonts w:ascii="Times New Roman" w:hAnsi="Times New Roman"/>
          <w:bCs/>
          <w:sz w:val="24"/>
          <w:szCs w:val="24"/>
          <w:lang w:val="en"/>
        </w:rPr>
        <w:t xml:space="preserve">in the UK by the </w:t>
      </w:r>
      <w:r w:rsidR="00BC7832">
        <w:rPr>
          <w:rFonts w:ascii="Times New Roman" w:hAnsi="Times New Roman"/>
          <w:bCs/>
          <w:sz w:val="24"/>
          <w:szCs w:val="24"/>
          <w:lang w:val="en"/>
        </w:rPr>
        <w:t>Return of Cultural Objects Regulations 1994, SI 1994/501 (as amended)</w:t>
      </w:r>
      <w:r w:rsidR="009D2282">
        <w:rPr>
          <w:rFonts w:ascii="Times New Roman" w:hAnsi="Times New Roman"/>
          <w:bCs/>
          <w:sz w:val="24"/>
          <w:szCs w:val="24"/>
          <w:lang w:val="en"/>
        </w:rPr>
        <w:t xml:space="preserve"> (“</w:t>
      </w:r>
      <w:r w:rsidR="009D2282" w:rsidRPr="00C33D5F">
        <w:rPr>
          <w:rFonts w:ascii="Times New Roman" w:hAnsi="Times New Roman"/>
          <w:bCs/>
          <w:i/>
          <w:sz w:val="24"/>
          <w:szCs w:val="24"/>
          <w:lang w:val="en"/>
        </w:rPr>
        <w:t>the 1994 Regulations</w:t>
      </w:r>
      <w:r w:rsidR="009D2282">
        <w:rPr>
          <w:rFonts w:ascii="Times New Roman" w:hAnsi="Times New Roman"/>
          <w:bCs/>
          <w:sz w:val="24"/>
          <w:szCs w:val="24"/>
          <w:lang w:val="en"/>
        </w:rPr>
        <w:t xml:space="preserve">”) and the </w:t>
      </w:r>
      <w:r w:rsidR="00DA1A0E" w:rsidRPr="000E0CA0">
        <w:rPr>
          <w:rFonts w:ascii="Times New Roman" w:hAnsi="Times New Roman"/>
          <w:bCs/>
          <w:sz w:val="24"/>
          <w:szCs w:val="24"/>
          <w:lang w:val="en"/>
        </w:rPr>
        <w:t>Export of Objects of Cultural Interest (Control) Order 2003, SI 2003/2759 (“</w:t>
      </w:r>
      <w:r w:rsidR="00DA1A0E" w:rsidRPr="000E0CA0">
        <w:rPr>
          <w:rFonts w:ascii="Times New Roman" w:hAnsi="Times New Roman"/>
          <w:bCs/>
          <w:i/>
          <w:iCs/>
          <w:sz w:val="24"/>
          <w:szCs w:val="24"/>
          <w:lang w:val="en"/>
        </w:rPr>
        <w:t>the 2003 Order</w:t>
      </w:r>
      <w:r w:rsidR="00DA1A0E" w:rsidRPr="000E0CA0">
        <w:rPr>
          <w:rFonts w:ascii="Times New Roman" w:hAnsi="Times New Roman"/>
          <w:bCs/>
          <w:sz w:val="24"/>
          <w:szCs w:val="24"/>
          <w:lang w:val="en"/>
        </w:rPr>
        <w:t>”).</w:t>
      </w:r>
      <w:r w:rsidR="00C57956" w:rsidRPr="000E0CA0">
        <w:rPr>
          <w:rFonts w:ascii="Times New Roman" w:hAnsi="Times New Roman"/>
          <w:bCs/>
          <w:sz w:val="24"/>
          <w:szCs w:val="24"/>
          <w:lang w:val="en"/>
        </w:rPr>
        <w:t xml:space="preserve">  It is common ground that not</w:t>
      </w:r>
      <w:r w:rsidR="009038D1" w:rsidRPr="000E0CA0">
        <w:rPr>
          <w:rFonts w:ascii="Times New Roman" w:hAnsi="Times New Roman"/>
          <w:bCs/>
          <w:sz w:val="24"/>
          <w:szCs w:val="24"/>
          <w:lang w:val="en"/>
        </w:rPr>
        <w:t>h</w:t>
      </w:r>
      <w:r w:rsidR="00C57956" w:rsidRPr="000E0CA0">
        <w:rPr>
          <w:rFonts w:ascii="Times New Roman" w:hAnsi="Times New Roman"/>
          <w:bCs/>
          <w:sz w:val="24"/>
          <w:szCs w:val="24"/>
          <w:lang w:val="en"/>
        </w:rPr>
        <w:t>ing in this appeal turns upon the interpretation of the</w:t>
      </w:r>
      <w:r w:rsidR="00A57215">
        <w:rPr>
          <w:rFonts w:ascii="Times New Roman" w:hAnsi="Times New Roman"/>
          <w:bCs/>
          <w:sz w:val="24"/>
          <w:szCs w:val="24"/>
          <w:lang w:val="en"/>
        </w:rPr>
        <w:t xml:space="preserve"> 1994 Regulations or the</w:t>
      </w:r>
      <w:r w:rsidR="00C57956" w:rsidRPr="000E0CA0">
        <w:rPr>
          <w:rFonts w:ascii="Times New Roman" w:hAnsi="Times New Roman"/>
          <w:bCs/>
          <w:sz w:val="24"/>
          <w:szCs w:val="24"/>
          <w:lang w:val="en"/>
        </w:rPr>
        <w:t xml:space="preserve"> 2003 Order.</w:t>
      </w:r>
    </w:p>
    <w:p w14:paraId="37338F70" w14:textId="06404E2F" w:rsidR="003970CA" w:rsidRPr="000E0CA0" w:rsidRDefault="001212BF" w:rsidP="002D37BA">
      <w:pPr>
        <w:pStyle w:val="ParaLevel1"/>
        <w:tabs>
          <w:tab w:val="clear" w:pos="1996"/>
        </w:tabs>
        <w:ind w:left="567" w:hanging="567"/>
        <w:rPr>
          <w:b/>
          <w:szCs w:val="24"/>
          <w:u w:val="single"/>
        </w:rPr>
      </w:pPr>
      <w:r w:rsidRPr="000E0CA0">
        <w:rPr>
          <w:b/>
          <w:szCs w:val="24"/>
          <w:u w:val="single"/>
        </w:rPr>
        <w:t>Ground I: “Lawful and definitive dispatch” – the interpretation of Article 2 of Regulation 116/2009 of 18</w:t>
      </w:r>
      <w:r w:rsidRPr="000E0CA0">
        <w:rPr>
          <w:b/>
          <w:szCs w:val="24"/>
          <w:u w:val="single"/>
          <w:vertAlign w:val="superscript"/>
        </w:rPr>
        <w:t>th</w:t>
      </w:r>
      <w:r w:rsidRPr="000E0CA0">
        <w:rPr>
          <w:b/>
          <w:szCs w:val="24"/>
          <w:u w:val="single"/>
        </w:rPr>
        <w:t xml:space="preserve"> December 2009</w:t>
      </w:r>
      <w:r w:rsidR="009F425D" w:rsidRPr="000E0CA0">
        <w:rPr>
          <w:b/>
          <w:szCs w:val="24"/>
          <w:u w:val="single"/>
        </w:rPr>
        <w:t xml:space="preserve"> (the </w:t>
      </w:r>
      <w:r w:rsidR="00AD1B72">
        <w:rPr>
          <w:b/>
          <w:szCs w:val="24"/>
          <w:u w:val="single"/>
        </w:rPr>
        <w:t>Export</w:t>
      </w:r>
      <w:r w:rsidR="009F425D" w:rsidRPr="000E0CA0">
        <w:rPr>
          <w:b/>
          <w:szCs w:val="24"/>
          <w:u w:val="single"/>
        </w:rPr>
        <w:t xml:space="preserve"> Regulation)</w:t>
      </w:r>
    </w:p>
    <w:p w14:paraId="50128D5C" w14:textId="77777777" w:rsidR="00854567" w:rsidRPr="000E0CA0" w:rsidRDefault="00C022AE" w:rsidP="002D37BA">
      <w:pPr>
        <w:pStyle w:val="ParaLevel1"/>
        <w:numPr>
          <w:ilvl w:val="0"/>
          <w:numId w:val="13"/>
        </w:numPr>
        <w:ind w:left="567" w:hanging="578"/>
        <w:rPr>
          <w:bCs/>
          <w:i/>
          <w:szCs w:val="24"/>
        </w:rPr>
      </w:pPr>
      <w:r w:rsidRPr="000E0CA0">
        <w:rPr>
          <w:bCs/>
          <w:szCs w:val="24"/>
        </w:rPr>
        <w:t>I turn no</w:t>
      </w:r>
      <w:r w:rsidR="00854567" w:rsidRPr="000E0CA0">
        <w:rPr>
          <w:bCs/>
          <w:szCs w:val="24"/>
        </w:rPr>
        <w:t>w to the first ground of appeal which focuses upon the meaning of “</w:t>
      </w:r>
      <w:r w:rsidR="00854567" w:rsidRPr="000E0CA0">
        <w:rPr>
          <w:bCs/>
          <w:i/>
          <w:szCs w:val="24"/>
        </w:rPr>
        <w:t>l</w:t>
      </w:r>
      <w:r w:rsidR="00854567" w:rsidRPr="000E0CA0">
        <w:rPr>
          <w:i/>
          <w:szCs w:val="24"/>
        </w:rPr>
        <w:t>awful and definitive dispatch</w:t>
      </w:r>
      <w:r w:rsidR="00854567" w:rsidRPr="000E0CA0">
        <w:rPr>
          <w:szCs w:val="24"/>
        </w:rPr>
        <w:t>” in Article 2(2)(</w:t>
      </w:r>
      <w:r w:rsidR="007E2ED4" w:rsidRPr="000E0CA0">
        <w:rPr>
          <w:szCs w:val="24"/>
        </w:rPr>
        <w:t>b</w:t>
      </w:r>
      <w:r w:rsidR="00854567" w:rsidRPr="000E0CA0">
        <w:rPr>
          <w:szCs w:val="24"/>
        </w:rPr>
        <w:t>) of the Export Regulation</w:t>
      </w:r>
      <w:r w:rsidR="001C42F9">
        <w:rPr>
          <w:szCs w:val="24"/>
        </w:rPr>
        <w:t>: see paragraph [45] above</w:t>
      </w:r>
      <w:r w:rsidR="00854567" w:rsidRPr="000E0CA0">
        <w:rPr>
          <w:i/>
          <w:szCs w:val="24"/>
        </w:rPr>
        <w:t>.</w:t>
      </w:r>
      <w:r w:rsidRPr="000E0CA0">
        <w:rPr>
          <w:bCs/>
          <w:i/>
          <w:szCs w:val="24"/>
        </w:rPr>
        <w:t xml:space="preserve"> </w:t>
      </w:r>
    </w:p>
    <w:p w14:paraId="72C5DBCF" w14:textId="3B49B86E" w:rsidR="00D07EE4" w:rsidRPr="000E0CA0" w:rsidRDefault="009038D1" w:rsidP="002D37BA">
      <w:pPr>
        <w:pStyle w:val="ParaLevel1"/>
        <w:numPr>
          <w:ilvl w:val="0"/>
          <w:numId w:val="13"/>
        </w:numPr>
        <w:ind w:left="567" w:hanging="567"/>
        <w:rPr>
          <w:bCs/>
          <w:szCs w:val="24"/>
        </w:rPr>
      </w:pPr>
      <w:r w:rsidRPr="000E0CA0">
        <w:rPr>
          <w:bCs/>
          <w:szCs w:val="24"/>
        </w:rPr>
        <w:t xml:space="preserve">I start by setting out the Appellant’s initial submission which was </w:t>
      </w:r>
      <w:r w:rsidR="00C022AE" w:rsidRPr="000E0CA0">
        <w:rPr>
          <w:bCs/>
          <w:szCs w:val="24"/>
        </w:rPr>
        <w:t xml:space="preserve">that the question </w:t>
      </w:r>
      <w:r w:rsidR="00077DD3" w:rsidRPr="000E0CA0">
        <w:rPr>
          <w:bCs/>
          <w:szCs w:val="24"/>
        </w:rPr>
        <w:t>was</w:t>
      </w:r>
      <w:r w:rsidRPr="000E0CA0">
        <w:rPr>
          <w:bCs/>
          <w:szCs w:val="24"/>
        </w:rPr>
        <w:t>,</w:t>
      </w:r>
      <w:r w:rsidR="00C022AE" w:rsidRPr="000E0CA0">
        <w:rPr>
          <w:bCs/>
          <w:szCs w:val="24"/>
        </w:rPr>
        <w:t xml:space="preserve"> “</w:t>
      </w:r>
      <w:r w:rsidR="00077DD3" w:rsidRPr="000E0CA0">
        <w:rPr>
          <w:bCs/>
          <w:szCs w:val="24"/>
        </w:rPr>
        <w:t xml:space="preserve">… </w:t>
      </w:r>
      <w:r w:rsidR="00C022AE" w:rsidRPr="000E0CA0">
        <w:rPr>
          <w:bCs/>
          <w:i/>
          <w:iCs/>
          <w:szCs w:val="24"/>
        </w:rPr>
        <w:t>not determined by Italian law</w:t>
      </w:r>
      <w:r w:rsidR="00C022AE" w:rsidRPr="000E0CA0">
        <w:rPr>
          <w:bCs/>
          <w:szCs w:val="24"/>
        </w:rPr>
        <w:t>”.</w:t>
      </w:r>
      <w:r w:rsidR="00F0103E" w:rsidRPr="000E0CA0">
        <w:rPr>
          <w:bCs/>
          <w:szCs w:val="24"/>
        </w:rPr>
        <w:t xml:space="preserve">  </w:t>
      </w:r>
      <w:r w:rsidRPr="000E0CA0">
        <w:rPr>
          <w:bCs/>
          <w:szCs w:val="24"/>
        </w:rPr>
        <w:t xml:space="preserve">The argument </w:t>
      </w:r>
      <w:r w:rsidR="00854567" w:rsidRPr="000E0CA0">
        <w:rPr>
          <w:bCs/>
          <w:szCs w:val="24"/>
        </w:rPr>
        <w:t xml:space="preserve">was </w:t>
      </w:r>
      <w:r w:rsidRPr="000E0CA0">
        <w:rPr>
          <w:bCs/>
          <w:szCs w:val="24"/>
        </w:rPr>
        <w:t>that upon the true construction of the Export Regulation</w:t>
      </w:r>
      <w:r w:rsidR="00854567" w:rsidRPr="000E0CA0">
        <w:rPr>
          <w:bCs/>
          <w:szCs w:val="24"/>
        </w:rPr>
        <w:t>,</w:t>
      </w:r>
      <w:r w:rsidRPr="000E0CA0">
        <w:rPr>
          <w:bCs/>
          <w:szCs w:val="24"/>
        </w:rPr>
        <w:t xml:space="preserve"> as a</w:t>
      </w:r>
      <w:r w:rsidR="00854567" w:rsidRPr="000E0CA0">
        <w:rPr>
          <w:bCs/>
          <w:szCs w:val="24"/>
        </w:rPr>
        <w:t>n</w:t>
      </w:r>
      <w:r w:rsidRPr="000E0CA0">
        <w:rPr>
          <w:bCs/>
          <w:szCs w:val="24"/>
        </w:rPr>
        <w:t xml:space="preserve"> autonomous </w:t>
      </w:r>
      <w:r w:rsidR="00077DD3" w:rsidRPr="000E0CA0">
        <w:rPr>
          <w:bCs/>
          <w:szCs w:val="24"/>
        </w:rPr>
        <w:t>instrument of EU law,</w:t>
      </w:r>
      <w:r w:rsidRPr="000E0CA0">
        <w:rPr>
          <w:bCs/>
          <w:szCs w:val="24"/>
        </w:rPr>
        <w:t xml:space="preserve"> the competent authority was that in which the item in question was located:</w:t>
      </w:r>
      <w:r w:rsidR="00D07EE4" w:rsidRPr="000E0CA0">
        <w:rPr>
          <w:bCs/>
          <w:szCs w:val="24"/>
        </w:rPr>
        <w:t xml:space="preserve"> </w:t>
      </w:r>
    </w:p>
    <w:p w14:paraId="2B8E88CA" w14:textId="77777777" w:rsidR="00D07EE4" w:rsidRPr="000E0CA0" w:rsidRDefault="009038D1" w:rsidP="002D37BA">
      <w:pPr>
        <w:pStyle w:val="Quote"/>
        <w:rPr>
          <w:bCs/>
          <w:szCs w:val="24"/>
        </w:rPr>
      </w:pPr>
      <w:r w:rsidRPr="000E0CA0">
        <w:rPr>
          <w:bCs/>
          <w:szCs w:val="24"/>
        </w:rPr>
        <w:t>“…</w:t>
      </w:r>
      <w:r w:rsidR="00D07EE4" w:rsidRPr="000E0CA0">
        <w:rPr>
          <w:bCs/>
          <w:szCs w:val="24"/>
        </w:rPr>
        <w:t xml:space="preserve"> the Appellant submits that the authorities of the country in which the object is located are the competent authority unless the object is only temporarily located in that country (</w:t>
      </w:r>
      <w:r w:rsidR="00D07EE4" w:rsidRPr="000E0CA0">
        <w:rPr>
          <w:bCs/>
          <w:i/>
          <w:szCs w:val="24"/>
        </w:rPr>
        <w:t xml:space="preserve">i.e. </w:t>
      </w:r>
      <w:r w:rsidR="00D07EE4" w:rsidRPr="000E0CA0">
        <w:rPr>
          <w:bCs/>
          <w:szCs w:val="24"/>
        </w:rPr>
        <w:t xml:space="preserve">there was no </w:t>
      </w:r>
      <w:r w:rsidR="00D07EE4" w:rsidRPr="000E0CA0">
        <w:rPr>
          <w:bCs/>
          <w:i/>
          <w:szCs w:val="24"/>
        </w:rPr>
        <w:t>definitive</w:t>
      </w:r>
      <w:r w:rsidR="00D07EE4" w:rsidRPr="000E0CA0">
        <w:rPr>
          <w:bCs/>
          <w:szCs w:val="24"/>
        </w:rPr>
        <w:t xml:space="preserve"> dispatch) or the dispatch offended EU law (for example, the object was stolen). Thus, it will be simple and efficient for authorities to determine whether or not they are the competent authority for the purposes of granting a licence for the export of the object beyond the EU. </w:t>
      </w:r>
    </w:p>
    <w:p w14:paraId="16227923" w14:textId="77777777" w:rsidR="00D07EE4" w:rsidRPr="000E0CA0" w:rsidRDefault="00D07EE4" w:rsidP="002D37BA">
      <w:pPr>
        <w:pStyle w:val="Quote"/>
        <w:rPr>
          <w:bCs/>
          <w:szCs w:val="24"/>
        </w:rPr>
      </w:pPr>
      <w:r w:rsidRPr="000E0CA0">
        <w:rPr>
          <w:bCs/>
          <w:szCs w:val="24"/>
        </w:rPr>
        <w:lastRenderedPageBreak/>
        <w:t>It has never been suggested that there was anything unlawful about the dispatch of the Painting from Italy to the UK as a matter of EU (or UK) law.”</w:t>
      </w:r>
    </w:p>
    <w:p w14:paraId="438DFFB1" w14:textId="77777777" w:rsidR="009038D1" w:rsidRPr="000E0CA0" w:rsidRDefault="009038D1" w:rsidP="002D37BA">
      <w:pPr>
        <w:pStyle w:val="ParaLevel1"/>
        <w:numPr>
          <w:ilvl w:val="0"/>
          <w:numId w:val="13"/>
        </w:numPr>
        <w:tabs>
          <w:tab w:val="num" w:pos="567"/>
        </w:tabs>
        <w:ind w:left="567" w:hanging="567"/>
        <w:rPr>
          <w:bCs/>
          <w:szCs w:val="24"/>
        </w:rPr>
      </w:pPr>
      <w:r w:rsidRPr="000E0CA0">
        <w:rPr>
          <w:bCs/>
          <w:szCs w:val="24"/>
        </w:rPr>
        <w:t>However</w:t>
      </w:r>
      <w:r w:rsidR="00854567" w:rsidRPr="000E0CA0">
        <w:rPr>
          <w:bCs/>
          <w:szCs w:val="24"/>
        </w:rPr>
        <w:t>,</w:t>
      </w:r>
      <w:r w:rsidRPr="000E0CA0">
        <w:rPr>
          <w:bCs/>
          <w:szCs w:val="24"/>
        </w:rPr>
        <w:t xml:space="preserve"> as </w:t>
      </w:r>
      <w:r w:rsidR="00D14A18" w:rsidRPr="000E0CA0">
        <w:rPr>
          <w:bCs/>
          <w:szCs w:val="24"/>
        </w:rPr>
        <w:t xml:space="preserve">already </w:t>
      </w:r>
      <w:r w:rsidR="00854567" w:rsidRPr="000E0CA0">
        <w:rPr>
          <w:bCs/>
          <w:szCs w:val="24"/>
        </w:rPr>
        <w:t xml:space="preserve">explained </w:t>
      </w:r>
      <w:r w:rsidRPr="000E0CA0">
        <w:rPr>
          <w:bCs/>
          <w:szCs w:val="24"/>
        </w:rPr>
        <w:t>the argument evolved</w:t>
      </w:r>
      <w:r w:rsidR="00D14A18" w:rsidRPr="000E0CA0">
        <w:rPr>
          <w:bCs/>
          <w:szCs w:val="24"/>
        </w:rPr>
        <w:t xml:space="preserve">, though the earlier iterations of the argument were never formally abandoned. </w:t>
      </w:r>
      <w:r w:rsidRPr="000E0CA0">
        <w:rPr>
          <w:bCs/>
          <w:szCs w:val="24"/>
        </w:rPr>
        <w:t xml:space="preserve"> </w:t>
      </w:r>
      <w:r w:rsidR="00D14A18" w:rsidRPr="000E0CA0">
        <w:rPr>
          <w:bCs/>
          <w:szCs w:val="24"/>
        </w:rPr>
        <w:t xml:space="preserve">I propose to address both of the ways in which the argument was put. </w:t>
      </w:r>
    </w:p>
    <w:p w14:paraId="39970A2F" w14:textId="77777777" w:rsidR="00D07EE4" w:rsidRPr="000E0CA0" w:rsidRDefault="001212BF" w:rsidP="002D37BA">
      <w:pPr>
        <w:pStyle w:val="ParaLevel1"/>
        <w:numPr>
          <w:ilvl w:val="0"/>
          <w:numId w:val="13"/>
        </w:numPr>
        <w:tabs>
          <w:tab w:val="num" w:pos="567"/>
        </w:tabs>
        <w:ind w:left="567" w:hanging="567"/>
        <w:rPr>
          <w:bCs/>
          <w:szCs w:val="24"/>
        </w:rPr>
      </w:pPr>
      <w:r w:rsidRPr="000E0CA0">
        <w:rPr>
          <w:bCs/>
          <w:szCs w:val="24"/>
        </w:rPr>
        <w:t xml:space="preserve">In my judgment the Judge was correct. The phrase </w:t>
      </w:r>
      <w:r w:rsidRPr="000E0CA0">
        <w:rPr>
          <w:bCs/>
          <w:i/>
          <w:iCs/>
          <w:szCs w:val="24"/>
        </w:rPr>
        <w:t>“</w:t>
      </w:r>
      <w:r w:rsidR="00C022AE" w:rsidRPr="000E0CA0">
        <w:rPr>
          <w:bCs/>
          <w:i/>
          <w:iCs/>
          <w:szCs w:val="24"/>
        </w:rPr>
        <w:t>l</w:t>
      </w:r>
      <w:r w:rsidRPr="000E0CA0">
        <w:rPr>
          <w:bCs/>
          <w:i/>
          <w:iCs/>
          <w:szCs w:val="24"/>
        </w:rPr>
        <w:t xml:space="preserve">awful and definitive dispatch” </w:t>
      </w:r>
      <w:r w:rsidRPr="000E0CA0">
        <w:rPr>
          <w:bCs/>
          <w:szCs w:val="24"/>
        </w:rPr>
        <w:t xml:space="preserve">refers to the law of the state of </w:t>
      </w:r>
      <w:r w:rsidR="007E2ED4" w:rsidRPr="000E0CA0">
        <w:rPr>
          <w:bCs/>
          <w:szCs w:val="24"/>
        </w:rPr>
        <w:t xml:space="preserve">physical </w:t>
      </w:r>
      <w:r w:rsidRPr="000E0CA0">
        <w:rPr>
          <w:bCs/>
          <w:szCs w:val="24"/>
        </w:rPr>
        <w:t xml:space="preserve">export or dispatch, in this case Italy. </w:t>
      </w:r>
      <w:r w:rsidR="00D07EE4" w:rsidRPr="000E0CA0">
        <w:rPr>
          <w:bCs/>
          <w:szCs w:val="24"/>
        </w:rPr>
        <w:t xml:space="preserve"> There is no basis for saying that the governing law is that of the </w:t>
      </w:r>
      <w:r w:rsidR="001356B6" w:rsidRPr="000E0CA0">
        <w:rPr>
          <w:bCs/>
          <w:szCs w:val="24"/>
        </w:rPr>
        <w:t>Member S</w:t>
      </w:r>
      <w:r w:rsidR="00854567" w:rsidRPr="000E0CA0">
        <w:rPr>
          <w:bCs/>
          <w:szCs w:val="24"/>
        </w:rPr>
        <w:t xml:space="preserve">tate of receipt of the item (here the </w:t>
      </w:r>
      <w:r w:rsidR="00D07EE4" w:rsidRPr="000E0CA0">
        <w:rPr>
          <w:bCs/>
          <w:szCs w:val="24"/>
        </w:rPr>
        <w:t>United Kingdom</w:t>
      </w:r>
      <w:r w:rsidR="00854567" w:rsidRPr="000E0CA0">
        <w:rPr>
          <w:bCs/>
          <w:szCs w:val="24"/>
        </w:rPr>
        <w:t>)</w:t>
      </w:r>
      <w:r w:rsidR="00D07EE4" w:rsidRPr="000E0CA0">
        <w:rPr>
          <w:bCs/>
          <w:szCs w:val="24"/>
        </w:rPr>
        <w:t xml:space="preserve"> or that there is some autonomous meaning to be attributed to the phrase </w:t>
      </w:r>
      <w:r w:rsidR="006B1A00" w:rsidRPr="000E0CA0">
        <w:rPr>
          <w:bCs/>
          <w:szCs w:val="24"/>
        </w:rPr>
        <w:t xml:space="preserve">under </w:t>
      </w:r>
      <w:r w:rsidR="00D07EE4" w:rsidRPr="000E0CA0">
        <w:rPr>
          <w:bCs/>
          <w:szCs w:val="24"/>
        </w:rPr>
        <w:t xml:space="preserve">EU law which </w:t>
      </w:r>
      <w:r w:rsidR="006B1A00" w:rsidRPr="000E0CA0">
        <w:rPr>
          <w:bCs/>
          <w:szCs w:val="24"/>
        </w:rPr>
        <w:t xml:space="preserve">likewise </w:t>
      </w:r>
      <w:r w:rsidR="00D07EE4" w:rsidRPr="000E0CA0">
        <w:rPr>
          <w:bCs/>
          <w:szCs w:val="24"/>
        </w:rPr>
        <w:t xml:space="preserve">leads to the negative conclusion that Italian law does not govern. </w:t>
      </w:r>
    </w:p>
    <w:p w14:paraId="726E8197" w14:textId="77777777" w:rsidR="00C022AE" w:rsidRPr="000E0CA0" w:rsidRDefault="00D07EE4" w:rsidP="002D37BA">
      <w:pPr>
        <w:pStyle w:val="ParaLevel1"/>
        <w:numPr>
          <w:ilvl w:val="0"/>
          <w:numId w:val="13"/>
        </w:numPr>
        <w:tabs>
          <w:tab w:val="num" w:pos="567"/>
        </w:tabs>
        <w:ind w:left="567" w:hanging="567"/>
        <w:rPr>
          <w:bCs/>
          <w:szCs w:val="24"/>
        </w:rPr>
      </w:pPr>
      <w:r w:rsidRPr="000E0CA0">
        <w:rPr>
          <w:bCs/>
          <w:szCs w:val="24"/>
        </w:rPr>
        <w:t xml:space="preserve">This </w:t>
      </w:r>
      <w:r w:rsidR="002668C1" w:rsidRPr="000E0CA0">
        <w:rPr>
          <w:bCs/>
          <w:szCs w:val="24"/>
        </w:rPr>
        <w:t xml:space="preserve">appeal can be resolved by resorting to </w:t>
      </w:r>
      <w:r w:rsidRPr="000E0CA0">
        <w:rPr>
          <w:bCs/>
          <w:szCs w:val="24"/>
        </w:rPr>
        <w:t xml:space="preserve">elementary </w:t>
      </w:r>
      <w:r w:rsidR="002668C1" w:rsidRPr="000E0CA0">
        <w:rPr>
          <w:bCs/>
          <w:szCs w:val="24"/>
        </w:rPr>
        <w:t xml:space="preserve">principles of interpretation.  </w:t>
      </w:r>
    </w:p>
    <w:p w14:paraId="146E79DD" w14:textId="77777777" w:rsidR="00854567" w:rsidRPr="000E0CA0" w:rsidRDefault="007E2ED4" w:rsidP="002D37BA">
      <w:pPr>
        <w:pStyle w:val="ParaLevel1"/>
        <w:numPr>
          <w:ilvl w:val="0"/>
          <w:numId w:val="13"/>
        </w:numPr>
        <w:ind w:left="567" w:hanging="567"/>
        <w:rPr>
          <w:bCs/>
          <w:szCs w:val="24"/>
        </w:rPr>
      </w:pPr>
      <w:r w:rsidRPr="000E0CA0">
        <w:rPr>
          <w:bCs/>
          <w:szCs w:val="24"/>
        </w:rPr>
        <w:t xml:space="preserve">Under </w:t>
      </w:r>
      <w:r w:rsidR="00C022AE" w:rsidRPr="000E0CA0">
        <w:rPr>
          <w:bCs/>
          <w:szCs w:val="24"/>
        </w:rPr>
        <w:t xml:space="preserve">Article 2(2) of the Export </w:t>
      </w:r>
      <w:r w:rsidR="006A274A" w:rsidRPr="000E0CA0">
        <w:rPr>
          <w:bCs/>
          <w:szCs w:val="24"/>
        </w:rPr>
        <w:t>R</w:t>
      </w:r>
      <w:r w:rsidR="00C022AE" w:rsidRPr="000E0CA0">
        <w:rPr>
          <w:bCs/>
          <w:szCs w:val="24"/>
        </w:rPr>
        <w:t xml:space="preserve">egulation </w:t>
      </w:r>
      <w:r w:rsidR="00D07EE4" w:rsidRPr="000E0CA0">
        <w:rPr>
          <w:bCs/>
          <w:szCs w:val="24"/>
        </w:rPr>
        <w:t>two states are referred to</w:t>
      </w:r>
      <w:r w:rsidR="008476C6" w:rsidRPr="000E0CA0">
        <w:rPr>
          <w:bCs/>
          <w:szCs w:val="24"/>
        </w:rPr>
        <w:t xml:space="preserve"> wh</w:t>
      </w:r>
      <w:r w:rsidR="001C42F9">
        <w:rPr>
          <w:bCs/>
          <w:szCs w:val="24"/>
        </w:rPr>
        <w:t>ich</w:t>
      </w:r>
      <w:r w:rsidR="008476C6" w:rsidRPr="000E0CA0">
        <w:rPr>
          <w:bCs/>
          <w:szCs w:val="24"/>
        </w:rPr>
        <w:t xml:space="preserve"> have the power, via their competent authorities</w:t>
      </w:r>
      <w:r w:rsidR="009F425D" w:rsidRPr="000E0CA0">
        <w:rPr>
          <w:bCs/>
          <w:szCs w:val="24"/>
        </w:rPr>
        <w:t>,</w:t>
      </w:r>
      <w:r w:rsidR="008476C6" w:rsidRPr="000E0CA0">
        <w:rPr>
          <w:bCs/>
          <w:szCs w:val="24"/>
        </w:rPr>
        <w:t xml:space="preserve"> to grant </w:t>
      </w:r>
      <w:r w:rsidR="006B1A00" w:rsidRPr="000E0CA0">
        <w:rPr>
          <w:bCs/>
          <w:szCs w:val="24"/>
        </w:rPr>
        <w:t>an</w:t>
      </w:r>
      <w:r w:rsidR="008476C6" w:rsidRPr="000E0CA0">
        <w:rPr>
          <w:bCs/>
          <w:szCs w:val="24"/>
        </w:rPr>
        <w:t xml:space="preserve"> export licence for export outside of the EU.  These are (i) the Member State in whose territory the cultural object in question was lawfully and definitively located on 1 January 1993</w:t>
      </w:r>
      <w:r w:rsidR="001C42F9">
        <w:rPr>
          <w:bCs/>
          <w:szCs w:val="24"/>
        </w:rPr>
        <w:t xml:space="preserve"> (</w:t>
      </w:r>
      <w:r w:rsidR="005A0401">
        <w:rPr>
          <w:bCs/>
          <w:szCs w:val="24"/>
        </w:rPr>
        <w:t xml:space="preserve">chosen as a </w:t>
      </w:r>
      <w:r w:rsidR="001C42F9">
        <w:rPr>
          <w:bCs/>
          <w:szCs w:val="24"/>
        </w:rPr>
        <w:t>cut</w:t>
      </w:r>
      <w:r w:rsidR="005A0401">
        <w:rPr>
          <w:bCs/>
          <w:szCs w:val="24"/>
        </w:rPr>
        <w:t>-</w:t>
      </w:r>
      <w:r w:rsidR="001C42F9">
        <w:rPr>
          <w:bCs/>
          <w:szCs w:val="24"/>
        </w:rPr>
        <w:t>off date)</w:t>
      </w:r>
      <w:r w:rsidR="008476C6" w:rsidRPr="000E0CA0">
        <w:rPr>
          <w:bCs/>
          <w:szCs w:val="24"/>
        </w:rPr>
        <w:t xml:space="preserve">; </w:t>
      </w:r>
      <w:r w:rsidR="008476C6" w:rsidRPr="000E0CA0">
        <w:rPr>
          <w:bCs/>
          <w:szCs w:val="24"/>
          <w:u w:val="single"/>
        </w:rPr>
        <w:t>or</w:t>
      </w:r>
      <w:r w:rsidR="008476C6" w:rsidRPr="000E0CA0">
        <w:rPr>
          <w:bCs/>
          <w:szCs w:val="24"/>
        </w:rPr>
        <w:t xml:space="preserve"> (ii) thereafter, by a competent authority of the Member State in whose territory it is located following lawful and definitive dispatch from another</w:t>
      </w:r>
      <w:r w:rsidR="009F425D" w:rsidRPr="000E0CA0">
        <w:rPr>
          <w:bCs/>
          <w:szCs w:val="24"/>
        </w:rPr>
        <w:t xml:space="preserve"> </w:t>
      </w:r>
      <w:r w:rsidR="008476C6" w:rsidRPr="000E0CA0">
        <w:rPr>
          <w:bCs/>
          <w:szCs w:val="24"/>
        </w:rPr>
        <w:t>Member State</w:t>
      </w:r>
      <w:r w:rsidR="005A0401">
        <w:rPr>
          <w:bCs/>
          <w:szCs w:val="24"/>
        </w:rPr>
        <w:t xml:space="preserve">. </w:t>
      </w:r>
      <w:r w:rsidR="008476C6" w:rsidRPr="000E0CA0">
        <w:rPr>
          <w:bCs/>
          <w:szCs w:val="24"/>
        </w:rPr>
        <w:t>It is common ground</w:t>
      </w:r>
      <w:r w:rsidR="00854567" w:rsidRPr="000E0CA0">
        <w:rPr>
          <w:bCs/>
          <w:szCs w:val="24"/>
        </w:rPr>
        <w:t xml:space="preserve"> in this case</w:t>
      </w:r>
      <w:r w:rsidR="008476C6" w:rsidRPr="000E0CA0">
        <w:rPr>
          <w:bCs/>
          <w:szCs w:val="24"/>
        </w:rPr>
        <w:t xml:space="preserve"> that </w:t>
      </w:r>
      <w:r w:rsidR="008476C6" w:rsidRPr="000E0CA0">
        <w:rPr>
          <w:bCs/>
          <w:szCs w:val="24"/>
          <w:u w:val="single"/>
        </w:rPr>
        <w:t>if</w:t>
      </w:r>
      <w:r w:rsidR="008476C6" w:rsidRPr="000E0CA0">
        <w:rPr>
          <w:bCs/>
          <w:szCs w:val="24"/>
        </w:rPr>
        <w:t xml:space="preserve"> the state is that in (i) then it is the competent authority in Italy that is empowered to grant an export licence for Switzerland.  </w:t>
      </w:r>
      <w:r w:rsidR="009F425D" w:rsidRPr="000E0CA0">
        <w:rPr>
          <w:bCs/>
          <w:szCs w:val="24"/>
        </w:rPr>
        <w:t xml:space="preserve">But </w:t>
      </w:r>
      <w:r w:rsidR="009F425D" w:rsidRPr="000E0CA0">
        <w:rPr>
          <w:bCs/>
          <w:szCs w:val="24"/>
          <w:u w:val="single"/>
        </w:rPr>
        <w:t>if</w:t>
      </w:r>
      <w:r w:rsidR="009F425D" w:rsidRPr="000E0CA0">
        <w:rPr>
          <w:bCs/>
          <w:szCs w:val="24"/>
        </w:rPr>
        <w:t xml:space="preserve"> the state is that in (ii) then it is the state where the cultural item is situated “</w:t>
      </w:r>
      <w:r w:rsidR="006B1A00" w:rsidRPr="000E0CA0">
        <w:rPr>
          <w:bCs/>
          <w:i/>
          <w:iCs/>
          <w:szCs w:val="24"/>
          <w:u w:val="single"/>
        </w:rPr>
        <w:t>following</w:t>
      </w:r>
      <w:r w:rsidR="006B1A00" w:rsidRPr="000E0CA0">
        <w:rPr>
          <w:bCs/>
          <w:i/>
          <w:iCs/>
          <w:szCs w:val="24"/>
        </w:rPr>
        <w:t>”</w:t>
      </w:r>
      <w:r w:rsidR="006B1A00" w:rsidRPr="000E0CA0">
        <w:rPr>
          <w:bCs/>
          <w:szCs w:val="24"/>
        </w:rPr>
        <w:t xml:space="preserve"> lawful</w:t>
      </w:r>
      <w:r w:rsidR="009F425D" w:rsidRPr="000E0CA0">
        <w:rPr>
          <w:bCs/>
          <w:szCs w:val="24"/>
        </w:rPr>
        <w:t xml:space="preserve"> and definitive dispatch from another Member State</w:t>
      </w:r>
      <w:r w:rsidR="00C57956" w:rsidRPr="000E0CA0">
        <w:rPr>
          <w:bCs/>
          <w:szCs w:val="24"/>
        </w:rPr>
        <w:t>, who can grant the export licence</w:t>
      </w:r>
      <w:r w:rsidR="00FD671A" w:rsidRPr="000E0CA0">
        <w:rPr>
          <w:bCs/>
          <w:szCs w:val="24"/>
        </w:rPr>
        <w:t xml:space="preserve">. This would be </w:t>
      </w:r>
      <w:r w:rsidR="00854567" w:rsidRPr="000E0CA0">
        <w:rPr>
          <w:bCs/>
          <w:szCs w:val="24"/>
        </w:rPr>
        <w:t>the United Kingdom and hence the Arts Council</w:t>
      </w:r>
      <w:r w:rsidR="00FD671A" w:rsidRPr="000E0CA0">
        <w:rPr>
          <w:bCs/>
          <w:szCs w:val="24"/>
        </w:rPr>
        <w:t xml:space="preserve">, </w:t>
      </w:r>
      <w:r w:rsidR="00FD671A" w:rsidRPr="000E0CA0">
        <w:rPr>
          <w:bCs/>
          <w:i/>
          <w:iCs/>
          <w:szCs w:val="24"/>
        </w:rPr>
        <w:t>if</w:t>
      </w:r>
      <w:r w:rsidR="00FD671A" w:rsidRPr="000E0CA0">
        <w:rPr>
          <w:bCs/>
          <w:szCs w:val="24"/>
        </w:rPr>
        <w:t xml:space="preserve"> the painting was lawfully dispatched from Italy.</w:t>
      </w:r>
    </w:p>
    <w:p w14:paraId="6D45DE70" w14:textId="77777777" w:rsidR="00481351" w:rsidRPr="000E0CA0" w:rsidRDefault="009F425D" w:rsidP="002D37BA">
      <w:pPr>
        <w:pStyle w:val="ParaLevel1"/>
        <w:numPr>
          <w:ilvl w:val="0"/>
          <w:numId w:val="13"/>
        </w:numPr>
        <w:ind w:left="567" w:hanging="578"/>
        <w:rPr>
          <w:bCs/>
          <w:szCs w:val="24"/>
        </w:rPr>
      </w:pPr>
      <w:r w:rsidRPr="000E0CA0">
        <w:rPr>
          <w:bCs/>
          <w:szCs w:val="24"/>
        </w:rPr>
        <w:t xml:space="preserve">The precondition of a state of </w:t>
      </w:r>
      <w:r w:rsidRPr="000E0CA0">
        <w:rPr>
          <w:bCs/>
          <w:i/>
          <w:iCs/>
          <w:szCs w:val="24"/>
        </w:rPr>
        <w:t>situs</w:t>
      </w:r>
      <w:r w:rsidRPr="000E0CA0">
        <w:rPr>
          <w:bCs/>
          <w:szCs w:val="24"/>
        </w:rPr>
        <w:t xml:space="preserve"> being the competent authority is </w:t>
      </w:r>
      <w:r w:rsidR="00602099" w:rsidRPr="000E0CA0">
        <w:rPr>
          <w:bCs/>
          <w:szCs w:val="24"/>
        </w:rPr>
        <w:t xml:space="preserve">therefore </w:t>
      </w:r>
      <w:r w:rsidRPr="000E0CA0">
        <w:rPr>
          <w:bCs/>
          <w:szCs w:val="24"/>
        </w:rPr>
        <w:t xml:space="preserve">that the </w:t>
      </w:r>
      <w:r w:rsidRPr="000E0CA0">
        <w:rPr>
          <w:bCs/>
          <w:i/>
          <w:iCs/>
          <w:szCs w:val="24"/>
        </w:rPr>
        <w:t>earlier</w:t>
      </w:r>
      <w:r w:rsidRPr="000E0CA0">
        <w:rPr>
          <w:bCs/>
          <w:szCs w:val="24"/>
        </w:rPr>
        <w:t xml:space="preserve"> dispatch was “</w:t>
      </w:r>
      <w:r w:rsidRPr="000E0CA0">
        <w:rPr>
          <w:bCs/>
          <w:i/>
          <w:iCs/>
          <w:szCs w:val="24"/>
        </w:rPr>
        <w:t>lawful</w:t>
      </w:r>
      <w:r w:rsidRPr="000E0CA0">
        <w:rPr>
          <w:bCs/>
          <w:szCs w:val="24"/>
        </w:rPr>
        <w:t xml:space="preserve">”.  This can, sensibly, only be a reference to the legality of the physical activity of dispatch, which by </w:t>
      </w:r>
      <w:r w:rsidR="00FD671A" w:rsidRPr="000E0CA0">
        <w:rPr>
          <w:bCs/>
          <w:szCs w:val="24"/>
        </w:rPr>
        <w:t xml:space="preserve">definition is </w:t>
      </w:r>
      <w:r w:rsidRPr="000E0CA0">
        <w:rPr>
          <w:bCs/>
          <w:szCs w:val="24"/>
        </w:rPr>
        <w:t xml:space="preserve">from a Member State </w:t>
      </w:r>
      <w:r w:rsidRPr="000E0CA0">
        <w:rPr>
          <w:bCs/>
          <w:i/>
          <w:iCs/>
          <w:szCs w:val="24"/>
        </w:rPr>
        <w:t>other</w:t>
      </w:r>
      <w:r w:rsidRPr="000E0CA0">
        <w:rPr>
          <w:bCs/>
          <w:szCs w:val="24"/>
        </w:rPr>
        <w:t xml:space="preserve"> than that </w:t>
      </w:r>
      <w:r w:rsidR="00DD309D" w:rsidRPr="000E0CA0">
        <w:rPr>
          <w:bCs/>
          <w:szCs w:val="24"/>
        </w:rPr>
        <w:t xml:space="preserve">to </w:t>
      </w:r>
      <w:r w:rsidR="006B1A00" w:rsidRPr="000E0CA0">
        <w:rPr>
          <w:bCs/>
          <w:szCs w:val="24"/>
        </w:rPr>
        <w:t xml:space="preserve">which the </w:t>
      </w:r>
      <w:r w:rsidR="00DD309D" w:rsidRPr="000E0CA0">
        <w:rPr>
          <w:bCs/>
          <w:szCs w:val="24"/>
        </w:rPr>
        <w:t>c</w:t>
      </w:r>
      <w:r w:rsidR="006B1A00" w:rsidRPr="000E0CA0">
        <w:rPr>
          <w:bCs/>
          <w:szCs w:val="24"/>
        </w:rPr>
        <w:t>ultural item is sent</w:t>
      </w:r>
      <w:r w:rsidRPr="000E0CA0">
        <w:rPr>
          <w:bCs/>
          <w:szCs w:val="24"/>
        </w:rPr>
        <w:t xml:space="preserve">. </w:t>
      </w:r>
      <w:r w:rsidR="00854567" w:rsidRPr="000E0CA0">
        <w:rPr>
          <w:bCs/>
          <w:szCs w:val="24"/>
        </w:rPr>
        <w:t xml:space="preserve"> </w:t>
      </w:r>
      <w:r w:rsidRPr="000E0CA0">
        <w:rPr>
          <w:bCs/>
          <w:szCs w:val="24"/>
        </w:rPr>
        <w:t xml:space="preserve">In the present case the </w:t>
      </w:r>
      <w:r w:rsidR="00602099" w:rsidRPr="000E0CA0">
        <w:rPr>
          <w:bCs/>
          <w:szCs w:val="24"/>
        </w:rPr>
        <w:t xml:space="preserve">painting is located in the </w:t>
      </w:r>
      <w:r w:rsidR="00FD671A" w:rsidRPr="000E0CA0">
        <w:rPr>
          <w:bCs/>
          <w:szCs w:val="24"/>
        </w:rPr>
        <w:t>United Kingdom but the p</w:t>
      </w:r>
      <w:r w:rsidR="00854567" w:rsidRPr="000E0CA0">
        <w:rPr>
          <w:bCs/>
          <w:szCs w:val="24"/>
        </w:rPr>
        <w:t xml:space="preserve">hysical </w:t>
      </w:r>
      <w:r w:rsidR="00602099" w:rsidRPr="000E0CA0">
        <w:rPr>
          <w:bCs/>
          <w:szCs w:val="24"/>
        </w:rPr>
        <w:t xml:space="preserve">act of dispatch occurred in Italy and </w:t>
      </w:r>
      <w:r w:rsidR="00FD671A" w:rsidRPr="000E0CA0">
        <w:rPr>
          <w:bCs/>
          <w:szCs w:val="24"/>
        </w:rPr>
        <w:t xml:space="preserve">it </w:t>
      </w:r>
      <w:r w:rsidR="00602099" w:rsidRPr="000E0CA0">
        <w:rPr>
          <w:bCs/>
          <w:szCs w:val="24"/>
        </w:rPr>
        <w:t xml:space="preserve">is common sense </w:t>
      </w:r>
      <w:r w:rsidR="00B43B4E" w:rsidRPr="000E0CA0">
        <w:rPr>
          <w:bCs/>
          <w:szCs w:val="24"/>
        </w:rPr>
        <w:t xml:space="preserve">– and wholly consistent </w:t>
      </w:r>
      <w:r w:rsidR="00481351" w:rsidRPr="000E0CA0">
        <w:rPr>
          <w:bCs/>
          <w:szCs w:val="24"/>
        </w:rPr>
        <w:t>with</w:t>
      </w:r>
      <w:r w:rsidR="00B43B4E" w:rsidRPr="000E0CA0">
        <w:rPr>
          <w:bCs/>
          <w:szCs w:val="24"/>
        </w:rPr>
        <w:t xml:space="preserve"> the purpose </w:t>
      </w:r>
      <w:r w:rsidR="00481351" w:rsidRPr="000E0CA0">
        <w:rPr>
          <w:bCs/>
          <w:szCs w:val="24"/>
        </w:rPr>
        <w:t xml:space="preserve">behind the Export Regulation - </w:t>
      </w:r>
      <w:r w:rsidR="00602099" w:rsidRPr="000E0CA0">
        <w:rPr>
          <w:bCs/>
          <w:szCs w:val="24"/>
        </w:rPr>
        <w:t xml:space="preserve">that the legality of that act </w:t>
      </w:r>
      <w:r w:rsidR="00466CA4" w:rsidRPr="000E0CA0">
        <w:rPr>
          <w:bCs/>
          <w:szCs w:val="24"/>
        </w:rPr>
        <w:t xml:space="preserve">should be governed by the law of </w:t>
      </w:r>
      <w:r w:rsidR="00466CA4" w:rsidRPr="000E0CA0">
        <w:rPr>
          <w:bCs/>
          <w:i/>
          <w:iCs/>
          <w:szCs w:val="24"/>
        </w:rPr>
        <w:t>that</w:t>
      </w:r>
      <w:r w:rsidR="00466CA4" w:rsidRPr="000E0CA0">
        <w:rPr>
          <w:bCs/>
          <w:szCs w:val="24"/>
        </w:rPr>
        <w:t xml:space="preserve"> state. </w:t>
      </w:r>
      <w:r w:rsidR="00602099" w:rsidRPr="000E0CA0">
        <w:rPr>
          <w:bCs/>
          <w:szCs w:val="24"/>
        </w:rPr>
        <w:t xml:space="preserve"> </w:t>
      </w:r>
    </w:p>
    <w:p w14:paraId="2C734FA5" w14:textId="77777777" w:rsidR="00266CE6" w:rsidRPr="000E0CA0" w:rsidRDefault="00602099" w:rsidP="002D37BA">
      <w:pPr>
        <w:pStyle w:val="ParaLevel1"/>
        <w:numPr>
          <w:ilvl w:val="0"/>
          <w:numId w:val="13"/>
        </w:numPr>
        <w:ind w:left="567" w:hanging="567"/>
        <w:rPr>
          <w:bCs/>
          <w:szCs w:val="24"/>
        </w:rPr>
      </w:pPr>
      <w:r w:rsidRPr="000E0CA0">
        <w:rPr>
          <w:bCs/>
          <w:szCs w:val="24"/>
        </w:rPr>
        <w:t xml:space="preserve">It cannot be contended that the legality of a physical action performed </w:t>
      </w:r>
      <w:r w:rsidRPr="000E0CA0">
        <w:rPr>
          <w:bCs/>
          <w:szCs w:val="24"/>
          <w:u w:val="single"/>
        </w:rPr>
        <w:t>in</w:t>
      </w:r>
      <w:r w:rsidRPr="000E0CA0">
        <w:rPr>
          <w:bCs/>
          <w:szCs w:val="24"/>
        </w:rPr>
        <w:t xml:space="preserve"> Italy should be governed by the law of whichever Member State the item finds its way to.  That would make the law wholly unpredictable </w:t>
      </w:r>
      <w:r w:rsidR="00FD671A" w:rsidRPr="000E0CA0">
        <w:rPr>
          <w:bCs/>
          <w:szCs w:val="24"/>
        </w:rPr>
        <w:t xml:space="preserve">and </w:t>
      </w:r>
      <w:r w:rsidRPr="000E0CA0">
        <w:rPr>
          <w:bCs/>
          <w:szCs w:val="24"/>
        </w:rPr>
        <w:t xml:space="preserve">random.  Why for instance would the law of </w:t>
      </w:r>
      <w:r w:rsidR="00FD671A" w:rsidRPr="000E0CA0">
        <w:rPr>
          <w:bCs/>
          <w:szCs w:val="24"/>
        </w:rPr>
        <w:t xml:space="preserve">(say) </w:t>
      </w:r>
      <w:r w:rsidRPr="000E0CA0">
        <w:rPr>
          <w:bCs/>
          <w:szCs w:val="24"/>
        </w:rPr>
        <w:t xml:space="preserve">Latvia </w:t>
      </w:r>
      <w:r w:rsidR="00FD671A" w:rsidRPr="000E0CA0">
        <w:rPr>
          <w:bCs/>
          <w:szCs w:val="24"/>
        </w:rPr>
        <w:t xml:space="preserve">be allocated the right </w:t>
      </w:r>
      <w:r w:rsidR="007E2ED4" w:rsidRPr="000E0CA0">
        <w:rPr>
          <w:bCs/>
          <w:szCs w:val="24"/>
        </w:rPr>
        <w:t xml:space="preserve">under EU law </w:t>
      </w:r>
      <w:r w:rsidR="00FD671A" w:rsidRPr="000E0CA0">
        <w:rPr>
          <w:bCs/>
          <w:szCs w:val="24"/>
        </w:rPr>
        <w:t xml:space="preserve">to </w:t>
      </w:r>
      <w:r w:rsidR="007E2ED4" w:rsidRPr="000E0CA0">
        <w:rPr>
          <w:bCs/>
          <w:szCs w:val="24"/>
        </w:rPr>
        <w:t xml:space="preserve">adopt </w:t>
      </w:r>
      <w:r w:rsidRPr="000E0CA0">
        <w:rPr>
          <w:bCs/>
          <w:szCs w:val="24"/>
        </w:rPr>
        <w:t>rules governing the legality of dispatch from Malta</w:t>
      </w:r>
      <w:r w:rsidR="00952F13">
        <w:rPr>
          <w:bCs/>
          <w:szCs w:val="24"/>
        </w:rPr>
        <w:t>?</w:t>
      </w:r>
      <w:r w:rsidR="00DD309D" w:rsidRPr="000E0CA0">
        <w:rPr>
          <w:bCs/>
          <w:szCs w:val="24"/>
        </w:rPr>
        <w:t xml:space="preserve">  The answer is that </w:t>
      </w:r>
      <w:r w:rsidR="005A0401">
        <w:rPr>
          <w:bCs/>
          <w:szCs w:val="24"/>
        </w:rPr>
        <w:t xml:space="preserve">it </w:t>
      </w:r>
      <w:r w:rsidR="00DD309D" w:rsidRPr="000E0CA0">
        <w:rPr>
          <w:bCs/>
          <w:szCs w:val="24"/>
        </w:rPr>
        <w:t>would not</w:t>
      </w:r>
      <w:r w:rsidRPr="000E0CA0">
        <w:rPr>
          <w:bCs/>
          <w:szCs w:val="24"/>
        </w:rPr>
        <w:t>, and the language</w:t>
      </w:r>
      <w:r w:rsidR="00481351" w:rsidRPr="000E0CA0">
        <w:rPr>
          <w:bCs/>
          <w:szCs w:val="24"/>
        </w:rPr>
        <w:t xml:space="preserve"> of the Export R</w:t>
      </w:r>
      <w:r w:rsidRPr="000E0CA0">
        <w:rPr>
          <w:bCs/>
          <w:szCs w:val="24"/>
        </w:rPr>
        <w:t>egulation is inconsistent with any such conclusion</w:t>
      </w:r>
      <w:r w:rsidR="007E2ED4" w:rsidRPr="000E0CA0">
        <w:rPr>
          <w:bCs/>
          <w:szCs w:val="24"/>
        </w:rPr>
        <w:t xml:space="preserve"> as is the purpose and intent behind Article</w:t>
      </w:r>
      <w:r w:rsidR="001356B6" w:rsidRPr="000E0CA0">
        <w:rPr>
          <w:bCs/>
          <w:szCs w:val="24"/>
        </w:rPr>
        <w:t>s</w:t>
      </w:r>
      <w:r w:rsidR="007E2ED4" w:rsidRPr="000E0CA0">
        <w:rPr>
          <w:bCs/>
          <w:szCs w:val="24"/>
        </w:rPr>
        <w:t xml:space="preserve"> 6 and 167 TFEU</w:t>
      </w:r>
      <w:r w:rsidR="005A0401">
        <w:rPr>
          <w:bCs/>
          <w:szCs w:val="24"/>
        </w:rPr>
        <w:t xml:space="preserve"> which concerns states having the right to determine their own cultural values</w:t>
      </w:r>
      <w:r w:rsidRPr="000E0CA0">
        <w:rPr>
          <w:bCs/>
          <w:szCs w:val="24"/>
        </w:rPr>
        <w:t xml:space="preserve">. </w:t>
      </w:r>
      <w:r w:rsidR="00F0103E" w:rsidRPr="000E0CA0">
        <w:rPr>
          <w:bCs/>
          <w:szCs w:val="24"/>
        </w:rPr>
        <w:t>The A</w:t>
      </w:r>
      <w:r w:rsidR="002668C1" w:rsidRPr="000E0CA0">
        <w:rPr>
          <w:bCs/>
          <w:szCs w:val="24"/>
        </w:rPr>
        <w:t>ppellant</w:t>
      </w:r>
      <w:r w:rsidR="00BA5392" w:rsidRPr="000E0CA0">
        <w:rPr>
          <w:bCs/>
          <w:szCs w:val="24"/>
        </w:rPr>
        <w:t>’</w:t>
      </w:r>
      <w:r w:rsidR="002668C1" w:rsidRPr="000E0CA0">
        <w:rPr>
          <w:bCs/>
          <w:szCs w:val="24"/>
        </w:rPr>
        <w:t xml:space="preserve">s arguments would, if correct, lead to the </w:t>
      </w:r>
      <w:r w:rsidR="00FD671A" w:rsidRPr="000E0CA0">
        <w:rPr>
          <w:bCs/>
          <w:szCs w:val="24"/>
        </w:rPr>
        <w:t xml:space="preserve">unpalatable </w:t>
      </w:r>
      <w:r w:rsidR="002668C1" w:rsidRPr="000E0CA0">
        <w:rPr>
          <w:bCs/>
          <w:szCs w:val="24"/>
        </w:rPr>
        <w:t xml:space="preserve">conclusion that the possessor of an item smuggled out of a country could, by </w:t>
      </w:r>
      <w:r w:rsidR="00481351" w:rsidRPr="000E0CA0">
        <w:rPr>
          <w:bCs/>
          <w:szCs w:val="24"/>
        </w:rPr>
        <w:t xml:space="preserve">virtue </w:t>
      </w:r>
      <w:r w:rsidR="00F0103E" w:rsidRPr="000E0CA0">
        <w:rPr>
          <w:bCs/>
          <w:szCs w:val="24"/>
        </w:rPr>
        <w:t xml:space="preserve">of </w:t>
      </w:r>
      <w:r w:rsidR="002668C1" w:rsidRPr="000E0CA0">
        <w:rPr>
          <w:bCs/>
          <w:szCs w:val="24"/>
        </w:rPr>
        <w:t xml:space="preserve">the success of </w:t>
      </w:r>
      <w:r w:rsidR="00FD671A" w:rsidRPr="000E0CA0">
        <w:rPr>
          <w:bCs/>
          <w:szCs w:val="24"/>
        </w:rPr>
        <w:t xml:space="preserve">that </w:t>
      </w:r>
      <w:r w:rsidR="002668C1" w:rsidRPr="000E0CA0">
        <w:rPr>
          <w:bCs/>
          <w:szCs w:val="24"/>
        </w:rPr>
        <w:t>unlawful and clandestine conduct, evade the law of the state whose laws ha</w:t>
      </w:r>
      <w:r w:rsidR="001356B6" w:rsidRPr="000E0CA0">
        <w:rPr>
          <w:bCs/>
          <w:szCs w:val="24"/>
        </w:rPr>
        <w:t>ve</w:t>
      </w:r>
      <w:r w:rsidR="002668C1" w:rsidRPr="000E0CA0">
        <w:rPr>
          <w:bCs/>
          <w:szCs w:val="24"/>
        </w:rPr>
        <w:t xml:space="preserve"> </w:t>
      </w:r>
      <w:r w:rsidR="00D22B13" w:rsidRPr="000E0CA0">
        <w:rPr>
          <w:bCs/>
          <w:szCs w:val="24"/>
        </w:rPr>
        <w:t xml:space="preserve">been </w:t>
      </w:r>
      <w:r w:rsidR="002668C1" w:rsidRPr="000E0CA0">
        <w:rPr>
          <w:bCs/>
          <w:szCs w:val="24"/>
        </w:rPr>
        <w:t>flouted.  If</w:t>
      </w:r>
      <w:r w:rsidR="00D22B13" w:rsidRPr="000E0CA0">
        <w:rPr>
          <w:bCs/>
          <w:szCs w:val="24"/>
        </w:rPr>
        <w:t>,</w:t>
      </w:r>
      <w:r w:rsidR="002668C1" w:rsidRPr="000E0CA0">
        <w:rPr>
          <w:bCs/>
          <w:szCs w:val="24"/>
        </w:rPr>
        <w:t xml:space="preserve"> then</w:t>
      </w:r>
      <w:r w:rsidR="00D22B13" w:rsidRPr="000E0CA0">
        <w:rPr>
          <w:bCs/>
          <w:szCs w:val="24"/>
        </w:rPr>
        <w:t>,</w:t>
      </w:r>
      <w:r w:rsidR="002668C1" w:rsidRPr="000E0CA0">
        <w:rPr>
          <w:bCs/>
          <w:szCs w:val="24"/>
        </w:rPr>
        <w:t xml:space="preserve"> the domestic law of the state of receipt was silent as to the consequences of such unlawful dispatch the </w:t>
      </w:r>
      <w:r w:rsidR="000D2A98" w:rsidRPr="000E0CA0">
        <w:rPr>
          <w:bCs/>
          <w:szCs w:val="24"/>
        </w:rPr>
        <w:t>clandestine smuggling wo</w:t>
      </w:r>
      <w:r w:rsidR="00D22B13" w:rsidRPr="000E0CA0">
        <w:rPr>
          <w:bCs/>
          <w:szCs w:val="24"/>
        </w:rPr>
        <w:t>u</w:t>
      </w:r>
      <w:r w:rsidR="000D2A98" w:rsidRPr="000E0CA0">
        <w:rPr>
          <w:bCs/>
          <w:szCs w:val="24"/>
        </w:rPr>
        <w:t>ld go unrecognised</w:t>
      </w:r>
      <w:r w:rsidR="00D22B13" w:rsidRPr="000E0CA0">
        <w:rPr>
          <w:bCs/>
          <w:szCs w:val="24"/>
        </w:rPr>
        <w:t xml:space="preserve"> and unsanctioned</w:t>
      </w:r>
      <w:r w:rsidR="000D2A98" w:rsidRPr="000E0CA0">
        <w:rPr>
          <w:bCs/>
          <w:szCs w:val="24"/>
        </w:rPr>
        <w:t xml:space="preserve">.  This is by no means an extreme scenario and applies, in </w:t>
      </w:r>
      <w:r w:rsidR="000D2A98" w:rsidRPr="000E0CA0">
        <w:rPr>
          <w:bCs/>
          <w:szCs w:val="24"/>
        </w:rPr>
        <w:lastRenderedPageBreak/>
        <w:t xml:space="preserve">pith and substance, to the present case. </w:t>
      </w:r>
      <w:r w:rsidR="00466CA4" w:rsidRPr="000E0CA0">
        <w:rPr>
          <w:bCs/>
          <w:szCs w:val="24"/>
        </w:rPr>
        <w:t xml:space="preserve">It is common ground that </w:t>
      </w:r>
      <w:r w:rsidR="00FD671A" w:rsidRPr="000E0CA0">
        <w:rPr>
          <w:bCs/>
          <w:szCs w:val="24"/>
        </w:rPr>
        <w:t xml:space="preserve">(subject to her argument that the Italian law is unlawful) </w:t>
      </w:r>
      <w:r w:rsidR="000D2A98" w:rsidRPr="000E0CA0">
        <w:rPr>
          <w:bCs/>
          <w:szCs w:val="24"/>
        </w:rPr>
        <w:t xml:space="preserve">Mrs Simonis dispatched the Giotto unlawfully from Italy </w:t>
      </w:r>
      <w:r w:rsidR="00481351" w:rsidRPr="000E0CA0">
        <w:rPr>
          <w:bCs/>
          <w:szCs w:val="24"/>
        </w:rPr>
        <w:t xml:space="preserve">but she </w:t>
      </w:r>
      <w:r w:rsidR="000D2A98" w:rsidRPr="000E0CA0">
        <w:rPr>
          <w:bCs/>
          <w:szCs w:val="24"/>
        </w:rPr>
        <w:t xml:space="preserve">now argues that this illegality counts for nought in the analysis of her present rights, which she says are to </w:t>
      </w:r>
      <w:r w:rsidR="00481351" w:rsidRPr="000E0CA0">
        <w:rPr>
          <w:bCs/>
          <w:szCs w:val="24"/>
        </w:rPr>
        <w:t xml:space="preserve">compel </w:t>
      </w:r>
      <w:r w:rsidR="00466CA4" w:rsidRPr="000E0CA0">
        <w:rPr>
          <w:bCs/>
          <w:szCs w:val="24"/>
        </w:rPr>
        <w:t xml:space="preserve">the Arts Council to grant an </w:t>
      </w:r>
      <w:r w:rsidR="000D2A98" w:rsidRPr="000E0CA0">
        <w:rPr>
          <w:bCs/>
          <w:szCs w:val="24"/>
        </w:rPr>
        <w:t xml:space="preserve">export </w:t>
      </w:r>
      <w:r w:rsidR="00466CA4" w:rsidRPr="000E0CA0">
        <w:rPr>
          <w:bCs/>
          <w:szCs w:val="24"/>
        </w:rPr>
        <w:t xml:space="preserve">licence to remove </w:t>
      </w:r>
      <w:r w:rsidR="000D2A98" w:rsidRPr="000E0CA0">
        <w:rPr>
          <w:bCs/>
          <w:szCs w:val="24"/>
        </w:rPr>
        <w:t xml:space="preserve">the painting from the EU. </w:t>
      </w:r>
      <w:r w:rsidR="00F0103E" w:rsidRPr="000E0CA0">
        <w:rPr>
          <w:bCs/>
          <w:szCs w:val="24"/>
        </w:rPr>
        <w:t>The express use of the phrase “</w:t>
      </w:r>
      <w:r w:rsidR="00F0103E" w:rsidRPr="000E0CA0">
        <w:rPr>
          <w:bCs/>
          <w:i/>
          <w:iCs/>
          <w:szCs w:val="24"/>
        </w:rPr>
        <w:t>lawfully</w:t>
      </w:r>
      <w:r w:rsidR="00F0103E" w:rsidRPr="000E0CA0">
        <w:rPr>
          <w:bCs/>
          <w:szCs w:val="24"/>
        </w:rPr>
        <w:t xml:space="preserve">” in Article 2 of the Export Regulation would be stripped of meaning if the Appellant’s arguments were correct. </w:t>
      </w:r>
    </w:p>
    <w:p w14:paraId="5EC34894" w14:textId="35394172" w:rsidR="00481351" w:rsidRPr="000E0CA0" w:rsidRDefault="00602099" w:rsidP="002D37BA">
      <w:pPr>
        <w:pStyle w:val="ParaLevel1"/>
        <w:numPr>
          <w:ilvl w:val="0"/>
          <w:numId w:val="13"/>
        </w:numPr>
        <w:ind w:left="567" w:hanging="567"/>
        <w:rPr>
          <w:bCs/>
          <w:szCs w:val="24"/>
        </w:rPr>
      </w:pPr>
      <w:r w:rsidRPr="000E0CA0">
        <w:rPr>
          <w:bCs/>
          <w:szCs w:val="24"/>
        </w:rPr>
        <w:t>The only alternative is therefore that</w:t>
      </w:r>
      <w:r w:rsidR="00266CE6" w:rsidRPr="000E0CA0">
        <w:rPr>
          <w:bCs/>
          <w:szCs w:val="24"/>
        </w:rPr>
        <w:t xml:space="preserve"> in some way the reference to “</w:t>
      </w:r>
      <w:r w:rsidR="00266CE6" w:rsidRPr="000E0CA0">
        <w:rPr>
          <w:bCs/>
          <w:i/>
          <w:iCs/>
          <w:szCs w:val="24"/>
        </w:rPr>
        <w:t>lawful</w:t>
      </w:r>
      <w:r w:rsidR="00266CE6" w:rsidRPr="000E0CA0">
        <w:rPr>
          <w:bCs/>
          <w:szCs w:val="24"/>
        </w:rPr>
        <w:t xml:space="preserve">” has an autonomous meaning in EU law (and is not a </w:t>
      </w:r>
      <w:r w:rsidR="00266CE6" w:rsidRPr="000E0CA0">
        <w:rPr>
          <w:bCs/>
          <w:i/>
          <w:iCs/>
          <w:szCs w:val="24"/>
        </w:rPr>
        <w:t>renvoi</w:t>
      </w:r>
      <w:r w:rsidR="00266CE6" w:rsidRPr="000E0CA0">
        <w:rPr>
          <w:bCs/>
          <w:szCs w:val="24"/>
        </w:rPr>
        <w:t xml:space="preserve"> to national law)</w:t>
      </w:r>
      <w:r w:rsidRPr="000E0CA0">
        <w:rPr>
          <w:bCs/>
          <w:szCs w:val="24"/>
        </w:rPr>
        <w:t xml:space="preserve">. This in my view cannot be the case.  </w:t>
      </w:r>
      <w:r w:rsidR="00266CE6" w:rsidRPr="000E0CA0">
        <w:rPr>
          <w:bCs/>
          <w:szCs w:val="24"/>
        </w:rPr>
        <w:t xml:space="preserve"> </w:t>
      </w:r>
      <w:r w:rsidR="006E354E">
        <w:rPr>
          <w:bCs/>
          <w:szCs w:val="24"/>
        </w:rPr>
        <w:t>O</w:t>
      </w:r>
      <w:r w:rsidRPr="000E0CA0">
        <w:rPr>
          <w:bCs/>
          <w:szCs w:val="24"/>
        </w:rPr>
        <w:t xml:space="preserve">n </w:t>
      </w:r>
      <w:r w:rsidR="00466CA4" w:rsidRPr="000E0CA0">
        <w:rPr>
          <w:bCs/>
          <w:szCs w:val="24"/>
        </w:rPr>
        <w:t xml:space="preserve">its face the Export Regulation </w:t>
      </w:r>
      <w:r w:rsidR="00B50C32" w:rsidRPr="000E0CA0">
        <w:rPr>
          <w:bCs/>
          <w:szCs w:val="24"/>
        </w:rPr>
        <w:t>has no rules on “</w:t>
      </w:r>
      <w:r w:rsidR="00B50C32" w:rsidRPr="000E0CA0">
        <w:rPr>
          <w:bCs/>
          <w:i/>
          <w:iCs/>
          <w:szCs w:val="24"/>
        </w:rPr>
        <w:t>dispatch</w:t>
      </w:r>
      <w:r w:rsidR="00B50C32" w:rsidRPr="000E0CA0">
        <w:rPr>
          <w:bCs/>
          <w:szCs w:val="24"/>
        </w:rPr>
        <w:t xml:space="preserve">” so that there is no corpus of rules to which lawfulness </w:t>
      </w:r>
      <w:r w:rsidR="007E2ED4" w:rsidRPr="000E0CA0">
        <w:rPr>
          <w:bCs/>
          <w:szCs w:val="24"/>
        </w:rPr>
        <w:t xml:space="preserve">could </w:t>
      </w:r>
      <w:r w:rsidR="00B50C32" w:rsidRPr="000E0CA0">
        <w:rPr>
          <w:bCs/>
          <w:szCs w:val="24"/>
        </w:rPr>
        <w:t xml:space="preserve">attach. </w:t>
      </w:r>
      <w:r w:rsidR="00481351" w:rsidRPr="000E0CA0">
        <w:rPr>
          <w:bCs/>
          <w:szCs w:val="24"/>
        </w:rPr>
        <w:t>This is for the obvious reason that under the terms of the Export Regulation these matters are for the Member States</w:t>
      </w:r>
      <w:r w:rsidR="00B50C32" w:rsidRPr="000E0CA0">
        <w:rPr>
          <w:bCs/>
          <w:szCs w:val="24"/>
        </w:rPr>
        <w:t xml:space="preserve"> to govern</w:t>
      </w:r>
      <w:r w:rsidR="00481351" w:rsidRPr="000E0CA0">
        <w:rPr>
          <w:bCs/>
          <w:szCs w:val="24"/>
        </w:rPr>
        <w:t xml:space="preserve">. </w:t>
      </w:r>
    </w:p>
    <w:p w14:paraId="04C4353A" w14:textId="428AB08E" w:rsidR="00500CE6" w:rsidRPr="000E0CA0" w:rsidRDefault="00A36506" w:rsidP="002D37BA">
      <w:pPr>
        <w:pStyle w:val="ParaLevel1"/>
        <w:numPr>
          <w:ilvl w:val="0"/>
          <w:numId w:val="13"/>
        </w:numPr>
        <w:ind w:left="567" w:hanging="567"/>
        <w:rPr>
          <w:bCs/>
          <w:szCs w:val="24"/>
        </w:rPr>
      </w:pPr>
      <w:r w:rsidRPr="000E0CA0">
        <w:rPr>
          <w:bCs/>
          <w:szCs w:val="24"/>
        </w:rPr>
        <w:t>In written submissions the Appellant advanced a series of finely h</w:t>
      </w:r>
      <w:r w:rsidR="00952F13">
        <w:rPr>
          <w:bCs/>
          <w:szCs w:val="24"/>
        </w:rPr>
        <w:t>on</w:t>
      </w:r>
      <w:r w:rsidRPr="000E0CA0">
        <w:rPr>
          <w:bCs/>
          <w:szCs w:val="24"/>
        </w:rPr>
        <w:t>ed points of construction of the Export Regulation de</w:t>
      </w:r>
      <w:r w:rsidR="00952F13">
        <w:rPr>
          <w:bCs/>
          <w:szCs w:val="24"/>
        </w:rPr>
        <w:t>s</w:t>
      </w:r>
      <w:r w:rsidRPr="000E0CA0">
        <w:rPr>
          <w:bCs/>
          <w:szCs w:val="24"/>
        </w:rPr>
        <w:t xml:space="preserve">igned to show that properly construed Italian law did not govern.  None were repeated during oral submission and most are inconsistent with the Appellant’s </w:t>
      </w:r>
      <w:r w:rsidR="002B2905">
        <w:rPr>
          <w:bCs/>
          <w:szCs w:val="24"/>
        </w:rPr>
        <w:t xml:space="preserve">own </w:t>
      </w:r>
      <w:r w:rsidRPr="000E0CA0">
        <w:rPr>
          <w:bCs/>
          <w:szCs w:val="24"/>
        </w:rPr>
        <w:t xml:space="preserve">final analysis. I do not address them in detail here.  I will however refer </w:t>
      </w:r>
      <w:r w:rsidR="007E2ED4" w:rsidRPr="000E0CA0">
        <w:rPr>
          <w:bCs/>
          <w:szCs w:val="24"/>
        </w:rPr>
        <w:t xml:space="preserve">briefly </w:t>
      </w:r>
      <w:r w:rsidRPr="000E0CA0">
        <w:rPr>
          <w:bCs/>
          <w:szCs w:val="24"/>
        </w:rPr>
        <w:t xml:space="preserve">to </w:t>
      </w:r>
      <w:r w:rsidR="00C63F63" w:rsidRPr="000E0CA0">
        <w:rPr>
          <w:bCs/>
          <w:szCs w:val="24"/>
        </w:rPr>
        <w:t xml:space="preserve">four </w:t>
      </w:r>
      <w:r w:rsidRPr="000E0CA0">
        <w:rPr>
          <w:bCs/>
          <w:szCs w:val="24"/>
        </w:rPr>
        <w:t xml:space="preserve">of the arguments advanced.  </w:t>
      </w:r>
    </w:p>
    <w:p w14:paraId="763AB547" w14:textId="77777777" w:rsidR="00A36506" w:rsidRPr="000E0CA0" w:rsidRDefault="00A36506" w:rsidP="002D37BA">
      <w:pPr>
        <w:pStyle w:val="ParaLevel1"/>
        <w:numPr>
          <w:ilvl w:val="0"/>
          <w:numId w:val="13"/>
        </w:numPr>
        <w:ind w:left="567" w:hanging="567"/>
        <w:rPr>
          <w:bCs/>
          <w:szCs w:val="24"/>
        </w:rPr>
      </w:pPr>
      <w:r w:rsidRPr="000E0CA0">
        <w:rPr>
          <w:bCs/>
          <w:szCs w:val="24"/>
        </w:rPr>
        <w:t xml:space="preserve">First it is said </w:t>
      </w:r>
      <w:r w:rsidR="00952F13">
        <w:rPr>
          <w:bCs/>
          <w:szCs w:val="24"/>
        </w:rPr>
        <w:t xml:space="preserve">(by reference to </w:t>
      </w:r>
      <w:r w:rsidRPr="000E0CA0">
        <w:rPr>
          <w:bCs/>
          <w:szCs w:val="24"/>
        </w:rPr>
        <w:t>the fourth recital</w:t>
      </w:r>
      <w:r w:rsidR="007E2ED4" w:rsidRPr="000E0CA0">
        <w:rPr>
          <w:bCs/>
          <w:szCs w:val="24"/>
        </w:rPr>
        <w:t xml:space="preserve"> of the Export Regulation</w:t>
      </w:r>
      <w:r w:rsidR="001356B6" w:rsidRPr="000E0CA0">
        <w:rPr>
          <w:bCs/>
          <w:szCs w:val="24"/>
        </w:rPr>
        <w:t xml:space="preserve"> </w:t>
      </w:r>
      <w:r w:rsidR="007E2ED4" w:rsidRPr="000E0CA0">
        <w:rPr>
          <w:bCs/>
          <w:szCs w:val="24"/>
        </w:rPr>
        <w:t xml:space="preserve">- see paragraph </w:t>
      </w:r>
      <w:r w:rsidR="005A0401">
        <w:rPr>
          <w:bCs/>
          <w:szCs w:val="24"/>
        </w:rPr>
        <w:t>[42</w:t>
      </w:r>
      <w:r w:rsidR="007E2ED4" w:rsidRPr="000E0CA0">
        <w:rPr>
          <w:bCs/>
          <w:szCs w:val="24"/>
        </w:rPr>
        <w:t>] above</w:t>
      </w:r>
      <w:r w:rsidRPr="000E0CA0">
        <w:rPr>
          <w:bCs/>
          <w:szCs w:val="24"/>
        </w:rPr>
        <w:t>) that “…</w:t>
      </w:r>
      <w:r w:rsidRPr="000E0CA0">
        <w:rPr>
          <w:bCs/>
          <w:i/>
          <w:szCs w:val="24"/>
        </w:rPr>
        <w:t>t</w:t>
      </w:r>
      <w:r w:rsidRPr="000E0CA0">
        <w:rPr>
          <w:bCs/>
          <w:i/>
          <w:iCs/>
          <w:szCs w:val="24"/>
        </w:rPr>
        <w:t>he implementation of the system should be as simple and efficient as possible</w:t>
      </w:r>
      <w:r w:rsidRPr="000E0CA0">
        <w:rPr>
          <w:bCs/>
          <w:szCs w:val="24"/>
        </w:rPr>
        <w:t xml:space="preserve">”. It is said that “… </w:t>
      </w:r>
      <w:r w:rsidRPr="000E0CA0">
        <w:rPr>
          <w:bCs/>
          <w:i/>
          <w:iCs/>
          <w:szCs w:val="24"/>
        </w:rPr>
        <w:t>it has taken a hard-fought claim for judicial review and the services of a joint Italian law expert to enable the English courts to grapple with the question of whether or not the transfer of the Painting to the United Kingdom from Italy on 14 February 2007 could be said to be lawful as a matter of Italian law</w:t>
      </w:r>
      <w:r w:rsidRPr="000E0CA0">
        <w:rPr>
          <w:bCs/>
          <w:szCs w:val="24"/>
        </w:rPr>
        <w:t xml:space="preserve">.”  It is argued that the present case is an example of complexity and </w:t>
      </w:r>
      <w:r w:rsidR="007E2ED4" w:rsidRPr="000E0CA0">
        <w:rPr>
          <w:bCs/>
          <w:szCs w:val="24"/>
        </w:rPr>
        <w:t xml:space="preserve">amounts to </w:t>
      </w:r>
      <w:r w:rsidRPr="000E0CA0">
        <w:rPr>
          <w:bCs/>
          <w:szCs w:val="24"/>
        </w:rPr>
        <w:t>strong evidence that the Export Regulation should be construed to avoid such a situation arising</w:t>
      </w:r>
      <w:r w:rsidR="00B50C32" w:rsidRPr="000E0CA0">
        <w:rPr>
          <w:bCs/>
          <w:szCs w:val="24"/>
        </w:rPr>
        <w:t xml:space="preserve"> </w:t>
      </w:r>
      <w:r w:rsidR="005A0401">
        <w:rPr>
          <w:bCs/>
          <w:szCs w:val="24"/>
        </w:rPr>
        <w:t xml:space="preserve">which is achieved if </w:t>
      </w:r>
      <w:r w:rsidR="00B50C32" w:rsidRPr="000E0CA0">
        <w:rPr>
          <w:bCs/>
          <w:szCs w:val="24"/>
        </w:rPr>
        <w:t>it is the state of the location of the item that becomes the competent authority</w:t>
      </w:r>
      <w:r w:rsidRPr="000E0CA0">
        <w:rPr>
          <w:bCs/>
          <w:szCs w:val="24"/>
        </w:rPr>
        <w:t xml:space="preserve">.  </w:t>
      </w:r>
      <w:r w:rsidR="005A0401">
        <w:rPr>
          <w:bCs/>
          <w:szCs w:val="24"/>
        </w:rPr>
        <w:t xml:space="preserve">I do not agree. The </w:t>
      </w:r>
      <w:r w:rsidR="00B50C32" w:rsidRPr="000E0CA0">
        <w:rPr>
          <w:bCs/>
          <w:szCs w:val="24"/>
        </w:rPr>
        <w:t xml:space="preserve">reference to simplicity in the recital is </w:t>
      </w:r>
      <w:r w:rsidR="007E2ED4" w:rsidRPr="000E0CA0">
        <w:rPr>
          <w:bCs/>
          <w:szCs w:val="24"/>
        </w:rPr>
        <w:t xml:space="preserve">merely an exhortation to Member States to adopt straightforward </w:t>
      </w:r>
      <w:r w:rsidR="00B50C32" w:rsidRPr="000E0CA0">
        <w:rPr>
          <w:bCs/>
          <w:szCs w:val="24"/>
        </w:rPr>
        <w:t xml:space="preserve">national implementing laws; it </w:t>
      </w:r>
      <w:r w:rsidR="007E2ED4" w:rsidRPr="000E0CA0">
        <w:rPr>
          <w:bCs/>
          <w:szCs w:val="24"/>
        </w:rPr>
        <w:t xml:space="preserve">is </w:t>
      </w:r>
      <w:r w:rsidR="00B50C32" w:rsidRPr="000E0CA0">
        <w:rPr>
          <w:bCs/>
          <w:szCs w:val="24"/>
        </w:rPr>
        <w:t xml:space="preserve">not a lodestar by which to measure </w:t>
      </w:r>
      <w:r w:rsidR="007E2ED4" w:rsidRPr="000E0CA0">
        <w:rPr>
          <w:bCs/>
          <w:szCs w:val="24"/>
        </w:rPr>
        <w:t>the language of the Regulation</w:t>
      </w:r>
      <w:r w:rsidR="00B50C32" w:rsidRPr="000E0CA0">
        <w:rPr>
          <w:bCs/>
          <w:szCs w:val="24"/>
        </w:rPr>
        <w:t xml:space="preserve">.   But in any event, it is the </w:t>
      </w:r>
      <w:r w:rsidRPr="000E0CA0">
        <w:rPr>
          <w:bCs/>
          <w:szCs w:val="24"/>
        </w:rPr>
        <w:t xml:space="preserve">conduct of the Appellant that has given rise to the complexity.  </w:t>
      </w:r>
      <w:r w:rsidR="00500CE6" w:rsidRPr="000E0CA0">
        <w:rPr>
          <w:bCs/>
          <w:szCs w:val="24"/>
        </w:rPr>
        <w:t xml:space="preserve">Her </w:t>
      </w:r>
      <w:r w:rsidRPr="000E0CA0">
        <w:rPr>
          <w:bCs/>
          <w:szCs w:val="24"/>
        </w:rPr>
        <w:t>decision to refrain from seeking a lic</w:t>
      </w:r>
      <w:r w:rsidR="00500CE6" w:rsidRPr="000E0CA0">
        <w:rPr>
          <w:bCs/>
          <w:szCs w:val="24"/>
        </w:rPr>
        <w:t xml:space="preserve">ence </w:t>
      </w:r>
      <w:r w:rsidRPr="000E0CA0">
        <w:rPr>
          <w:bCs/>
          <w:szCs w:val="24"/>
        </w:rPr>
        <w:t xml:space="preserve">from the Italian </w:t>
      </w:r>
      <w:r w:rsidR="00500CE6" w:rsidRPr="000E0CA0">
        <w:rPr>
          <w:bCs/>
          <w:szCs w:val="24"/>
        </w:rPr>
        <w:t xml:space="preserve">authorities in advance of removal </w:t>
      </w:r>
      <w:r w:rsidRPr="000E0CA0">
        <w:rPr>
          <w:bCs/>
          <w:szCs w:val="24"/>
        </w:rPr>
        <w:t xml:space="preserve">and </w:t>
      </w:r>
      <w:r w:rsidR="00500CE6" w:rsidRPr="000E0CA0">
        <w:rPr>
          <w:bCs/>
          <w:szCs w:val="24"/>
        </w:rPr>
        <w:t>her persistence</w:t>
      </w:r>
      <w:r w:rsidRPr="000E0CA0">
        <w:rPr>
          <w:bCs/>
          <w:szCs w:val="24"/>
        </w:rPr>
        <w:t xml:space="preserve"> in this </w:t>
      </w:r>
      <w:r w:rsidR="00500CE6" w:rsidRPr="000E0CA0">
        <w:rPr>
          <w:bCs/>
          <w:szCs w:val="24"/>
        </w:rPr>
        <w:t xml:space="preserve">approach across the years </w:t>
      </w:r>
      <w:r w:rsidRPr="000E0CA0">
        <w:rPr>
          <w:bCs/>
          <w:szCs w:val="24"/>
        </w:rPr>
        <w:t>has been the cau</w:t>
      </w:r>
      <w:r w:rsidR="00500CE6" w:rsidRPr="000E0CA0">
        <w:rPr>
          <w:bCs/>
          <w:szCs w:val="24"/>
        </w:rPr>
        <w:t>s</w:t>
      </w:r>
      <w:r w:rsidRPr="000E0CA0">
        <w:rPr>
          <w:bCs/>
          <w:szCs w:val="24"/>
        </w:rPr>
        <w:t xml:space="preserve">e of this protracted litigation.  The system </w:t>
      </w:r>
      <w:r w:rsidR="00500CE6" w:rsidRPr="000E0CA0">
        <w:rPr>
          <w:bCs/>
          <w:szCs w:val="24"/>
        </w:rPr>
        <w:t>under the Export Regulation is straightforward</w:t>
      </w:r>
      <w:r w:rsidR="007E2ED4" w:rsidRPr="000E0CA0">
        <w:rPr>
          <w:bCs/>
          <w:szCs w:val="24"/>
        </w:rPr>
        <w:t>;</w:t>
      </w:r>
      <w:r w:rsidR="00B50C32" w:rsidRPr="000E0CA0">
        <w:rPr>
          <w:bCs/>
          <w:szCs w:val="24"/>
        </w:rPr>
        <w:t xml:space="preserve"> the alternative advanced by the </w:t>
      </w:r>
      <w:r w:rsidR="007E2ED4" w:rsidRPr="000E0CA0">
        <w:rPr>
          <w:bCs/>
          <w:szCs w:val="24"/>
        </w:rPr>
        <w:t>A</w:t>
      </w:r>
      <w:r w:rsidR="00B50C32" w:rsidRPr="000E0CA0">
        <w:rPr>
          <w:bCs/>
          <w:szCs w:val="24"/>
        </w:rPr>
        <w:t xml:space="preserve">ppellant is </w:t>
      </w:r>
      <w:r w:rsidR="007E2ED4" w:rsidRPr="000E0CA0">
        <w:rPr>
          <w:bCs/>
          <w:szCs w:val="24"/>
        </w:rPr>
        <w:t>not</w:t>
      </w:r>
      <w:r w:rsidR="00B50C32" w:rsidRPr="000E0CA0">
        <w:rPr>
          <w:bCs/>
          <w:szCs w:val="24"/>
        </w:rPr>
        <w:t xml:space="preserve">. </w:t>
      </w:r>
      <w:r w:rsidRPr="000E0CA0">
        <w:rPr>
          <w:bCs/>
          <w:szCs w:val="24"/>
        </w:rPr>
        <w:t xml:space="preserve"> </w:t>
      </w:r>
    </w:p>
    <w:p w14:paraId="4549625F" w14:textId="18635F68" w:rsidR="00C63F63" w:rsidRPr="000E0CA0" w:rsidRDefault="00C63F63" w:rsidP="002D37BA">
      <w:pPr>
        <w:pStyle w:val="ParaLevel1"/>
        <w:numPr>
          <w:ilvl w:val="0"/>
          <w:numId w:val="13"/>
        </w:numPr>
        <w:ind w:left="567" w:hanging="578"/>
        <w:rPr>
          <w:bCs/>
          <w:szCs w:val="24"/>
        </w:rPr>
      </w:pPr>
      <w:r w:rsidRPr="000E0CA0">
        <w:rPr>
          <w:bCs/>
          <w:szCs w:val="24"/>
        </w:rPr>
        <w:t>Second, in written submissions the Appellant relied upon the approach of the Court of Justice to phrases such as “</w:t>
      </w:r>
      <w:r w:rsidRPr="000E0CA0">
        <w:rPr>
          <w:bCs/>
          <w:i/>
          <w:iCs/>
          <w:szCs w:val="24"/>
        </w:rPr>
        <w:t>direct descendant</w:t>
      </w:r>
      <w:r w:rsidRPr="000E0CA0">
        <w:rPr>
          <w:bCs/>
          <w:szCs w:val="24"/>
        </w:rPr>
        <w:t xml:space="preserve">” </w:t>
      </w:r>
      <w:r w:rsidRPr="000E0CA0">
        <w:rPr>
          <w:bCs/>
          <w:iCs/>
          <w:szCs w:val="24"/>
        </w:rPr>
        <w:t xml:space="preserve">which was construed </w:t>
      </w:r>
      <w:r w:rsidR="005A0401">
        <w:rPr>
          <w:bCs/>
          <w:iCs/>
          <w:szCs w:val="24"/>
        </w:rPr>
        <w:t xml:space="preserve">by the Supreme Court </w:t>
      </w:r>
      <w:r w:rsidRPr="000E0CA0">
        <w:rPr>
          <w:bCs/>
          <w:iCs/>
          <w:szCs w:val="24"/>
        </w:rPr>
        <w:t xml:space="preserve">to have a discrete meaning in EU law in </w:t>
      </w:r>
      <w:r w:rsidRPr="000E0CA0">
        <w:rPr>
          <w:bCs/>
          <w:i/>
          <w:szCs w:val="24"/>
        </w:rPr>
        <w:t>SM (Algeria) v Entry Clearance Officer (SC(E))</w:t>
      </w:r>
      <w:r w:rsidRPr="000E0CA0">
        <w:rPr>
          <w:bCs/>
          <w:szCs w:val="24"/>
        </w:rPr>
        <w:t xml:space="preserve"> [2018] </w:t>
      </w:r>
      <w:r w:rsidR="005A0401">
        <w:rPr>
          <w:bCs/>
          <w:szCs w:val="24"/>
        </w:rPr>
        <w:t>UKSC 9 at paragraph [25]</w:t>
      </w:r>
      <w:r w:rsidRPr="000E0CA0">
        <w:rPr>
          <w:bCs/>
          <w:szCs w:val="24"/>
        </w:rPr>
        <w:t>.</w:t>
      </w:r>
      <w:r w:rsidR="00B50C32" w:rsidRPr="000E0CA0">
        <w:rPr>
          <w:bCs/>
          <w:szCs w:val="24"/>
        </w:rPr>
        <w:t xml:space="preserve"> It was argued that cases such as these showed how phrases in a measure of secondary EU law could have autonomous meanings. </w:t>
      </w:r>
      <w:r w:rsidRPr="000E0CA0">
        <w:rPr>
          <w:bCs/>
          <w:szCs w:val="24"/>
        </w:rPr>
        <w:t xml:space="preserve">  </w:t>
      </w:r>
      <w:r w:rsidR="00B50C32" w:rsidRPr="000E0CA0">
        <w:rPr>
          <w:bCs/>
          <w:szCs w:val="24"/>
        </w:rPr>
        <w:t xml:space="preserve">I disagree. The </w:t>
      </w:r>
      <w:r w:rsidR="0028475B" w:rsidRPr="000E0CA0">
        <w:rPr>
          <w:bCs/>
          <w:szCs w:val="24"/>
        </w:rPr>
        <w:t xml:space="preserve">jurisprudence of the Court is clear that a term can have an autonomous meaning where there is </w:t>
      </w:r>
      <w:r w:rsidR="00C52CE0" w:rsidRPr="000E0CA0">
        <w:rPr>
          <w:bCs/>
          <w:szCs w:val="24"/>
        </w:rPr>
        <w:t xml:space="preserve">no </w:t>
      </w:r>
      <w:r w:rsidR="0028475B" w:rsidRPr="000E0CA0">
        <w:rPr>
          <w:bCs/>
          <w:szCs w:val="24"/>
        </w:rPr>
        <w:t>explicit or implicit reference to national law.  In the present case the reference is implicitly to national law</w:t>
      </w:r>
      <w:r w:rsidR="005A0401">
        <w:rPr>
          <w:bCs/>
          <w:szCs w:val="24"/>
        </w:rPr>
        <w:t xml:space="preserve"> both because </w:t>
      </w:r>
      <w:r w:rsidRPr="000E0CA0">
        <w:rPr>
          <w:bCs/>
          <w:szCs w:val="24"/>
        </w:rPr>
        <w:t>“</w:t>
      </w:r>
      <w:r w:rsidRPr="000E0CA0">
        <w:rPr>
          <w:bCs/>
          <w:i/>
          <w:szCs w:val="24"/>
        </w:rPr>
        <w:t>lawful</w:t>
      </w:r>
      <w:r w:rsidRPr="000E0CA0">
        <w:rPr>
          <w:bCs/>
          <w:szCs w:val="24"/>
        </w:rPr>
        <w:t xml:space="preserve">” </w:t>
      </w:r>
      <w:r w:rsidR="0028475B" w:rsidRPr="000E0CA0">
        <w:rPr>
          <w:bCs/>
          <w:szCs w:val="24"/>
        </w:rPr>
        <w:t xml:space="preserve">concerns the </w:t>
      </w:r>
      <w:r w:rsidR="00B50C32" w:rsidRPr="000E0CA0">
        <w:rPr>
          <w:bCs/>
          <w:szCs w:val="24"/>
        </w:rPr>
        <w:t>dispatch</w:t>
      </w:r>
      <w:r w:rsidR="0028475B" w:rsidRPr="000E0CA0">
        <w:rPr>
          <w:bCs/>
          <w:szCs w:val="24"/>
        </w:rPr>
        <w:t xml:space="preserve"> from a Member State</w:t>
      </w:r>
      <w:r w:rsidR="005A0401">
        <w:rPr>
          <w:bCs/>
          <w:szCs w:val="24"/>
        </w:rPr>
        <w:t>,</w:t>
      </w:r>
      <w:r w:rsidR="0028475B" w:rsidRPr="000E0CA0">
        <w:rPr>
          <w:bCs/>
          <w:szCs w:val="24"/>
        </w:rPr>
        <w:t xml:space="preserve"> and because there are no rules on </w:t>
      </w:r>
      <w:r w:rsidRPr="000E0CA0">
        <w:rPr>
          <w:bCs/>
          <w:szCs w:val="24"/>
        </w:rPr>
        <w:t>“</w:t>
      </w:r>
      <w:r w:rsidRPr="000E0CA0">
        <w:rPr>
          <w:bCs/>
          <w:i/>
          <w:szCs w:val="24"/>
        </w:rPr>
        <w:t>dispatch</w:t>
      </w:r>
      <w:r w:rsidR="0028475B" w:rsidRPr="000E0CA0">
        <w:rPr>
          <w:bCs/>
          <w:i/>
          <w:szCs w:val="24"/>
        </w:rPr>
        <w:t>”</w:t>
      </w:r>
      <w:r w:rsidRPr="000E0CA0">
        <w:rPr>
          <w:bCs/>
          <w:szCs w:val="24"/>
        </w:rPr>
        <w:t xml:space="preserve"> in the Export Regulation </w:t>
      </w:r>
      <w:r w:rsidR="0028475B" w:rsidRPr="000E0CA0">
        <w:rPr>
          <w:bCs/>
          <w:szCs w:val="24"/>
        </w:rPr>
        <w:t xml:space="preserve">which could </w:t>
      </w:r>
      <w:r w:rsidR="005A0401">
        <w:rPr>
          <w:bCs/>
          <w:szCs w:val="24"/>
        </w:rPr>
        <w:t xml:space="preserve">serve </w:t>
      </w:r>
      <w:r w:rsidR="0028475B" w:rsidRPr="000E0CA0">
        <w:rPr>
          <w:bCs/>
          <w:szCs w:val="24"/>
        </w:rPr>
        <w:t>to regulate removal of a cultural item from a Member State.</w:t>
      </w:r>
      <w:r w:rsidRPr="000E0CA0">
        <w:rPr>
          <w:bCs/>
          <w:szCs w:val="24"/>
        </w:rPr>
        <w:t xml:space="preserve"> </w:t>
      </w:r>
      <w:r w:rsidR="002B2905">
        <w:rPr>
          <w:bCs/>
          <w:szCs w:val="24"/>
        </w:rPr>
        <w:t xml:space="preserve"> I</w:t>
      </w:r>
      <w:r w:rsidR="0028475B" w:rsidRPr="000E0CA0">
        <w:rPr>
          <w:bCs/>
          <w:szCs w:val="24"/>
        </w:rPr>
        <w:t xml:space="preserve">t is </w:t>
      </w:r>
      <w:r w:rsidRPr="000E0CA0">
        <w:rPr>
          <w:bCs/>
          <w:szCs w:val="24"/>
        </w:rPr>
        <w:t xml:space="preserve">significant, as the </w:t>
      </w:r>
      <w:r w:rsidR="007E2ED4" w:rsidRPr="000E0CA0">
        <w:rPr>
          <w:bCs/>
          <w:szCs w:val="24"/>
        </w:rPr>
        <w:t>R</w:t>
      </w:r>
      <w:r w:rsidRPr="000E0CA0">
        <w:rPr>
          <w:bCs/>
          <w:szCs w:val="24"/>
        </w:rPr>
        <w:t>espondent points out</w:t>
      </w:r>
      <w:r w:rsidR="005A0401">
        <w:rPr>
          <w:bCs/>
          <w:szCs w:val="24"/>
        </w:rPr>
        <w:t>,</w:t>
      </w:r>
      <w:r w:rsidR="0028475B" w:rsidRPr="000E0CA0">
        <w:rPr>
          <w:bCs/>
          <w:szCs w:val="24"/>
        </w:rPr>
        <w:t xml:space="preserve"> </w:t>
      </w:r>
      <w:r w:rsidRPr="000E0CA0">
        <w:rPr>
          <w:bCs/>
          <w:szCs w:val="24"/>
        </w:rPr>
        <w:t>that the Appellant has not identified what</w:t>
      </w:r>
      <w:r w:rsidR="0028475B" w:rsidRPr="000E0CA0">
        <w:rPr>
          <w:bCs/>
          <w:szCs w:val="24"/>
        </w:rPr>
        <w:t xml:space="preserve">, </w:t>
      </w:r>
      <w:r w:rsidR="0028475B" w:rsidRPr="000E0CA0">
        <w:rPr>
          <w:bCs/>
          <w:szCs w:val="24"/>
        </w:rPr>
        <w:lastRenderedPageBreak/>
        <w:t xml:space="preserve">in the absence of rules </w:t>
      </w:r>
      <w:r w:rsidR="0028475B" w:rsidRPr="005A0401">
        <w:rPr>
          <w:bCs/>
          <w:szCs w:val="24"/>
          <w:u w:val="single"/>
        </w:rPr>
        <w:t>in</w:t>
      </w:r>
      <w:r w:rsidR="0028475B" w:rsidRPr="000E0CA0">
        <w:rPr>
          <w:bCs/>
          <w:szCs w:val="24"/>
        </w:rPr>
        <w:t xml:space="preserve"> the Export Regulation, the content of an autonomous EU test for lawfulness of dispatch would be</w:t>
      </w:r>
      <w:r w:rsidRPr="000E0CA0">
        <w:rPr>
          <w:bCs/>
          <w:szCs w:val="24"/>
        </w:rPr>
        <w:t xml:space="preserve">. </w:t>
      </w:r>
    </w:p>
    <w:p w14:paraId="2B4FC0D6" w14:textId="0FDFF17C" w:rsidR="00D623CF" w:rsidRPr="000E0CA0" w:rsidRDefault="00C63F63" w:rsidP="002D37BA">
      <w:pPr>
        <w:pStyle w:val="ParaLevel1"/>
        <w:numPr>
          <w:ilvl w:val="0"/>
          <w:numId w:val="13"/>
        </w:numPr>
        <w:spacing w:after="0"/>
        <w:ind w:left="567" w:hanging="567"/>
        <w:rPr>
          <w:bCs/>
          <w:szCs w:val="24"/>
        </w:rPr>
      </w:pPr>
      <w:r w:rsidRPr="000E0CA0">
        <w:rPr>
          <w:bCs/>
          <w:szCs w:val="24"/>
        </w:rPr>
        <w:t>Third, the</w:t>
      </w:r>
      <w:r w:rsidR="00FF2FCB" w:rsidRPr="000E0CA0">
        <w:rPr>
          <w:bCs/>
          <w:szCs w:val="24"/>
        </w:rPr>
        <w:t xml:space="preserve"> Appellant </w:t>
      </w:r>
      <w:r w:rsidRPr="000E0CA0">
        <w:rPr>
          <w:bCs/>
          <w:szCs w:val="24"/>
        </w:rPr>
        <w:t xml:space="preserve">also argued </w:t>
      </w:r>
      <w:r w:rsidR="00FF2FCB" w:rsidRPr="000E0CA0">
        <w:rPr>
          <w:bCs/>
          <w:szCs w:val="24"/>
        </w:rPr>
        <w:t xml:space="preserve">that the </w:t>
      </w:r>
      <w:r w:rsidR="002B2905">
        <w:rPr>
          <w:bCs/>
          <w:szCs w:val="24"/>
        </w:rPr>
        <w:t xml:space="preserve">legal </w:t>
      </w:r>
      <w:r w:rsidR="00FF2FCB" w:rsidRPr="000E0CA0">
        <w:rPr>
          <w:bCs/>
          <w:szCs w:val="24"/>
        </w:rPr>
        <w:t xml:space="preserve">structure of the </w:t>
      </w:r>
      <w:r w:rsidR="00D623CF" w:rsidRPr="000E0CA0">
        <w:rPr>
          <w:bCs/>
          <w:szCs w:val="24"/>
        </w:rPr>
        <w:t xml:space="preserve">Export </w:t>
      </w:r>
      <w:r w:rsidR="00FF2FCB" w:rsidRPr="000E0CA0">
        <w:rPr>
          <w:bCs/>
          <w:szCs w:val="24"/>
        </w:rPr>
        <w:t xml:space="preserve">Regulation and the </w:t>
      </w:r>
      <w:r w:rsidR="00D623CF" w:rsidRPr="000E0CA0">
        <w:rPr>
          <w:bCs/>
          <w:szCs w:val="24"/>
        </w:rPr>
        <w:t xml:space="preserve">Return </w:t>
      </w:r>
      <w:r w:rsidR="00FF2FCB" w:rsidRPr="000E0CA0">
        <w:rPr>
          <w:bCs/>
          <w:szCs w:val="24"/>
        </w:rPr>
        <w:t>Directive indicate that the legislator did not intend that the laws of any of the individual Member State</w:t>
      </w:r>
      <w:r w:rsidR="005A0401">
        <w:rPr>
          <w:bCs/>
          <w:szCs w:val="24"/>
        </w:rPr>
        <w:t>s</w:t>
      </w:r>
      <w:r w:rsidR="00FF2FCB" w:rsidRPr="000E0CA0">
        <w:rPr>
          <w:bCs/>
          <w:szCs w:val="24"/>
        </w:rPr>
        <w:t xml:space="preserve"> </w:t>
      </w:r>
      <w:r w:rsidR="007E2ED4" w:rsidRPr="000E0CA0">
        <w:rPr>
          <w:bCs/>
          <w:szCs w:val="24"/>
        </w:rPr>
        <w:t xml:space="preserve">should </w:t>
      </w:r>
      <w:r w:rsidR="00FF2FCB" w:rsidRPr="000E0CA0">
        <w:rPr>
          <w:bCs/>
          <w:szCs w:val="24"/>
        </w:rPr>
        <w:t>determine the question of where an object was “</w:t>
      </w:r>
      <w:r w:rsidR="00FF2FCB" w:rsidRPr="000E0CA0">
        <w:rPr>
          <w:bCs/>
          <w:i/>
          <w:iCs/>
          <w:szCs w:val="24"/>
        </w:rPr>
        <w:t>lawfully and definitively located</w:t>
      </w:r>
      <w:r w:rsidR="00FF2FCB" w:rsidRPr="000E0CA0">
        <w:rPr>
          <w:bCs/>
          <w:szCs w:val="24"/>
        </w:rPr>
        <w:t>” on 1</w:t>
      </w:r>
      <w:r w:rsidR="005436EC" w:rsidRPr="000E0CA0">
        <w:rPr>
          <w:bCs/>
          <w:szCs w:val="24"/>
          <w:vertAlign w:val="superscript"/>
        </w:rPr>
        <w:t>st</w:t>
      </w:r>
      <w:r w:rsidR="005436EC" w:rsidRPr="000E0CA0">
        <w:rPr>
          <w:bCs/>
          <w:szCs w:val="24"/>
        </w:rPr>
        <w:t xml:space="preserve"> </w:t>
      </w:r>
      <w:r w:rsidR="00FF2FCB" w:rsidRPr="000E0CA0">
        <w:rPr>
          <w:bCs/>
          <w:szCs w:val="24"/>
        </w:rPr>
        <w:t>January 1993 or whether it had subsequently been “</w:t>
      </w:r>
      <w:r w:rsidR="00FF2FCB" w:rsidRPr="000E0CA0">
        <w:rPr>
          <w:bCs/>
          <w:i/>
          <w:iCs/>
          <w:szCs w:val="24"/>
        </w:rPr>
        <w:t>lawfully and definitively</w:t>
      </w:r>
      <w:r w:rsidR="005A0401">
        <w:rPr>
          <w:bCs/>
          <w:i/>
          <w:iCs/>
          <w:szCs w:val="24"/>
        </w:rPr>
        <w:t xml:space="preserve"> </w:t>
      </w:r>
      <w:r w:rsidR="00FF2FCB" w:rsidRPr="005A0401">
        <w:rPr>
          <w:bCs/>
          <w:i/>
          <w:iCs/>
          <w:szCs w:val="24"/>
        </w:rPr>
        <w:t>dispatched</w:t>
      </w:r>
      <w:r w:rsidR="005A0401">
        <w:rPr>
          <w:bCs/>
          <w:szCs w:val="24"/>
        </w:rPr>
        <w:t>”</w:t>
      </w:r>
      <w:r w:rsidR="00FF2FCB" w:rsidRPr="000E0CA0">
        <w:rPr>
          <w:bCs/>
          <w:szCs w:val="24"/>
        </w:rPr>
        <w:t xml:space="preserve"> from one Member State to another.   The legal bas</w:t>
      </w:r>
      <w:r w:rsidR="005514DA" w:rsidRPr="000E0CA0">
        <w:rPr>
          <w:bCs/>
          <w:szCs w:val="24"/>
        </w:rPr>
        <w:t>e</w:t>
      </w:r>
      <w:r w:rsidR="00FF2FCB" w:rsidRPr="000E0CA0">
        <w:rPr>
          <w:bCs/>
          <w:szCs w:val="24"/>
        </w:rPr>
        <w:t xml:space="preserve">s for the </w:t>
      </w:r>
      <w:r w:rsidR="00D623CF" w:rsidRPr="000E0CA0">
        <w:rPr>
          <w:bCs/>
          <w:szCs w:val="24"/>
        </w:rPr>
        <w:t xml:space="preserve">Export </w:t>
      </w:r>
      <w:r w:rsidR="00FF2FCB" w:rsidRPr="000E0CA0">
        <w:rPr>
          <w:bCs/>
          <w:szCs w:val="24"/>
        </w:rPr>
        <w:t xml:space="preserve">Regulation </w:t>
      </w:r>
      <w:r w:rsidR="00D623CF" w:rsidRPr="000E0CA0">
        <w:rPr>
          <w:bCs/>
          <w:szCs w:val="24"/>
        </w:rPr>
        <w:t xml:space="preserve">and the </w:t>
      </w:r>
      <w:r w:rsidR="005514DA" w:rsidRPr="000E0CA0">
        <w:rPr>
          <w:bCs/>
          <w:szCs w:val="24"/>
        </w:rPr>
        <w:t>R</w:t>
      </w:r>
      <w:r w:rsidR="00D623CF" w:rsidRPr="000E0CA0">
        <w:rPr>
          <w:bCs/>
          <w:szCs w:val="24"/>
        </w:rPr>
        <w:t xml:space="preserve">eturn </w:t>
      </w:r>
      <w:r w:rsidR="00FF2FCB" w:rsidRPr="000E0CA0">
        <w:rPr>
          <w:bCs/>
          <w:szCs w:val="24"/>
        </w:rPr>
        <w:t xml:space="preserve">Directive </w:t>
      </w:r>
      <w:r w:rsidR="005E4B36">
        <w:rPr>
          <w:bCs/>
          <w:szCs w:val="24"/>
        </w:rPr>
        <w:t>we</w:t>
      </w:r>
      <w:r w:rsidR="005514DA" w:rsidRPr="000E0CA0">
        <w:rPr>
          <w:bCs/>
          <w:szCs w:val="24"/>
        </w:rPr>
        <w:t xml:space="preserve">re harmonising powers </w:t>
      </w:r>
      <w:r w:rsidR="00FF2FCB" w:rsidRPr="000E0CA0">
        <w:rPr>
          <w:bCs/>
          <w:szCs w:val="24"/>
        </w:rPr>
        <w:t>directed at harmonising national laws to a common standard across the Union.</w:t>
      </w:r>
      <w:r w:rsidR="00D623CF" w:rsidRPr="000E0CA0">
        <w:rPr>
          <w:bCs/>
          <w:szCs w:val="24"/>
        </w:rPr>
        <w:t xml:space="preserve"> </w:t>
      </w:r>
      <w:r w:rsidR="005514DA" w:rsidRPr="000E0CA0">
        <w:rPr>
          <w:bCs/>
          <w:szCs w:val="24"/>
        </w:rPr>
        <w:t xml:space="preserve"> The </w:t>
      </w:r>
      <w:r w:rsidR="00D623CF" w:rsidRPr="000E0CA0">
        <w:rPr>
          <w:bCs/>
          <w:szCs w:val="24"/>
        </w:rPr>
        <w:t>assumption si</w:t>
      </w:r>
      <w:r w:rsidR="00B50C32" w:rsidRPr="000E0CA0">
        <w:rPr>
          <w:bCs/>
          <w:szCs w:val="24"/>
        </w:rPr>
        <w:t>t</w:t>
      </w:r>
      <w:r w:rsidR="005514DA" w:rsidRPr="000E0CA0">
        <w:rPr>
          <w:bCs/>
          <w:szCs w:val="24"/>
        </w:rPr>
        <w:t xml:space="preserve">ting </w:t>
      </w:r>
      <w:r w:rsidR="00D623CF" w:rsidRPr="000E0CA0">
        <w:rPr>
          <w:bCs/>
          <w:szCs w:val="24"/>
        </w:rPr>
        <w:t xml:space="preserve">behind the argument is that because the measures are </w:t>
      </w:r>
      <w:r w:rsidR="009F3A4A" w:rsidRPr="000E0CA0">
        <w:rPr>
          <w:bCs/>
          <w:szCs w:val="24"/>
        </w:rPr>
        <w:t>harmonising,</w:t>
      </w:r>
      <w:r w:rsidR="00D623CF" w:rsidRPr="000E0CA0">
        <w:rPr>
          <w:bCs/>
          <w:szCs w:val="24"/>
        </w:rPr>
        <w:t xml:space="preserve"> they </w:t>
      </w:r>
      <w:r w:rsidR="00B50C32" w:rsidRPr="000E0CA0">
        <w:rPr>
          <w:bCs/>
          <w:szCs w:val="24"/>
        </w:rPr>
        <w:t xml:space="preserve">necessarily </w:t>
      </w:r>
      <w:r w:rsidR="00B50C32" w:rsidRPr="000E0CA0">
        <w:rPr>
          <w:bCs/>
          <w:szCs w:val="24"/>
          <w:u w:val="single"/>
        </w:rPr>
        <w:t>f</w:t>
      </w:r>
      <w:r w:rsidR="00D623CF" w:rsidRPr="000E0CA0">
        <w:rPr>
          <w:bCs/>
          <w:szCs w:val="24"/>
          <w:u w:val="single"/>
        </w:rPr>
        <w:t>ully</w:t>
      </w:r>
      <w:r w:rsidR="00D623CF" w:rsidRPr="000E0CA0">
        <w:rPr>
          <w:bCs/>
          <w:szCs w:val="24"/>
        </w:rPr>
        <w:t xml:space="preserve"> occupy the field and therefore leave </w:t>
      </w:r>
      <w:r w:rsidR="005436EC" w:rsidRPr="000E0CA0">
        <w:rPr>
          <w:bCs/>
          <w:szCs w:val="24"/>
        </w:rPr>
        <w:t>n</w:t>
      </w:r>
      <w:r w:rsidR="00D623CF" w:rsidRPr="000E0CA0">
        <w:rPr>
          <w:bCs/>
          <w:szCs w:val="24"/>
        </w:rPr>
        <w:t xml:space="preserve">o space for national law.  </w:t>
      </w:r>
      <w:r w:rsidR="00B50C32" w:rsidRPr="000E0CA0">
        <w:rPr>
          <w:bCs/>
          <w:szCs w:val="24"/>
        </w:rPr>
        <w:t xml:space="preserve">This is </w:t>
      </w:r>
      <w:r w:rsidR="00D623CF" w:rsidRPr="000E0CA0">
        <w:rPr>
          <w:bCs/>
          <w:szCs w:val="24"/>
        </w:rPr>
        <w:t>a false premise.</w:t>
      </w:r>
      <w:r w:rsidR="00B50C32" w:rsidRPr="000E0CA0">
        <w:rPr>
          <w:bCs/>
          <w:szCs w:val="24"/>
        </w:rPr>
        <w:t xml:space="preserve"> </w:t>
      </w:r>
      <w:r w:rsidR="009F3A4A" w:rsidRPr="000E0CA0">
        <w:rPr>
          <w:bCs/>
          <w:szCs w:val="24"/>
        </w:rPr>
        <w:t xml:space="preserve">  </w:t>
      </w:r>
      <w:r w:rsidR="005514DA" w:rsidRPr="000E0CA0">
        <w:rPr>
          <w:bCs/>
          <w:szCs w:val="24"/>
        </w:rPr>
        <w:t>I</w:t>
      </w:r>
      <w:r w:rsidR="009F3A4A" w:rsidRPr="000E0CA0">
        <w:rPr>
          <w:bCs/>
          <w:szCs w:val="24"/>
        </w:rPr>
        <w:t xml:space="preserve">n the field of cultural </w:t>
      </w:r>
      <w:r w:rsidR="005514DA" w:rsidRPr="000E0CA0">
        <w:rPr>
          <w:bCs/>
          <w:szCs w:val="24"/>
        </w:rPr>
        <w:t>goods,</w:t>
      </w:r>
      <w:r w:rsidR="009F3A4A" w:rsidRPr="000E0CA0">
        <w:rPr>
          <w:bCs/>
          <w:szCs w:val="24"/>
        </w:rPr>
        <w:t xml:space="preserve"> the opposite applies</w:t>
      </w:r>
      <w:r w:rsidR="005514DA" w:rsidRPr="000E0CA0">
        <w:rPr>
          <w:bCs/>
          <w:szCs w:val="24"/>
        </w:rPr>
        <w:t xml:space="preserve"> </w:t>
      </w:r>
      <w:r w:rsidR="00B50C32" w:rsidRPr="000E0CA0">
        <w:rPr>
          <w:bCs/>
          <w:szCs w:val="24"/>
        </w:rPr>
        <w:t>(see paragraphs [</w:t>
      </w:r>
      <w:r w:rsidR="005A0401">
        <w:rPr>
          <w:bCs/>
          <w:szCs w:val="24"/>
        </w:rPr>
        <w:t>29</w:t>
      </w:r>
      <w:r w:rsidR="00B50C32" w:rsidRPr="000E0CA0">
        <w:rPr>
          <w:bCs/>
          <w:szCs w:val="24"/>
        </w:rPr>
        <w:t>] – [</w:t>
      </w:r>
      <w:r w:rsidR="005A0401">
        <w:rPr>
          <w:bCs/>
          <w:szCs w:val="24"/>
        </w:rPr>
        <w:t>38</w:t>
      </w:r>
      <w:r w:rsidR="00B50C32" w:rsidRPr="000E0CA0">
        <w:rPr>
          <w:bCs/>
          <w:szCs w:val="24"/>
        </w:rPr>
        <w:t xml:space="preserve">] above) </w:t>
      </w:r>
      <w:r w:rsidR="005514DA" w:rsidRPr="000E0CA0">
        <w:rPr>
          <w:bCs/>
          <w:szCs w:val="24"/>
        </w:rPr>
        <w:t xml:space="preserve">and leads to the conclusion that there is a major </w:t>
      </w:r>
      <w:r w:rsidR="007E2ED4" w:rsidRPr="000E0CA0">
        <w:rPr>
          <w:bCs/>
          <w:szCs w:val="24"/>
        </w:rPr>
        <w:t>a</w:t>
      </w:r>
      <w:r w:rsidR="001356B6" w:rsidRPr="000E0CA0">
        <w:rPr>
          <w:bCs/>
          <w:szCs w:val="24"/>
        </w:rPr>
        <w:t>n</w:t>
      </w:r>
      <w:r w:rsidR="007E2ED4" w:rsidRPr="000E0CA0">
        <w:rPr>
          <w:bCs/>
          <w:szCs w:val="24"/>
        </w:rPr>
        <w:t xml:space="preserve">d indeed primary </w:t>
      </w:r>
      <w:r w:rsidR="005514DA" w:rsidRPr="000E0CA0">
        <w:rPr>
          <w:bCs/>
          <w:szCs w:val="24"/>
        </w:rPr>
        <w:t>role in the field of cultural goods for national law</w:t>
      </w:r>
      <w:r w:rsidR="009F3A4A" w:rsidRPr="000E0CA0">
        <w:rPr>
          <w:bCs/>
          <w:szCs w:val="24"/>
        </w:rPr>
        <w:t xml:space="preserve">. </w:t>
      </w:r>
      <w:r w:rsidR="00D623CF" w:rsidRPr="000E0CA0">
        <w:rPr>
          <w:bCs/>
          <w:szCs w:val="24"/>
        </w:rPr>
        <w:t xml:space="preserve">  </w:t>
      </w:r>
    </w:p>
    <w:p w14:paraId="2DA5A1EB" w14:textId="77777777" w:rsidR="005436EC" w:rsidRPr="000E0CA0" w:rsidRDefault="005436EC" w:rsidP="002D37BA">
      <w:pPr>
        <w:pStyle w:val="ListParagraph"/>
        <w:spacing w:after="0" w:line="240" w:lineRule="auto"/>
        <w:ind w:left="714"/>
        <w:jc w:val="both"/>
        <w:rPr>
          <w:rFonts w:ascii="Times New Roman" w:hAnsi="Times New Roman"/>
          <w:bCs/>
          <w:sz w:val="24"/>
          <w:szCs w:val="24"/>
        </w:rPr>
      </w:pPr>
    </w:p>
    <w:p w14:paraId="4641757C" w14:textId="77777777" w:rsidR="00864C77" w:rsidRPr="000E0CA0" w:rsidRDefault="00C63F63" w:rsidP="002D37BA">
      <w:pPr>
        <w:pStyle w:val="ListParagraph"/>
        <w:numPr>
          <w:ilvl w:val="0"/>
          <w:numId w:val="13"/>
        </w:numPr>
        <w:spacing w:after="0" w:line="240" w:lineRule="auto"/>
        <w:ind w:left="567" w:hanging="567"/>
        <w:jc w:val="both"/>
        <w:rPr>
          <w:rFonts w:ascii="Times New Roman" w:hAnsi="Times New Roman"/>
          <w:bCs/>
          <w:sz w:val="24"/>
          <w:szCs w:val="24"/>
        </w:rPr>
      </w:pPr>
      <w:r w:rsidRPr="000E0CA0">
        <w:rPr>
          <w:rFonts w:ascii="Times New Roman" w:hAnsi="Times New Roman"/>
          <w:bCs/>
          <w:sz w:val="24"/>
          <w:szCs w:val="24"/>
        </w:rPr>
        <w:t>Fourth</w:t>
      </w:r>
      <w:r w:rsidR="005436EC" w:rsidRPr="000E0CA0">
        <w:rPr>
          <w:rFonts w:ascii="Times New Roman" w:hAnsi="Times New Roman"/>
          <w:bCs/>
          <w:sz w:val="24"/>
          <w:szCs w:val="24"/>
        </w:rPr>
        <w:t xml:space="preserve">, </w:t>
      </w:r>
      <w:r w:rsidR="00A46E79" w:rsidRPr="000E0CA0">
        <w:rPr>
          <w:rFonts w:ascii="Times New Roman" w:hAnsi="Times New Roman"/>
          <w:bCs/>
          <w:sz w:val="24"/>
          <w:szCs w:val="24"/>
        </w:rPr>
        <w:t>the Appellant</w:t>
      </w:r>
      <w:r w:rsidRPr="000E0CA0">
        <w:rPr>
          <w:rFonts w:ascii="Times New Roman" w:hAnsi="Times New Roman"/>
          <w:bCs/>
          <w:sz w:val="24"/>
          <w:szCs w:val="24"/>
        </w:rPr>
        <w:t xml:space="preserve"> argued that there was no </w:t>
      </w:r>
      <w:r w:rsidRPr="000E0CA0">
        <w:rPr>
          <w:rFonts w:ascii="Times New Roman" w:hAnsi="Times New Roman"/>
          <w:bCs/>
          <w:sz w:val="24"/>
          <w:szCs w:val="24"/>
          <w:u w:val="single"/>
        </w:rPr>
        <w:t>need</w:t>
      </w:r>
      <w:r w:rsidRPr="000E0CA0">
        <w:rPr>
          <w:rFonts w:ascii="Times New Roman" w:hAnsi="Times New Roman"/>
          <w:bCs/>
          <w:sz w:val="24"/>
          <w:szCs w:val="24"/>
        </w:rPr>
        <w:t xml:space="preserve"> </w:t>
      </w:r>
      <w:r w:rsidR="00A46E79" w:rsidRPr="000E0CA0">
        <w:rPr>
          <w:rFonts w:ascii="Times New Roman" w:hAnsi="Times New Roman"/>
          <w:bCs/>
          <w:sz w:val="24"/>
          <w:szCs w:val="24"/>
        </w:rPr>
        <w:t>for the Export Regulation to “</w:t>
      </w:r>
      <w:r w:rsidR="00A46E79" w:rsidRPr="000E0CA0">
        <w:rPr>
          <w:rFonts w:ascii="Times New Roman" w:hAnsi="Times New Roman"/>
          <w:bCs/>
          <w:i/>
          <w:iCs/>
          <w:sz w:val="24"/>
          <w:szCs w:val="24"/>
        </w:rPr>
        <w:t>define definitive dispatch by reference to national law</w:t>
      </w:r>
      <w:r w:rsidRPr="000E0CA0">
        <w:rPr>
          <w:rFonts w:ascii="Times New Roman" w:hAnsi="Times New Roman"/>
          <w:bCs/>
          <w:sz w:val="24"/>
          <w:szCs w:val="24"/>
        </w:rPr>
        <w:t xml:space="preserve">”. It </w:t>
      </w:r>
      <w:r w:rsidR="00B50C32" w:rsidRPr="000E0CA0">
        <w:rPr>
          <w:rFonts w:ascii="Times New Roman" w:hAnsi="Times New Roman"/>
          <w:bCs/>
          <w:sz w:val="24"/>
          <w:szCs w:val="24"/>
        </w:rPr>
        <w:t>wa</w:t>
      </w:r>
      <w:r w:rsidR="005436EC" w:rsidRPr="000E0CA0">
        <w:rPr>
          <w:rFonts w:ascii="Times New Roman" w:hAnsi="Times New Roman"/>
          <w:bCs/>
          <w:sz w:val="24"/>
          <w:szCs w:val="24"/>
        </w:rPr>
        <w:t>s not the function of the Export Regulation to afford protection against removal from one Member State to another Member State in breach of the former’s laws or administrative requirements.   Instead</w:t>
      </w:r>
      <w:r w:rsidR="005A0401">
        <w:rPr>
          <w:rFonts w:ascii="Times New Roman" w:hAnsi="Times New Roman"/>
          <w:bCs/>
          <w:sz w:val="24"/>
          <w:szCs w:val="24"/>
        </w:rPr>
        <w:t>:</w:t>
      </w:r>
      <w:r w:rsidR="005436EC" w:rsidRPr="000E0CA0">
        <w:rPr>
          <w:rFonts w:ascii="Times New Roman" w:hAnsi="Times New Roman"/>
          <w:bCs/>
          <w:sz w:val="24"/>
          <w:szCs w:val="24"/>
        </w:rPr>
        <w:t xml:space="preserve"> (i) the function </w:t>
      </w:r>
      <w:r w:rsidR="00B50C32" w:rsidRPr="000E0CA0">
        <w:rPr>
          <w:rFonts w:ascii="Times New Roman" w:hAnsi="Times New Roman"/>
          <w:bCs/>
          <w:sz w:val="24"/>
          <w:szCs w:val="24"/>
        </w:rPr>
        <w:t xml:space="preserve">was </w:t>
      </w:r>
      <w:r w:rsidR="005436EC" w:rsidRPr="000E0CA0">
        <w:rPr>
          <w:rFonts w:ascii="Times New Roman" w:hAnsi="Times New Roman"/>
          <w:bCs/>
          <w:sz w:val="24"/>
          <w:szCs w:val="24"/>
        </w:rPr>
        <w:t>simply to provide a uniform, EU</w:t>
      </w:r>
      <w:r w:rsidR="00A46E79" w:rsidRPr="000E0CA0">
        <w:rPr>
          <w:rFonts w:ascii="Times New Roman" w:hAnsi="Times New Roman"/>
          <w:bCs/>
          <w:sz w:val="24"/>
          <w:szCs w:val="24"/>
        </w:rPr>
        <w:t xml:space="preserve"> </w:t>
      </w:r>
      <w:r w:rsidR="005436EC" w:rsidRPr="000E0CA0">
        <w:rPr>
          <w:rFonts w:ascii="Times New Roman" w:hAnsi="Times New Roman"/>
          <w:bCs/>
          <w:sz w:val="24"/>
          <w:szCs w:val="24"/>
        </w:rPr>
        <w:t>wide, approach to the issuing of licences for export outside the EU; and (ii)</w:t>
      </w:r>
      <w:r w:rsidR="00D034B4" w:rsidRPr="000E0CA0">
        <w:rPr>
          <w:rFonts w:ascii="Times New Roman" w:hAnsi="Times New Roman"/>
          <w:bCs/>
          <w:sz w:val="24"/>
          <w:szCs w:val="24"/>
        </w:rPr>
        <w:t>,</w:t>
      </w:r>
      <w:r w:rsidR="005436EC" w:rsidRPr="000E0CA0">
        <w:rPr>
          <w:rFonts w:ascii="Times New Roman" w:hAnsi="Times New Roman"/>
          <w:bCs/>
          <w:sz w:val="24"/>
          <w:szCs w:val="24"/>
        </w:rPr>
        <w:t xml:space="preserve"> it </w:t>
      </w:r>
      <w:r w:rsidR="00B50C32" w:rsidRPr="000E0CA0">
        <w:rPr>
          <w:rFonts w:ascii="Times New Roman" w:hAnsi="Times New Roman"/>
          <w:bCs/>
          <w:sz w:val="24"/>
          <w:szCs w:val="24"/>
        </w:rPr>
        <w:t>was</w:t>
      </w:r>
      <w:r w:rsidR="005436EC" w:rsidRPr="000E0CA0">
        <w:rPr>
          <w:rFonts w:ascii="Times New Roman" w:hAnsi="Times New Roman"/>
          <w:bCs/>
          <w:sz w:val="24"/>
          <w:szCs w:val="24"/>
        </w:rPr>
        <w:t xml:space="preserve"> the Return Directive which provide</w:t>
      </w:r>
      <w:r w:rsidR="00B50C32" w:rsidRPr="000E0CA0">
        <w:rPr>
          <w:rFonts w:ascii="Times New Roman" w:hAnsi="Times New Roman"/>
          <w:bCs/>
          <w:sz w:val="24"/>
          <w:szCs w:val="24"/>
        </w:rPr>
        <w:t>d</w:t>
      </w:r>
      <w:r w:rsidR="005436EC" w:rsidRPr="000E0CA0">
        <w:rPr>
          <w:rFonts w:ascii="Times New Roman" w:hAnsi="Times New Roman"/>
          <w:bCs/>
          <w:sz w:val="24"/>
          <w:szCs w:val="24"/>
        </w:rPr>
        <w:t xml:space="preserve"> remedies against the “</w:t>
      </w:r>
      <w:r w:rsidR="005436EC" w:rsidRPr="000E0CA0">
        <w:rPr>
          <w:rFonts w:ascii="Times New Roman" w:hAnsi="Times New Roman"/>
          <w:bCs/>
          <w:i/>
          <w:iCs/>
          <w:sz w:val="24"/>
          <w:szCs w:val="24"/>
        </w:rPr>
        <w:t>mischief</w:t>
      </w:r>
      <w:r w:rsidR="005436EC" w:rsidRPr="000E0CA0">
        <w:rPr>
          <w:rFonts w:ascii="Times New Roman" w:hAnsi="Times New Roman"/>
          <w:bCs/>
          <w:sz w:val="24"/>
          <w:szCs w:val="24"/>
        </w:rPr>
        <w:t xml:space="preserve">” of the unlawful removal of national treasures from one Member State to another. </w:t>
      </w:r>
      <w:r w:rsidR="00864C77" w:rsidRPr="000E0CA0">
        <w:rPr>
          <w:rFonts w:ascii="Times New Roman" w:hAnsi="Times New Roman"/>
          <w:bCs/>
          <w:sz w:val="24"/>
          <w:szCs w:val="24"/>
        </w:rPr>
        <w:t xml:space="preserve">The Appellant argued in her written submissions: </w:t>
      </w:r>
      <w:r w:rsidRPr="000E0CA0">
        <w:rPr>
          <w:rFonts w:ascii="Times New Roman" w:hAnsi="Times New Roman"/>
          <w:bCs/>
          <w:sz w:val="24"/>
          <w:szCs w:val="24"/>
        </w:rPr>
        <w:t>“…</w:t>
      </w:r>
      <w:r w:rsidR="00864C77" w:rsidRPr="000E0CA0">
        <w:rPr>
          <w:rFonts w:ascii="Times New Roman" w:hAnsi="Times New Roman"/>
          <w:bCs/>
          <w:i/>
          <w:iCs/>
          <w:sz w:val="24"/>
          <w:szCs w:val="24"/>
        </w:rPr>
        <w:t xml:space="preserve"> if the object was unlawfully removed as a matter of national law, the Member State from which the object originated will be notified under the [Export] Regulation and will then be able to secure its return using the mechanism provided by the [Return] …Directive. In those circumstances, there is simply no need for the [Export] … Regulation to define definitive dispatch by reference to national law.”</w:t>
      </w:r>
      <w:r w:rsidR="00864C77" w:rsidRPr="000E0CA0">
        <w:rPr>
          <w:rFonts w:ascii="Times New Roman" w:hAnsi="Times New Roman"/>
          <w:bCs/>
          <w:sz w:val="24"/>
          <w:szCs w:val="24"/>
        </w:rPr>
        <w:t xml:space="preserve">  </w:t>
      </w:r>
      <w:r w:rsidR="005514DA" w:rsidRPr="000E0CA0">
        <w:rPr>
          <w:rFonts w:ascii="Times New Roman" w:hAnsi="Times New Roman"/>
          <w:bCs/>
          <w:sz w:val="24"/>
          <w:szCs w:val="24"/>
        </w:rPr>
        <w:t xml:space="preserve">This is in my view illogical. </w:t>
      </w:r>
      <w:r w:rsidR="00864C77" w:rsidRPr="000E0CA0">
        <w:rPr>
          <w:rFonts w:ascii="Times New Roman" w:hAnsi="Times New Roman"/>
          <w:bCs/>
          <w:sz w:val="24"/>
          <w:szCs w:val="24"/>
        </w:rPr>
        <w:t xml:space="preserve">Prevention is better than cure.  The existence of </w:t>
      </w:r>
      <w:r w:rsidR="00D034B4" w:rsidRPr="000E0CA0">
        <w:rPr>
          <w:rFonts w:ascii="Times New Roman" w:hAnsi="Times New Roman"/>
          <w:bCs/>
          <w:sz w:val="24"/>
          <w:szCs w:val="24"/>
        </w:rPr>
        <w:t xml:space="preserve">the Return Directive </w:t>
      </w:r>
      <w:r w:rsidR="00864C77" w:rsidRPr="000E0CA0">
        <w:rPr>
          <w:rFonts w:ascii="Times New Roman" w:hAnsi="Times New Roman"/>
          <w:bCs/>
          <w:sz w:val="24"/>
          <w:szCs w:val="24"/>
        </w:rPr>
        <w:t xml:space="preserve">is not </w:t>
      </w:r>
      <w:r w:rsidR="00D034B4" w:rsidRPr="000E0CA0">
        <w:rPr>
          <w:rFonts w:ascii="Times New Roman" w:hAnsi="Times New Roman"/>
          <w:bCs/>
          <w:sz w:val="24"/>
          <w:szCs w:val="24"/>
        </w:rPr>
        <w:t xml:space="preserve">a </w:t>
      </w:r>
      <w:r w:rsidR="00864C77" w:rsidRPr="000E0CA0">
        <w:rPr>
          <w:rFonts w:ascii="Times New Roman" w:hAnsi="Times New Roman"/>
          <w:bCs/>
          <w:sz w:val="24"/>
          <w:szCs w:val="24"/>
        </w:rPr>
        <w:t xml:space="preserve">reason to deny the state of dispatch the </w:t>
      </w:r>
      <w:r w:rsidR="00D034B4" w:rsidRPr="000E0CA0">
        <w:rPr>
          <w:rFonts w:ascii="Times New Roman" w:hAnsi="Times New Roman"/>
          <w:bCs/>
          <w:sz w:val="24"/>
          <w:szCs w:val="24"/>
        </w:rPr>
        <w:t xml:space="preserve">ability to </w:t>
      </w:r>
      <w:r w:rsidR="00864C77" w:rsidRPr="000E0CA0">
        <w:rPr>
          <w:rFonts w:ascii="Times New Roman" w:hAnsi="Times New Roman"/>
          <w:bCs/>
          <w:sz w:val="24"/>
          <w:szCs w:val="24"/>
        </w:rPr>
        <w:t xml:space="preserve">regulate export </w:t>
      </w:r>
      <w:r w:rsidR="005514DA" w:rsidRPr="000E0CA0">
        <w:rPr>
          <w:rFonts w:ascii="Times New Roman" w:hAnsi="Times New Roman"/>
          <w:bCs/>
          <w:sz w:val="24"/>
          <w:szCs w:val="24"/>
        </w:rPr>
        <w:t xml:space="preserve">of items of cultural importance to it, </w:t>
      </w:r>
      <w:r w:rsidR="00864C77" w:rsidRPr="000E0CA0">
        <w:rPr>
          <w:rFonts w:ascii="Times New Roman" w:hAnsi="Times New Roman"/>
          <w:bCs/>
          <w:sz w:val="24"/>
          <w:szCs w:val="24"/>
        </w:rPr>
        <w:t>in accordance with its own law</w:t>
      </w:r>
      <w:r w:rsidR="00F42ED5" w:rsidRPr="000E0CA0">
        <w:rPr>
          <w:rFonts w:ascii="Times New Roman" w:hAnsi="Times New Roman"/>
          <w:bCs/>
          <w:sz w:val="24"/>
          <w:szCs w:val="24"/>
        </w:rPr>
        <w:t>,</w:t>
      </w:r>
      <w:r w:rsidR="00864C77" w:rsidRPr="000E0CA0">
        <w:rPr>
          <w:rFonts w:ascii="Times New Roman" w:hAnsi="Times New Roman"/>
          <w:bCs/>
          <w:sz w:val="24"/>
          <w:szCs w:val="24"/>
        </w:rPr>
        <w:t xml:space="preserve"> rather than in effect subcontract that protection to a third state</w:t>
      </w:r>
      <w:r w:rsidRPr="000E0CA0">
        <w:rPr>
          <w:rFonts w:ascii="Times New Roman" w:hAnsi="Times New Roman"/>
          <w:bCs/>
          <w:sz w:val="24"/>
          <w:szCs w:val="24"/>
        </w:rPr>
        <w:t xml:space="preserve"> with no cultural connection to the item in issue</w:t>
      </w:r>
      <w:r w:rsidR="00864C77" w:rsidRPr="000E0CA0">
        <w:rPr>
          <w:rFonts w:ascii="Times New Roman" w:hAnsi="Times New Roman"/>
          <w:bCs/>
          <w:sz w:val="24"/>
          <w:szCs w:val="24"/>
        </w:rPr>
        <w:t xml:space="preserve">.  Allocating legal control to the state with the cultural interest </w:t>
      </w:r>
      <w:r w:rsidR="00D034B4" w:rsidRPr="000E0CA0">
        <w:rPr>
          <w:rFonts w:ascii="Times New Roman" w:hAnsi="Times New Roman"/>
          <w:bCs/>
          <w:sz w:val="24"/>
          <w:szCs w:val="24"/>
        </w:rPr>
        <w:t xml:space="preserve">in the item is </w:t>
      </w:r>
      <w:r w:rsidR="00864C77" w:rsidRPr="000E0CA0">
        <w:rPr>
          <w:rFonts w:ascii="Times New Roman" w:hAnsi="Times New Roman"/>
          <w:bCs/>
          <w:sz w:val="24"/>
          <w:szCs w:val="24"/>
        </w:rPr>
        <w:t>the quickest</w:t>
      </w:r>
      <w:r w:rsidRPr="000E0CA0">
        <w:rPr>
          <w:rFonts w:ascii="Times New Roman" w:hAnsi="Times New Roman"/>
          <w:bCs/>
          <w:sz w:val="24"/>
          <w:szCs w:val="24"/>
        </w:rPr>
        <w:t>,</w:t>
      </w:r>
      <w:r w:rsidR="00864C77" w:rsidRPr="000E0CA0">
        <w:rPr>
          <w:rFonts w:ascii="Times New Roman" w:hAnsi="Times New Roman"/>
          <w:bCs/>
          <w:sz w:val="24"/>
          <w:szCs w:val="24"/>
        </w:rPr>
        <w:t xml:space="preserve"> easiest and most effective way of ensuring th</w:t>
      </w:r>
      <w:r w:rsidR="00D034B4" w:rsidRPr="000E0CA0">
        <w:rPr>
          <w:rFonts w:ascii="Times New Roman" w:hAnsi="Times New Roman"/>
          <w:bCs/>
          <w:sz w:val="24"/>
          <w:szCs w:val="24"/>
        </w:rPr>
        <w:t>a</w:t>
      </w:r>
      <w:r w:rsidR="00864C77" w:rsidRPr="000E0CA0">
        <w:rPr>
          <w:rFonts w:ascii="Times New Roman" w:hAnsi="Times New Roman"/>
          <w:bCs/>
          <w:sz w:val="24"/>
          <w:szCs w:val="24"/>
        </w:rPr>
        <w:t>t cultural goods are properly regulated</w:t>
      </w:r>
      <w:r w:rsidR="007E2ED4" w:rsidRPr="000E0CA0">
        <w:rPr>
          <w:rFonts w:ascii="Times New Roman" w:hAnsi="Times New Roman"/>
          <w:bCs/>
          <w:sz w:val="24"/>
          <w:szCs w:val="24"/>
        </w:rPr>
        <w:t xml:space="preserve"> and national heritage is protected a</w:t>
      </w:r>
      <w:r w:rsidR="001356B6" w:rsidRPr="000E0CA0">
        <w:rPr>
          <w:rFonts w:ascii="Times New Roman" w:hAnsi="Times New Roman"/>
          <w:bCs/>
          <w:sz w:val="24"/>
          <w:szCs w:val="24"/>
        </w:rPr>
        <w:t>n</w:t>
      </w:r>
      <w:r w:rsidR="007E2ED4" w:rsidRPr="000E0CA0">
        <w:rPr>
          <w:rFonts w:ascii="Times New Roman" w:hAnsi="Times New Roman"/>
          <w:bCs/>
          <w:sz w:val="24"/>
          <w:szCs w:val="24"/>
        </w:rPr>
        <w:t>d is consistent with the objectives behind Article 6 and 167 TFEU</w:t>
      </w:r>
      <w:r w:rsidR="00864C77" w:rsidRPr="000E0CA0">
        <w:rPr>
          <w:rFonts w:ascii="Times New Roman" w:hAnsi="Times New Roman"/>
          <w:bCs/>
          <w:sz w:val="24"/>
          <w:szCs w:val="24"/>
        </w:rPr>
        <w:t xml:space="preserve">.  </w:t>
      </w:r>
    </w:p>
    <w:p w14:paraId="5844E9F7" w14:textId="1A147B82" w:rsidR="00C63F63" w:rsidRPr="000E0CA0" w:rsidRDefault="00C63F63" w:rsidP="002D37BA">
      <w:pPr>
        <w:pStyle w:val="ParaLevel1"/>
        <w:numPr>
          <w:ilvl w:val="0"/>
          <w:numId w:val="13"/>
        </w:numPr>
        <w:ind w:left="567" w:hanging="567"/>
        <w:rPr>
          <w:bCs/>
          <w:szCs w:val="24"/>
        </w:rPr>
      </w:pPr>
      <w:r w:rsidRPr="000E0CA0">
        <w:rPr>
          <w:bCs/>
          <w:szCs w:val="24"/>
        </w:rPr>
        <w:t xml:space="preserve">In conclusion for the reasons given above I agree with the Judge, and the </w:t>
      </w:r>
      <w:r w:rsidR="007E2ED4" w:rsidRPr="000E0CA0">
        <w:rPr>
          <w:bCs/>
          <w:szCs w:val="24"/>
        </w:rPr>
        <w:t>R</w:t>
      </w:r>
      <w:r w:rsidRPr="000E0CA0">
        <w:rPr>
          <w:bCs/>
          <w:szCs w:val="24"/>
        </w:rPr>
        <w:t>espondent, that the expression “</w:t>
      </w:r>
      <w:r w:rsidRPr="000E0CA0">
        <w:rPr>
          <w:bCs/>
          <w:i/>
          <w:szCs w:val="24"/>
        </w:rPr>
        <w:t>lawfully and definit</w:t>
      </w:r>
      <w:r w:rsidR="000C5502">
        <w:rPr>
          <w:bCs/>
          <w:i/>
          <w:szCs w:val="24"/>
        </w:rPr>
        <w:t>ive</w:t>
      </w:r>
      <w:r w:rsidRPr="000E0CA0">
        <w:rPr>
          <w:bCs/>
          <w:i/>
          <w:szCs w:val="24"/>
        </w:rPr>
        <w:t xml:space="preserve"> dispatched</w:t>
      </w:r>
      <w:r w:rsidRPr="000E0CA0">
        <w:rPr>
          <w:bCs/>
          <w:szCs w:val="24"/>
        </w:rPr>
        <w:t xml:space="preserve">” is a reference to the national law in the state of physical dispatch, here Italy.  It follows that </w:t>
      </w:r>
      <w:r w:rsidR="00F42ED5" w:rsidRPr="000E0CA0">
        <w:rPr>
          <w:bCs/>
          <w:szCs w:val="24"/>
        </w:rPr>
        <w:t>up</w:t>
      </w:r>
      <w:r w:rsidRPr="000E0CA0">
        <w:rPr>
          <w:bCs/>
          <w:szCs w:val="24"/>
        </w:rPr>
        <w:t>on the basis of the joint expert in Italian law as accepted by the Judge the dispatch by Mrs Simonis of the pain</w:t>
      </w:r>
      <w:r w:rsidR="007E2ED4" w:rsidRPr="000E0CA0">
        <w:rPr>
          <w:bCs/>
          <w:szCs w:val="24"/>
        </w:rPr>
        <w:t>t</w:t>
      </w:r>
      <w:r w:rsidRPr="000E0CA0">
        <w:rPr>
          <w:bCs/>
          <w:szCs w:val="24"/>
        </w:rPr>
        <w:t xml:space="preserve">ing from Italy to London was in violation of Italian law. </w:t>
      </w:r>
    </w:p>
    <w:p w14:paraId="66D0935A" w14:textId="77777777" w:rsidR="00C63F63" w:rsidRPr="000E0CA0" w:rsidRDefault="005A0401" w:rsidP="002D37BA">
      <w:pPr>
        <w:pStyle w:val="ParaLevel1"/>
        <w:numPr>
          <w:ilvl w:val="0"/>
          <w:numId w:val="13"/>
        </w:numPr>
        <w:ind w:left="567" w:hanging="567"/>
        <w:rPr>
          <w:bCs/>
          <w:szCs w:val="24"/>
        </w:rPr>
      </w:pPr>
      <w:r>
        <w:rPr>
          <w:bCs/>
          <w:szCs w:val="24"/>
        </w:rPr>
        <w:t xml:space="preserve">I turn now to the </w:t>
      </w:r>
      <w:r w:rsidR="00C63F63" w:rsidRPr="000E0CA0">
        <w:rPr>
          <w:bCs/>
          <w:szCs w:val="24"/>
        </w:rPr>
        <w:t>Appellant’s most refined argument, advanced orally, which is that the phrase refers to national law but with an EU and international law overlay</w:t>
      </w:r>
      <w:r>
        <w:rPr>
          <w:bCs/>
          <w:szCs w:val="24"/>
        </w:rPr>
        <w:t xml:space="preserve">.  This is, at base, </w:t>
      </w:r>
      <w:r w:rsidR="00C63F63" w:rsidRPr="000E0CA0">
        <w:rPr>
          <w:bCs/>
          <w:szCs w:val="24"/>
        </w:rPr>
        <w:t>no more than saying that the law is Italian but that this law must be consistent with superior EU and international law norms.   This is not a proposition that Mr J</w:t>
      </w:r>
      <w:r w:rsidR="00952F13">
        <w:rPr>
          <w:bCs/>
          <w:szCs w:val="24"/>
        </w:rPr>
        <w:t>a</w:t>
      </w:r>
      <w:r w:rsidR="00C63F63" w:rsidRPr="000E0CA0">
        <w:rPr>
          <w:bCs/>
          <w:szCs w:val="24"/>
        </w:rPr>
        <w:t xml:space="preserve">ffey QC, for the </w:t>
      </w:r>
      <w:r w:rsidR="007E2ED4" w:rsidRPr="000E0CA0">
        <w:rPr>
          <w:bCs/>
          <w:szCs w:val="24"/>
        </w:rPr>
        <w:t>R</w:t>
      </w:r>
      <w:r w:rsidR="00C63F63" w:rsidRPr="000E0CA0">
        <w:rPr>
          <w:bCs/>
          <w:szCs w:val="24"/>
        </w:rPr>
        <w:t>espondent, quibbled with.   It is</w:t>
      </w:r>
      <w:r w:rsidR="007E2ED4" w:rsidRPr="000E0CA0">
        <w:rPr>
          <w:bCs/>
          <w:szCs w:val="24"/>
        </w:rPr>
        <w:t>,</w:t>
      </w:r>
      <w:r w:rsidR="00C63F63" w:rsidRPr="000E0CA0">
        <w:rPr>
          <w:bCs/>
          <w:szCs w:val="24"/>
        </w:rPr>
        <w:t xml:space="preserve"> in pith and substance, a way of expressing the second ground which seeks to test the legality of the application </w:t>
      </w:r>
      <w:r w:rsidR="007E2ED4" w:rsidRPr="000E0CA0">
        <w:rPr>
          <w:bCs/>
          <w:szCs w:val="24"/>
        </w:rPr>
        <w:t xml:space="preserve">of </w:t>
      </w:r>
      <w:r w:rsidR="00C63F63" w:rsidRPr="000E0CA0">
        <w:rPr>
          <w:bCs/>
          <w:szCs w:val="24"/>
        </w:rPr>
        <w:t xml:space="preserve">the Italian law against superior rules of law. I deal with </w:t>
      </w:r>
      <w:r w:rsidR="007E2ED4" w:rsidRPr="000E0CA0">
        <w:rPr>
          <w:bCs/>
          <w:szCs w:val="24"/>
        </w:rPr>
        <w:t xml:space="preserve">this under </w:t>
      </w:r>
      <w:r w:rsidR="00C63F63" w:rsidRPr="000E0CA0">
        <w:rPr>
          <w:bCs/>
          <w:szCs w:val="24"/>
        </w:rPr>
        <w:t>Grou</w:t>
      </w:r>
      <w:r w:rsidR="00C1603F" w:rsidRPr="000E0CA0">
        <w:rPr>
          <w:bCs/>
          <w:szCs w:val="24"/>
        </w:rPr>
        <w:t>nd II</w:t>
      </w:r>
      <w:r w:rsidR="007E2ED4" w:rsidRPr="000E0CA0">
        <w:rPr>
          <w:bCs/>
          <w:szCs w:val="24"/>
        </w:rPr>
        <w:t xml:space="preserve"> below</w:t>
      </w:r>
      <w:r w:rsidR="00C63F63" w:rsidRPr="000E0CA0">
        <w:rPr>
          <w:bCs/>
          <w:szCs w:val="24"/>
        </w:rPr>
        <w:t>.</w:t>
      </w:r>
    </w:p>
    <w:p w14:paraId="6AB1CFBD" w14:textId="77777777" w:rsidR="00D03828" w:rsidRPr="000E0CA0" w:rsidRDefault="008A1EEE" w:rsidP="002D37BA">
      <w:pPr>
        <w:pStyle w:val="ParaLevel1"/>
        <w:tabs>
          <w:tab w:val="clear" w:pos="1996"/>
          <w:tab w:val="num" w:pos="567"/>
        </w:tabs>
        <w:ind w:hanging="1996"/>
        <w:rPr>
          <w:b/>
          <w:szCs w:val="24"/>
          <w:u w:val="single"/>
        </w:rPr>
      </w:pPr>
      <w:r w:rsidRPr="000E0CA0">
        <w:rPr>
          <w:b/>
          <w:szCs w:val="24"/>
          <w:u w:val="single"/>
        </w:rPr>
        <w:lastRenderedPageBreak/>
        <w:t>Ground II: The compatibility of Italian Law with Article 35 and 36 TFEU</w:t>
      </w:r>
    </w:p>
    <w:p w14:paraId="427B8304" w14:textId="77777777" w:rsidR="00DA227E" w:rsidRDefault="00DA227E" w:rsidP="002D37BA">
      <w:pPr>
        <w:pStyle w:val="ListParagraph"/>
        <w:numPr>
          <w:ilvl w:val="0"/>
          <w:numId w:val="26"/>
        </w:numPr>
        <w:spacing w:after="0" w:line="240" w:lineRule="auto"/>
        <w:ind w:hanging="513"/>
        <w:jc w:val="both"/>
        <w:rPr>
          <w:rFonts w:ascii="Times New Roman" w:hAnsi="Times New Roman"/>
          <w:b/>
          <w:i/>
          <w:iCs/>
          <w:sz w:val="24"/>
          <w:szCs w:val="24"/>
        </w:rPr>
      </w:pPr>
      <w:r w:rsidRPr="000E0CA0">
        <w:rPr>
          <w:rFonts w:ascii="Times New Roman" w:hAnsi="Times New Roman"/>
          <w:b/>
          <w:i/>
          <w:iCs/>
          <w:sz w:val="24"/>
          <w:szCs w:val="24"/>
        </w:rPr>
        <w:t xml:space="preserve">The Ground of Appeal </w:t>
      </w:r>
    </w:p>
    <w:p w14:paraId="09545DBF" w14:textId="77777777" w:rsidR="009A22EB" w:rsidRDefault="009A22EB" w:rsidP="009A22EB">
      <w:pPr>
        <w:pStyle w:val="ListParagraph"/>
        <w:spacing w:after="0" w:line="240" w:lineRule="auto"/>
        <w:ind w:left="567"/>
        <w:jc w:val="both"/>
        <w:rPr>
          <w:rFonts w:ascii="Times New Roman" w:hAnsi="Times New Roman"/>
          <w:bCs/>
          <w:sz w:val="24"/>
          <w:szCs w:val="24"/>
        </w:rPr>
      </w:pPr>
    </w:p>
    <w:p w14:paraId="0D14188D" w14:textId="4CDE5AF6" w:rsidR="008A1EEE" w:rsidRDefault="005A0401" w:rsidP="002D37BA">
      <w:pPr>
        <w:pStyle w:val="ListParagraph"/>
        <w:numPr>
          <w:ilvl w:val="0"/>
          <w:numId w:val="1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Under the s</w:t>
      </w:r>
      <w:r w:rsidR="00942FC8" w:rsidRPr="000E0CA0">
        <w:rPr>
          <w:rFonts w:ascii="Times New Roman" w:hAnsi="Times New Roman"/>
          <w:bCs/>
          <w:sz w:val="24"/>
          <w:szCs w:val="24"/>
        </w:rPr>
        <w:t>econd ground of appeal the Appellant challenges the legality of the application of Italian law to the removal by her of the painting from Italy.  She does so under Articles 35 and 36 TFEU</w:t>
      </w:r>
      <w:r>
        <w:rPr>
          <w:rFonts w:ascii="Times New Roman" w:hAnsi="Times New Roman"/>
          <w:bCs/>
          <w:sz w:val="24"/>
          <w:szCs w:val="24"/>
        </w:rPr>
        <w:t xml:space="preserve">, </w:t>
      </w:r>
      <w:r w:rsidR="00942FC8" w:rsidRPr="000E0CA0">
        <w:rPr>
          <w:rFonts w:ascii="Times New Roman" w:hAnsi="Times New Roman"/>
          <w:bCs/>
          <w:sz w:val="24"/>
          <w:szCs w:val="24"/>
        </w:rPr>
        <w:t xml:space="preserve">Article 52 of the </w:t>
      </w:r>
      <w:r w:rsidR="000C5502" w:rsidRPr="000E0CA0">
        <w:rPr>
          <w:rFonts w:ascii="Times New Roman" w:hAnsi="Times New Roman"/>
          <w:bCs/>
          <w:sz w:val="24"/>
          <w:szCs w:val="24"/>
        </w:rPr>
        <w:t>Charter</w:t>
      </w:r>
      <w:r w:rsidR="001E75FF">
        <w:rPr>
          <w:rFonts w:ascii="Times New Roman" w:hAnsi="Times New Roman"/>
          <w:bCs/>
          <w:sz w:val="24"/>
          <w:szCs w:val="24"/>
        </w:rPr>
        <w:t xml:space="preserve"> of</w:t>
      </w:r>
      <w:r w:rsidR="000C5502" w:rsidRPr="000E0CA0">
        <w:rPr>
          <w:rFonts w:ascii="Times New Roman" w:hAnsi="Times New Roman"/>
          <w:bCs/>
          <w:sz w:val="24"/>
          <w:szCs w:val="24"/>
        </w:rPr>
        <w:t xml:space="preserve"> </w:t>
      </w:r>
      <w:r w:rsidR="00942FC8" w:rsidRPr="000E0CA0">
        <w:rPr>
          <w:rFonts w:ascii="Times New Roman" w:hAnsi="Times New Roman"/>
          <w:bCs/>
          <w:sz w:val="24"/>
          <w:szCs w:val="24"/>
        </w:rPr>
        <w:t>Fundamental</w:t>
      </w:r>
      <w:r w:rsidR="001E75FF">
        <w:rPr>
          <w:rFonts w:ascii="Times New Roman" w:hAnsi="Times New Roman"/>
          <w:bCs/>
          <w:sz w:val="24"/>
          <w:szCs w:val="24"/>
        </w:rPr>
        <w:t xml:space="preserve"> Rights</w:t>
      </w:r>
      <w:r>
        <w:rPr>
          <w:rFonts w:ascii="Times New Roman" w:hAnsi="Times New Roman"/>
          <w:bCs/>
          <w:sz w:val="24"/>
          <w:szCs w:val="24"/>
        </w:rPr>
        <w:t>, and A1P1</w:t>
      </w:r>
      <w:r w:rsidR="00942FC8" w:rsidRPr="000E0CA0">
        <w:rPr>
          <w:rFonts w:ascii="Times New Roman" w:hAnsi="Times New Roman"/>
          <w:bCs/>
          <w:sz w:val="24"/>
          <w:szCs w:val="24"/>
        </w:rPr>
        <w:t>.</w:t>
      </w:r>
      <w:r w:rsidR="008A1EEE" w:rsidRPr="000E0CA0">
        <w:rPr>
          <w:rFonts w:ascii="Times New Roman" w:hAnsi="Times New Roman"/>
          <w:bCs/>
          <w:sz w:val="24"/>
          <w:szCs w:val="24"/>
        </w:rPr>
        <w:t xml:space="preserve">  </w:t>
      </w:r>
    </w:p>
    <w:p w14:paraId="5805C0C1" w14:textId="77777777" w:rsidR="005E4B36" w:rsidRDefault="005E4B36" w:rsidP="002D37BA">
      <w:pPr>
        <w:pStyle w:val="ListParagraph"/>
        <w:spacing w:after="0" w:line="240" w:lineRule="auto"/>
        <w:ind w:left="567"/>
        <w:jc w:val="both"/>
        <w:rPr>
          <w:rFonts w:ascii="Times New Roman" w:hAnsi="Times New Roman"/>
          <w:bCs/>
          <w:sz w:val="24"/>
          <w:szCs w:val="24"/>
        </w:rPr>
      </w:pPr>
    </w:p>
    <w:p w14:paraId="00488B1B" w14:textId="52711A2B" w:rsidR="00DA227E" w:rsidRDefault="008A1EEE" w:rsidP="002D37BA">
      <w:pPr>
        <w:pStyle w:val="ListParagraph"/>
        <w:numPr>
          <w:ilvl w:val="0"/>
          <w:numId w:val="13"/>
        </w:numPr>
        <w:spacing w:after="0" w:line="240" w:lineRule="auto"/>
        <w:ind w:left="567" w:hanging="567"/>
        <w:jc w:val="both"/>
        <w:rPr>
          <w:rFonts w:ascii="Times New Roman" w:hAnsi="Times New Roman"/>
          <w:bCs/>
          <w:sz w:val="24"/>
          <w:szCs w:val="24"/>
        </w:rPr>
      </w:pPr>
      <w:r w:rsidRPr="000E0CA0">
        <w:rPr>
          <w:rFonts w:ascii="Times New Roman" w:hAnsi="Times New Roman"/>
          <w:bCs/>
          <w:sz w:val="24"/>
          <w:szCs w:val="24"/>
        </w:rPr>
        <w:t xml:space="preserve">The Appellant explains how the argument came about in the Court below.  The </w:t>
      </w:r>
      <w:r w:rsidR="005B1A93">
        <w:rPr>
          <w:rFonts w:ascii="Times New Roman" w:hAnsi="Times New Roman"/>
          <w:bCs/>
          <w:sz w:val="24"/>
          <w:szCs w:val="24"/>
        </w:rPr>
        <w:t xml:space="preserve">conclusion </w:t>
      </w:r>
      <w:r w:rsidRPr="000E0CA0">
        <w:rPr>
          <w:rFonts w:ascii="Times New Roman" w:hAnsi="Times New Roman"/>
          <w:bCs/>
          <w:sz w:val="24"/>
          <w:szCs w:val="24"/>
        </w:rPr>
        <w:t xml:space="preserve">of the joint expert on Italian law (Professor Lenzerini) was that obtaining a </w:t>
      </w:r>
      <w:r w:rsidRPr="000E0CA0">
        <w:rPr>
          <w:rFonts w:ascii="Times New Roman" w:hAnsi="Times New Roman"/>
          <w:bCs/>
          <w:sz w:val="24"/>
          <w:szCs w:val="24"/>
          <w:u w:val="single"/>
        </w:rPr>
        <w:t>new</w:t>
      </w:r>
      <w:r w:rsidRPr="000E0CA0">
        <w:rPr>
          <w:rFonts w:ascii="Times New Roman" w:hAnsi="Times New Roman"/>
          <w:bCs/>
          <w:sz w:val="24"/>
          <w:szCs w:val="24"/>
        </w:rPr>
        <w:t xml:space="preserve"> certificate of free movement was a mere formality because the Italian authority would have been obliged to grant it. The Appellant states that neither she nor the </w:t>
      </w:r>
      <w:r w:rsidR="007E2ED4" w:rsidRPr="000E0CA0">
        <w:rPr>
          <w:rFonts w:ascii="Times New Roman" w:hAnsi="Times New Roman"/>
          <w:bCs/>
          <w:sz w:val="24"/>
          <w:szCs w:val="24"/>
        </w:rPr>
        <w:t>R</w:t>
      </w:r>
      <w:r w:rsidRPr="000E0CA0">
        <w:rPr>
          <w:rFonts w:ascii="Times New Roman" w:hAnsi="Times New Roman"/>
          <w:bCs/>
          <w:sz w:val="24"/>
          <w:szCs w:val="24"/>
        </w:rPr>
        <w:t>esponde</w:t>
      </w:r>
      <w:r w:rsidR="00DA227E" w:rsidRPr="000E0CA0">
        <w:rPr>
          <w:rFonts w:ascii="Times New Roman" w:hAnsi="Times New Roman"/>
          <w:bCs/>
          <w:sz w:val="24"/>
          <w:szCs w:val="24"/>
        </w:rPr>
        <w:t>nt</w:t>
      </w:r>
      <w:r w:rsidRPr="000E0CA0">
        <w:rPr>
          <w:rFonts w:ascii="Times New Roman" w:hAnsi="Times New Roman"/>
          <w:bCs/>
          <w:sz w:val="24"/>
          <w:szCs w:val="24"/>
        </w:rPr>
        <w:t xml:space="preserve"> had anticipated that evidence. </w:t>
      </w:r>
      <w:r w:rsidR="00812EFD" w:rsidRPr="000E0CA0">
        <w:rPr>
          <w:rFonts w:ascii="Times New Roman" w:hAnsi="Times New Roman"/>
          <w:bCs/>
          <w:sz w:val="24"/>
          <w:szCs w:val="24"/>
        </w:rPr>
        <w:t>However,</w:t>
      </w:r>
      <w:r w:rsidR="00DA227E" w:rsidRPr="000E0CA0">
        <w:rPr>
          <w:rFonts w:ascii="Times New Roman" w:hAnsi="Times New Roman"/>
          <w:bCs/>
          <w:sz w:val="24"/>
          <w:szCs w:val="24"/>
        </w:rPr>
        <w:t xml:space="preserve"> the </w:t>
      </w:r>
      <w:r w:rsidRPr="000E0CA0">
        <w:rPr>
          <w:rFonts w:ascii="Times New Roman" w:hAnsi="Times New Roman"/>
          <w:bCs/>
          <w:sz w:val="24"/>
          <w:szCs w:val="24"/>
        </w:rPr>
        <w:t>Lenzerini report post-dated the parties’ original pleadings</w:t>
      </w:r>
      <w:r w:rsidR="00DA227E" w:rsidRPr="000E0CA0">
        <w:rPr>
          <w:rFonts w:ascii="Times New Roman" w:hAnsi="Times New Roman"/>
          <w:bCs/>
          <w:sz w:val="24"/>
          <w:szCs w:val="24"/>
        </w:rPr>
        <w:t xml:space="preserve"> and a</w:t>
      </w:r>
      <w:r w:rsidRPr="000E0CA0">
        <w:rPr>
          <w:rFonts w:ascii="Times New Roman" w:hAnsi="Times New Roman"/>
          <w:bCs/>
          <w:sz w:val="24"/>
          <w:szCs w:val="24"/>
        </w:rPr>
        <w:t>ccordingly, neither the original pleading</w:t>
      </w:r>
      <w:r w:rsidR="005B1A93">
        <w:rPr>
          <w:rFonts w:ascii="Times New Roman" w:hAnsi="Times New Roman"/>
          <w:bCs/>
          <w:sz w:val="24"/>
          <w:szCs w:val="24"/>
        </w:rPr>
        <w:t>s</w:t>
      </w:r>
      <w:r w:rsidRPr="000E0CA0">
        <w:rPr>
          <w:rFonts w:ascii="Times New Roman" w:hAnsi="Times New Roman"/>
          <w:bCs/>
          <w:sz w:val="24"/>
          <w:szCs w:val="24"/>
        </w:rPr>
        <w:t xml:space="preserve"> nor supporting evidence addressed the </w:t>
      </w:r>
      <w:r w:rsidR="00DA227E" w:rsidRPr="000E0CA0">
        <w:rPr>
          <w:rFonts w:ascii="Times New Roman" w:hAnsi="Times New Roman"/>
          <w:bCs/>
          <w:sz w:val="24"/>
          <w:szCs w:val="24"/>
        </w:rPr>
        <w:t xml:space="preserve">implications of the </w:t>
      </w:r>
      <w:r w:rsidRPr="000E0CA0">
        <w:rPr>
          <w:rFonts w:ascii="Times New Roman" w:hAnsi="Times New Roman"/>
          <w:bCs/>
          <w:sz w:val="24"/>
          <w:szCs w:val="24"/>
        </w:rPr>
        <w:t xml:space="preserve">requirement to obtain a </w:t>
      </w:r>
      <w:r w:rsidR="005B1A93">
        <w:rPr>
          <w:rFonts w:ascii="Times New Roman" w:hAnsi="Times New Roman"/>
          <w:bCs/>
          <w:sz w:val="24"/>
          <w:szCs w:val="24"/>
        </w:rPr>
        <w:t xml:space="preserve">licence </w:t>
      </w:r>
      <w:r w:rsidR="00DA227E" w:rsidRPr="000E0CA0">
        <w:rPr>
          <w:rFonts w:ascii="Times New Roman" w:hAnsi="Times New Roman"/>
          <w:bCs/>
          <w:sz w:val="24"/>
          <w:szCs w:val="24"/>
        </w:rPr>
        <w:t xml:space="preserve">being a formality.  The Appellant </w:t>
      </w:r>
      <w:r w:rsidR="005B1A93">
        <w:rPr>
          <w:rFonts w:ascii="Times New Roman" w:hAnsi="Times New Roman"/>
          <w:bCs/>
          <w:sz w:val="24"/>
          <w:szCs w:val="24"/>
        </w:rPr>
        <w:t xml:space="preserve">therefore </w:t>
      </w:r>
      <w:r w:rsidR="00DA227E" w:rsidRPr="000E0CA0">
        <w:rPr>
          <w:rFonts w:ascii="Times New Roman" w:hAnsi="Times New Roman"/>
          <w:bCs/>
          <w:sz w:val="24"/>
          <w:szCs w:val="24"/>
        </w:rPr>
        <w:t xml:space="preserve">sought permission to rely </w:t>
      </w:r>
      <w:r w:rsidR="005B1A93">
        <w:rPr>
          <w:rFonts w:ascii="Times New Roman" w:hAnsi="Times New Roman"/>
          <w:bCs/>
          <w:sz w:val="24"/>
          <w:szCs w:val="24"/>
        </w:rPr>
        <w:t>upon a n</w:t>
      </w:r>
      <w:r w:rsidR="00DA227E" w:rsidRPr="000E0CA0">
        <w:rPr>
          <w:rFonts w:ascii="Times New Roman" w:hAnsi="Times New Roman"/>
          <w:bCs/>
          <w:sz w:val="24"/>
          <w:szCs w:val="24"/>
        </w:rPr>
        <w:t>ew ground: that a purely formal requirement to obtain a certificate was an unjustified restriction on intra-</w:t>
      </w:r>
      <w:r w:rsidR="00AF7455">
        <w:rPr>
          <w:rFonts w:ascii="Times New Roman" w:hAnsi="Times New Roman"/>
          <w:bCs/>
          <w:sz w:val="24"/>
          <w:szCs w:val="24"/>
        </w:rPr>
        <w:t>Union</w:t>
      </w:r>
      <w:r w:rsidR="00DA227E" w:rsidRPr="000E0CA0">
        <w:rPr>
          <w:rFonts w:ascii="Times New Roman" w:hAnsi="Times New Roman"/>
          <w:bCs/>
          <w:sz w:val="24"/>
          <w:szCs w:val="24"/>
        </w:rPr>
        <w:t xml:space="preserve"> trade. The Appellant relied on </w:t>
      </w:r>
      <w:r w:rsidR="005B1A93">
        <w:rPr>
          <w:rFonts w:ascii="Times New Roman" w:hAnsi="Times New Roman"/>
          <w:bCs/>
          <w:sz w:val="24"/>
          <w:szCs w:val="24"/>
        </w:rPr>
        <w:t xml:space="preserve">the </w:t>
      </w:r>
      <w:r w:rsidR="00DA227E" w:rsidRPr="000E0CA0">
        <w:rPr>
          <w:rFonts w:ascii="Times New Roman" w:hAnsi="Times New Roman"/>
          <w:bCs/>
          <w:sz w:val="24"/>
          <w:szCs w:val="24"/>
        </w:rPr>
        <w:t>well known case law</w:t>
      </w:r>
      <w:r w:rsidR="009D2C1C">
        <w:rPr>
          <w:rFonts w:ascii="Times New Roman" w:hAnsi="Times New Roman"/>
          <w:bCs/>
          <w:sz w:val="24"/>
          <w:szCs w:val="24"/>
        </w:rPr>
        <w:t xml:space="preserve"> </w:t>
      </w:r>
      <w:r w:rsidR="005B1A93">
        <w:rPr>
          <w:rFonts w:ascii="Times New Roman" w:hAnsi="Times New Roman"/>
          <w:bCs/>
          <w:sz w:val="24"/>
          <w:szCs w:val="24"/>
        </w:rPr>
        <w:t>of the Court</w:t>
      </w:r>
      <w:r w:rsidR="009D2C1C">
        <w:rPr>
          <w:rFonts w:ascii="Times New Roman" w:hAnsi="Times New Roman"/>
          <w:bCs/>
          <w:sz w:val="24"/>
          <w:szCs w:val="24"/>
        </w:rPr>
        <w:t xml:space="preserve"> </w:t>
      </w:r>
      <w:r w:rsidR="00DA227E" w:rsidRPr="000E0CA0">
        <w:rPr>
          <w:rFonts w:ascii="Times New Roman" w:hAnsi="Times New Roman"/>
          <w:bCs/>
          <w:sz w:val="24"/>
          <w:szCs w:val="24"/>
        </w:rPr>
        <w:t>to the effect that even a purely formal obligation to obtain an export licence would violate Article 3</w:t>
      </w:r>
      <w:r w:rsidR="00E13C54" w:rsidRPr="000E0CA0">
        <w:rPr>
          <w:rFonts w:ascii="Times New Roman" w:hAnsi="Times New Roman"/>
          <w:bCs/>
          <w:sz w:val="24"/>
          <w:szCs w:val="24"/>
        </w:rPr>
        <w:t>5</w:t>
      </w:r>
      <w:r w:rsidR="00DA227E" w:rsidRPr="000E0CA0">
        <w:rPr>
          <w:rFonts w:ascii="Times New Roman" w:hAnsi="Times New Roman"/>
          <w:bCs/>
          <w:sz w:val="24"/>
          <w:szCs w:val="24"/>
        </w:rPr>
        <w:t xml:space="preserve"> TFEU (see e</w:t>
      </w:r>
      <w:r w:rsidR="0007217B">
        <w:rPr>
          <w:rFonts w:ascii="Times New Roman" w:hAnsi="Times New Roman"/>
          <w:bCs/>
          <w:sz w:val="24"/>
          <w:szCs w:val="24"/>
        </w:rPr>
        <w:t>.</w:t>
      </w:r>
      <w:r w:rsidR="00DA227E" w:rsidRPr="000E0CA0">
        <w:rPr>
          <w:rFonts w:ascii="Times New Roman" w:hAnsi="Times New Roman"/>
          <w:bCs/>
          <w:sz w:val="24"/>
          <w:szCs w:val="24"/>
        </w:rPr>
        <w:t>g</w:t>
      </w:r>
      <w:r w:rsidR="0007217B">
        <w:rPr>
          <w:rFonts w:ascii="Times New Roman" w:hAnsi="Times New Roman"/>
          <w:bCs/>
          <w:sz w:val="24"/>
          <w:szCs w:val="24"/>
        </w:rPr>
        <w:t>.</w:t>
      </w:r>
      <w:r w:rsidR="00DA227E" w:rsidRPr="000E0CA0">
        <w:rPr>
          <w:rFonts w:ascii="Times New Roman" w:hAnsi="Times New Roman"/>
          <w:bCs/>
          <w:sz w:val="24"/>
          <w:szCs w:val="24"/>
        </w:rPr>
        <w:t xml:space="preserve"> Case </w:t>
      </w:r>
      <w:r w:rsidR="005B1A93">
        <w:rPr>
          <w:rFonts w:ascii="Times New Roman" w:hAnsi="Times New Roman"/>
          <w:bCs/>
          <w:sz w:val="24"/>
          <w:szCs w:val="24"/>
        </w:rPr>
        <w:t>68/76</w:t>
      </w:r>
      <w:r w:rsidR="00DA227E" w:rsidRPr="000E0CA0">
        <w:rPr>
          <w:rFonts w:ascii="Times New Roman" w:hAnsi="Times New Roman"/>
          <w:bCs/>
          <w:sz w:val="24"/>
          <w:szCs w:val="24"/>
        </w:rPr>
        <w:t xml:space="preserve"> </w:t>
      </w:r>
      <w:r w:rsidR="00DA227E" w:rsidRPr="000E0CA0">
        <w:rPr>
          <w:rFonts w:ascii="Times New Roman" w:hAnsi="Times New Roman"/>
          <w:bCs/>
          <w:i/>
          <w:sz w:val="24"/>
          <w:szCs w:val="24"/>
        </w:rPr>
        <w:t>Commission v France – re export licences for potatoes</w:t>
      </w:r>
      <w:r w:rsidR="00DA227E" w:rsidRPr="000E0CA0">
        <w:rPr>
          <w:rFonts w:ascii="Times New Roman" w:hAnsi="Times New Roman"/>
          <w:bCs/>
          <w:sz w:val="24"/>
          <w:szCs w:val="24"/>
        </w:rPr>
        <w:t xml:space="preserve"> [1977] ECR 5151,</w:t>
      </w:r>
      <w:r w:rsidR="00D034B4" w:rsidRPr="000E0CA0">
        <w:rPr>
          <w:rFonts w:ascii="Times New Roman" w:hAnsi="Times New Roman"/>
          <w:bCs/>
          <w:sz w:val="24"/>
          <w:szCs w:val="24"/>
        </w:rPr>
        <w:t xml:space="preserve"> </w:t>
      </w:r>
      <w:r w:rsidR="00DA227E" w:rsidRPr="000E0CA0">
        <w:rPr>
          <w:rFonts w:ascii="Times New Roman" w:hAnsi="Times New Roman"/>
          <w:bCs/>
          <w:sz w:val="24"/>
          <w:szCs w:val="24"/>
        </w:rPr>
        <w:t xml:space="preserve">at paragraph </w:t>
      </w:r>
      <w:r w:rsidR="00D034B4" w:rsidRPr="000E0CA0">
        <w:rPr>
          <w:rFonts w:ascii="Times New Roman" w:hAnsi="Times New Roman"/>
          <w:bCs/>
          <w:sz w:val="24"/>
          <w:szCs w:val="24"/>
        </w:rPr>
        <w:t>[</w:t>
      </w:r>
      <w:r w:rsidR="00DA227E" w:rsidRPr="000E0CA0">
        <w:rPr>
          <w:rFonts w:ascii="Times New Roman" w:hAnsi="Times New Roman"/>
          <w:bCs/>
          <w:sz w:val="24"/>
          <w:szCs w:val="24"/>
        </w:rPr>
        <w:t>14</w:t>
      </w:r>
      <w:r w:rsidR="00D034B4" w:rsidRPr="000E0CA0">
        <w:rPr>
          <w:rFonts w:ascii="Times New Roman" w:hAnsi="Times New Roman"/>
          <w:bCs/>
          <w:sz w:val="24"/>
          <w:szCs w:val="24"/>
        </w:rPr>
        <w:t>]</w:t>
      </w:r>
      <w:r w:rsidR="00DA227E" w:rsidRPr="000E0CA0">
        <w:rPr>
          <w:rFonts w:ascii="Times New Roman" w:hAnsi="Times New Roman"/>
          <w:bCs/>
          <w:sz w:val="24"/>
          <w:szCs w:val="24"/>
        </w:rPr>
        <w:t>). The Judge granted permission to raise the ground on the condition that if she concluded that evidence was needed to justify the restriction the First Interested Party (the Italian competent authority) would be afforded a reasonabl</w:t>
      </w:r>
      <w:r w:rsidR="000F64E8" w:rsidRPr="000E0CA0">
        <w:rPr>
          <w:rFonts w:ascii="Times New Roman" w:hAnsi="Times New Roman"/>
          <w:bCs/>
          <w:sz w:val="24"/>
          <w:szCs w:val="24"/>
        </w:rPr>
        <w:t>e</w:t>
      </w:r>
      <w:r w:rsidR="00DA227E" w:rsidRPr="000E0CA0">
        <w:rPr>
          <w:rFonts w:ascii="Times New Roman" w:hAnsi="Times New Roman"/>
          <w:bCs/>
          <w:sz w:val="24"/>
          <w:szCs w:val="24"/>
        </w:rPr>
        <w:t xml:space="preserve"> opportunity to adduce it. </w:t>
      </w:r>
    </w:p>
    <w:p w14:paraId="7A0D4028" w14:textId="77777777" w:rsidR="00952F13" w:rsidRPr="000E0CA0" w:rsidRDefault="00952F13" w:rsidP="002D37BA">
      <w:pPr>
        <w:pStyle w:val="ListParagraph"/>
        <w:spacing w:after="0" w:line="240" w:lineRule="auto"/>
        <w:jc w:val="both"/>
        <w:rPr>
          <w:rFonts w:ascii="Times New Roman" w:hAnsi="Times New Roman"/>
          <w:bCs/>
          <w:sz w:val="24"/>
          <w:szCs w:val="24"/>
        </w:rPr>
      </w:pPr>
    </w:p>
    <w:p w14:paraId="696324F5" w14:textId="36E0D186" w:rsidR="00D03828" w:rsidRPr="000E0CA0" w:rsidRDefault="00DA227E" w:rsidP="002D37BA">
      <w:pPr>
        <w:pStyle w:val="ListParagraph"/>
        <w:numPr>
          <w:ilvl w:val="0"/>
          <w:numId w:val="13"/>
        </w:numPr>
        <w:spacing w:after="0" w:line="240" w:lineRule="auto"/>
        <w:ind w:left="567" w:hanging="567"/>
        <w:jc w:val="both"/>
        <w:rPr>
          <w:rFonts w:ascii="Times New Roman" w:hAnsi="Times New Roman"/>
          <w:bCs/>
          <w:sz w:val="24"/>
          <w:szCs w:val="24"/>
        </w:rPr>
      </w:pPr>
      <w:r w:rsidRPr="000E0CA0">
        <w:rPr>
          <w:rFonts w:ascii="Times New Roman" w:hAnsi="Times New Roman"/>
          <w:bCs/>
          <w:sz w:val="24"/>
          <w:szCs w:val="24"/>
        </w:rPr>
        <w:t xml:space="preserve">In the event the Judge concluded that she did not need additional evidence.  She found: (i) </w:t>
      </w:r>
      <w:r w:rsidR="00686361">
        <w:rPr>
          <w:rFonts w:ascii="Times New Roman" w:hAnsi="Times New Roman"/>
          <w:bCs/>
          <w:sz w:val="24"/>
          <w:szCs w:val="24"/>
        </w:rPr>
        <w:t>t</w:t>
      </w:r>
      <w:r w:rsidRPr="000E0CA0">
        <w:rPr>
          <w:rFonts w:ascii="Times New Roman" w:hAnsi="Times New Roman"/>
          <w:bCs/>
          <w:sz w:val="24"/>
          <w:szCs w:val="24"/>
        </w:rPr>
        <w:t>hat there was a 15</w:t>
      </w:r>
      <w:r w:rsidR="009D2C1C">
        <w:rPr>
          <w:rFonts w:ascii="Times New Roman" w:hAnsi="Times New Roman"/>
          <w:bCs/>
          <w:sz w:val="24"/>
          <w:szCs w:val="24"/>
        </w:rPr>
        <w:t>-</w:t>
      </w:r>
      <w:r w:rsidRPr="000E0CA0">
        <w:rPr>
          <w:rFonts w:ascii="Times New Roman" w:hAnsi="Times New Roman"/>
          <w:bCs/>
          <w:sz w:val="24"/>
          <w:szCs w:val="24"/>
        </w:rPr>
        <w:t xml:space="preserve">day </w:t>
      </w:r>
      <w:r w:rsidR="000F64E8" w:rsidRPr="000E0CA0">
        <w:rPr>
          <w:rFonts w:ascii="Times New Roman" w:hAnsi="Times New Roman"/>
          <w:bCs/>
          <w:sz w:val="24"/>
          <w:szCs w:val="24"/>
        </w:rPr>
        <w:t xml:space="preserve">waiting </w:t>
      </w:r>
      <w:r w:rsidRPr="000E0CA0">
        <w:rPr>
          <w:rFonts w:ascii="Times New Roman" w:hAnsi="Times New Roman"/>
          <w:bCs/>
          <w:sz w:val="24"/>
          <w:szCs w:val="24"/>
        </w:rPr>
        <w:t>period for obtaining the certificate that the Italian authorities were obliged to grant; (ii)</w:t>
      </w:r>
      <w:r w:rsidR="000F64E8" w:rsidRPr="000E0CA0">
        <w:rPr>
          <w:rFonts w:ascii="Times New Roman" w:hAnsi="Times New Roman"/>
          <w:bCs/>
          <w:sz w:val="24"/>
          <w:szCs w:val="24"/>
        </w:rPr>
        <w:t xml:space="preserve"> that </w:t>
      </w:r>
      <w:r w:rsidRPr="000E0CA0">
        <w:rPr>
          <w:rFonts w:ascii="Times New Roman" w:hAnsi="Times New Roman"/>
          <w:bCs/>
          <w:sz w:val="24"/>
          <w:szCs w:val="24"/>
        </w:rPr>
        <w:t xml:space="preserve">the existence of a </w:t>
      </w:r>
      <w:r w:rsidR="00942FC8" w:rsidRPr="000E0CA0">
        <w:rPr>
          <w:rFonts w:ascii="Times New Roman" w:hAnsi="Times New Roman"/>
          <w:bCs/>
          <w:sz w:val="24"/>
          <w:szCs w:val="24"/>
        </w:rPr>
        <w:t xml:space="preserve">duty to give notice under Italian law </w:t>
      </w:r>
      <w:r w:rsidR="000F64E8" w:rsidRPr="000E0CA0">
        <w:rPr>
          <w:rFonts w:ascii="Times New Roman" w:hAnsi="Times New Roman"/>
          <w:bCs/>
          <w:sz w:val="24"/>
          <w:szCs w:val="24"/>
        </w:rPr>
        <w:t>served to place t</w:t>
      </w:r>
      <w:r w:rsidR="00942FC8" w:rsidRPr="000E0CA0">
        <w:rPr>
          <w:rFonts w:ascii="Times New Roman" w:hAnsi="Times New Roman"/>
          <w:bCs/>
          <w:sz w:val="24"/>
          <w:szCs w:val="24"/>
        </w:rPr>
        <w:t>he authorities on notice that removal from Italy of a cultural item was contemplated, and if needs be to take suitable protective measures (such as</w:t>
      </w:r>
      <w:r w:rsidRPr="000E0CA0">
        <w:rPr>
          <w:rFonts w:ascii="Times New Roman" w:hAnsi="Times New Roman"/>
          <w:bCs/>
          <w:sz w:val="24"/>
          <w:szCs w:val="24"/>
        </w:rPr>
        <w:t xml:space="preserve"> the seeking of interim relief</w:t>
      </w:r>
      <w:r w:rsidR="00942FC8" w:rsidRPr="000E0CA0">
        <w:rPr>
          <w:rFonts w:ascii="Times New Roman" w:hAnsi="Times New Roman"/>
          <w:bCs/>
          <w:sz w:val="24"/>
          <w:szCs w:val="24"/>
        </w:rPr>
        <w:t>)</w:t>
      </w:r>
      <w:r w:rsidR="007E2ED4" w:rsidRPr="000E0CA0">
        <w:rPr>
          <w:rFonts w:ascii="Times New Roman" w:hAnsi="Times New Roman"/>
          <w:bCs/>
          <w:sz w:val="24"/>
          <w:szCs w:val="24"/>
        </w:rPr>
        <w:t xml:space="preserve">; (iii) that this </w:t>
      </w:r>
      <w:r w:rsidRPr="000E0CA0">
        <w:rPr>
          <w:rFonts w:ascii="Times New Roman" w:hAnsi="Times New Roman"/>
          <w:bCs/>
          <w:sz w:val="24"/>
          <w:szCs w:val="24"/>
        </w:rPr>
        <w:t>was a matter of intuitive common sense, not requiring specific evidence to justify it</w:t>
      </w:r>
      <w:r w:rsidR="00EC7611" w:rsidRPr="000E0CA0">
        <w:rPr>
          <w:rFonts w:ascii="Times New Roman" w:hAnsi="Times New Roman"/>
          <w:bCs/>
          <w:sz w:val="24"/>
          <w:szCs w:val="24"/>
        </w:rPr>
        <w:t>;</w:t>
      </w:r>
      <w:r w:rsidR="009D2C1C">
        <w:rPr>
          <w:rFonts w:ascii="Times New Roman" w:hAnsi="Times New Roman"/>
          <w:bCs/>
          <w:sz w:val="24"/>
          <w:szCs w:val="24"/>
        </w:rPr>
        <w:t xml:space="preserve"> </w:t>
      </w:r>
      <w:r w:rsidR="007E2ED4" w:rsidRPr="000E0CA0">
        <w:rPr>
          <w:rFonts w:ascii="Times New Roman" w:hAnsi="Times New Roman"/>
          <w:bCs/>
          <w:sz w:val="24"/>
          <w:szCs w:val="24"/>
        </w:rPr>
        <w:t>and (iv)</w:t>
      </w:r>
      <w:r w:rsidR="00E13C54" w:rsidRPr="000E0CA0">
        <w:rPr>
          <w:rFonts w:ascii="Times New Roman" w:hAnsi="Times New Roman"/>
          <w:bCs/>
          <w:sz w:val="24"/>
          <w:szCs w:val="24"/>
        </w:rPr>
        <w:t>,</w:t>
      </w:r>
      <w:r w:rsidR="000F64E8" w:rsidRPr="000E0CA0">
        <w:rPr>
          <w:rFonts w:ascii="Times New Roman" w:hAnsi="Times New Roman"/>
          <w:bCs/>
          <w:sz w:val="24"/>
          <w:szCs w:val="24"/>
        </w:rPr>
        <w:t xml:space="preserve"> that </w:t>
      </w:r>
      <w:r w:rsidRPr="000E0CA0">
        <w:rPr>
          <w:rFonts w:ascii="Times New Roman" w:hAnsi="Times New Roman"/>
          <w:bCs/>
          <w:sz w:val="24"/>
          <w:szCs w:val="24"/>
        </w:rPr>
        <w:t xml:space="preserve"> this conclusion pertained even if the grant of a licence </w:t>
      </w:r>
      <w:r w:rsidR="00EC7611" w:rsidRPr="000E0CA0">
        <w:rPr>
          <w:rFonts w:ascii="Times New Roman" w:hAnsi="Times New Roman"/>
          <w:bCs/>
          <w:sz w:val="24"/>
          <w:szCs w:val="24"/>
        </w:rPr>
        <w:t xml:space="preserve">was </w:t>
      </w:r>
      <w:r w:rsidRPr="000E0CA0">
        <w:rPr>
          <w:rFonts w:ascii="Times New Roman" w:hAnsi="Times New Roman"/>
          <w:bCs/>
          <w:sz w:val="24"/>
          <w:szCs w:val="24"/>
        </w:rPr>
        <w:t>routine or inevitable.</w:t>
      </w:r>
      <w:r w:rsidR="00EC7611" w:rsidRPr="000E0CA0">
        <w:rPr>
          <w:rFonts w:ascii="Times New Roman" w:hAnsi="Times New Roman"/>
          <w:bCs/>
          <w:sz w:val="24"/>
          <w:szCs w:val="24"/>
        </w:rPr>
        <w:t xml:space="preserve">  </w:t>
      </w:r>
    </w:p>
    <w:p w14:paraId="1B8DBEEC" w14:textId="77777777" w:rsidR="00EC7611" w:rsidRPr="000E0CA0" w:rsidRDefault="00EC7611" w:rsidP="002D37BA">
      <w:pPr>
        <w:pStyle w:val="ListParagraph"/>
        <w:spacing w:line="240" w:lineRule="auto"/>
        <w:rPr>
          <w:rFonts w:ascii="Times New Roman" w:hAnsi="Times New Roman"/>
          <w:bCs/>
          <w:sz w:val="24"/>
          <w:szCs w:val="24"/>
        </w:rPr>
      </w:pPr>
    </w:p>
    <w:p w14:paraId="27E21723" w14:textId="77777777" w:rsidR="00EC7611" w:rsidRPr="000E0CA0" w:rsidRDefault="007F3B2B" w:rsidP="002D37BA">
      <w:pPr>
        <w:pStyle w:val="ListParagraph"/>
        <w:numPr>
          <w:ilvl w:val="0"/>
          <w:numId w:val="13"/>
        </w:numPr>
        <w:spacing w:after="0" w:line="240" w:lineRule="auto"/>
        <w:ind w:left="567" w:hanging="567"/>
        <w:jc w:val="both"/>
        <w:rPr>
          <w:rFonts w:ascii="Times New Roman" w:hAnsi="Times New Roman"/>
          <w:bCs/>
          <w:sz w:val="24"/>
          <w:szCs w:val="24"/>
        </w:rPr>
      </w:pPr>
      <w:r w:rsidRPr="000E0CA0">
        <w:rPr>
          <w:rFonts w:ascii="Times New Roman" w:hAnsi="Times New Roman"/>
          <w:bCs/>
          <w:sz w:val="24"/>
          <w:szCs w:val="24"/>
        </w:rPr>
        <w:t xml:space="preserve">I can summarise the essential components of the </w:t>
      </w:r>
      <w:r w:rsidR="007E2ED4" w:rsidRPr="000E0CA0">
        <w:rPr>
          <w:rFonts w:ascii="Times New Roman" w:hAnsi="Times New Roman"/>
          <w:bCs/>
          <w:sz w:val="24"/>
          <w:szCs w:val="24"/>
        </w:rPr>
        <w:t xml:space="preserve">Appellant’s </w:t>
      </w:r>
      <w:r w:rsidRPr="000E0CA0">
        <w:rPr>
          <w:rFonts w:ascii="Times New Roman" w:hAnsi="Times New Roman"/>
          <w:bCs/>
          <w:sz w:val="24"/>
          <w:szCs w:val="24"/>
        </w:rPr>
        <w:t>argument in the following manner:</w:t>
      </w:r>
      <w:r w:rsidR="00EC7611" w:rsidRPr="000E0CA0">
        <w:rPr>
          <w:rFonts w:ascii="Times New Roman" w:hAnsi="Times New Roman"/>
          <w:bCs/>
          <w:sz w:val="24"/>
          <w:szCs w:val="24"/>
        </w:rPr>
        <w:t xml:space="preserve">  </w:t>
      </w:r>
    </w:p>
    <w:p w14:paraId="279E646C" w14:textId="77777777" w:rsidR="00EC7611" w:rsidRPr="000E0CA0" w:rsidRDefault="00EC7611" w:rsidP="002D37BA">
      <w:pPr>
        <w:pStyle w:val="ListParagraph"/>
        <w:spacing w:line="240" w:lineRule="auto"/>
        <w:rPr>
          <w:rFonts w:ascii="Times New Roman" w:hAnsi="Times New Roman"/>
          <w:bCs/>
          <w:sz w:val="24"/>
          <w:szCs w:val="24"/>
        </w:rPr>
      </w:pPr>
    </w:p>
    <w:p w14:paraId="027F3A63" w14:textId="77777777" w:rsidR="007F3B2B" w:rsidRPr="000E0CA0" w:rsidRDefault="007F3B2B" w:rsidP="002D37BA">
      <w:pPr>
        <w:pStyle w:val="ParaLevel3"/>
        <w:tabs>
          <w:tab w:val="clear" w:pos="3261"/>
          <w:tab w:val="num" w:pos="1843"/>
        </w:tabs>
        <w:ind w:left="1843" w:hanging="425"/>
        <w:rPr>
          <w:bCs/>
          <w:szCs w:val="24"/>
        </w:rPr>
      </w:pPr>
      <w:r w:rsidRPr="000E0CA0">
        <w:rPr>
          <w:bCs/>
          <w:szCs w:val="24"/>
        </w:rPr>
        <w:t xml:space="preserve">It is common ground that </w:t>
      </w:r>
      <w:r w:rsidRPr="000E0CA0">
        <w:rPr>
          <w:bCs/>
          <w:i/>
          <w:iCs/>
          <w:szCs w:val="24"/>
        </w:rPr>
        <w:t>any</w:t>
      </w:r>
      <w:r w:rsidRPr="000E0CA0">
        <w:rPr>
          <w:bCs/>
          <w:szCs w:val="24"/>
        </w:rPr>
        <w:t xml:space="preserve"> </w:t>
      </w:r>
      <w:r w:rsidR="009D2C1C">
        <w:rPr>
          <w:bCs/>
          <w:szCs w:val="24"/>
        </w:rPr>
        <w:t xml:space="preserve">restrictive </w:t>
      </w:r>
      <w:r w:rsidRPr="000E0CA0">
        <w:rPr>
          <w:bCs/>
          <w:szCs w:val="24"/>
        </w:rPr>
        <w:t xml:space="preserve">hindrance to export engages </w:t>
      </w:r>
      <w:r w:rsidR="000F64E8" w:rsidRPr="000E0CA0">
        <w:rPr>
          <w:bCs/>
          <w:szCs w:val="24"/>
        </w:rPr>
        <w:t>A</w:t>
      </w:r>
      <w:r w:rsidRPr="000E0CA0">
        <w:rPr>
          <w:bCs/>
          <w:szCs w:val="24"/>
        </w:rPr>
        <w:t xml:space="preserve">rticle 35 TFEU and the burden of proof </w:t>
      </w:r>
      <w:r w:rsidR="000F64E8" w:rsidRPr="000E0CA0">
        <w:rPr>
          <w:bCs/>
          <w:szCs w:val="24"/>
        </w:rPr>
        <w:t xml:space="preserve">then </w:t>
      </w:r>
      <w:r w:rsidRPr="000E0CA0">
        <w:rPr>
          <w:bCs/>
          <w:szCs w:val="24"/>
        </w:rPr>
        <w:t xml:space="preserve">falls to the Member </w:t>
      </w:r>
      <w:r w:rsidR="000F64E8" w:rsidRPr="000E0CA0">
        <w:rPr>
          <w:bCs/>
          <w:szCs w:val="24"/>
        </w:rPr>
        <w:t>S</w:t>
      </w:r>
      <w:r w:rsidRPr="000E0CA0">
        <w:rPr>
          <w:bCs/>
          <w:szCs w:val="24"/>
        </w:rPr>
        <w:t>tate in question to justify that hindrance</w:t>
      </w:r>
      <w:r w:rsidR="007E2ED4" w:rsidRPr="000E0CA0">
        <w:rPr>
          <w:bCs/>
          <w:szCs w:val="24"/>
        </w:rPr>
        <w:t xml:space="preserve"> under Article 36 TFEU</w:t>
      </w:r>
      <w:r w:rsidRPr="000E0CA0">
        <w:rPr>
          <w:bCs/>
          <w:szCs w:val="24"/>
        </w:rPr>
        <w:t xml:space="preserve">. </w:t>
      </w:r>
    </w:p>
    <w:p w14:paraId="65EF8F73" w14:textId="77777777" w:rsidR="007F3B2B" w:rsidRPr="000E0CA0" w:rsidRDefault="007F3B2B" w:rsidP="002D37BA">
      <w:pPr>
        <w:pStyle w:val="ParaLevel3"/>
        <w:tabs>
          <w:tab w:val="clear" w:pos="3261"/>
          <w:tab w:val="num" w:pos="1843"/>
        </w:tabs>
        <w:ind w:left="1843" w:hanging="425"/>
        <w:rPr>
          <w:bCs/>
          <w:szCs w:val="24"/>
        </w:rPr>
      </w:pPr>
      <w:r w:rsidRPr="000E0CA0">
        <w:rPr>
          <w:bCs/>
          <w:szCs w:val="24"/>
        </w:rPr>
        <w:t>Member States must adduce strong evidence by way of justification.</w:t>
      </w:r>
    </w:p>
    <w:p w14:paraId="325F246B" w14:textId="1117C04A" w:rsidR="007F3B2B" w:rsidRPr="000E0CA0" w:rsidRDefault="007E2ED4" w:rsidP="002D37BA">
      <w:pPr>
        <w:pStyle w:val="ParaLevel3"/>
        <w:tabs>
          <w:tab w:val="clear" w:pos="3261"/>
          <w:tab w:val="num" w:pos="1843"/>
        </w:tabs>
        <w:ind w:left="1843" w:hanging="425"/>
        <w:rPr>
          <w:bCs/>
          <w:szCs w:val="24"/>
        </w:rPr>
      </w:pPr>
      <w:r w:rsidRPr="000E0CA0">
        <w:rPr>
          <w:bCs/>
          <w:szCs w:val="24"/>
        </w:rPr>
        <w:t>The obligation to adduce evidence includes clarity about the legal basis of the restriction in issue. In</w:t>
      </w:r>
      <w:r w:rsidR="007F3B2B" w:rsidRPr="000E0CA0">
        <w:rPr>
          <w:bCs/>
          <w:szCs w:val="24"/>
        </w:rPr>
        <w:t xml:space="preserve"> this case the Member State has not identified the law in issue.  This is an abrogation of </w:t>
      </w:r>
      <w:r w:rsidRPr="000E0CA0">
        <w:rPr>
          <w:bCs/>
          <w:szCs w:val="24"/>
        </w:rPr>
        <w:t xml:space="preserve">its </w:t>
      </w:r>
      <w:r w:rsidR="007F3B2B" w:rsidRPr="000E0CA0">
        <w:rPr>
          <w:bCs/>
          <w:szCs w:val="24"/>
        </w:rPr>
        <w:t xml:space="preserve">burden of proof under Article 36 TFEU </w:t>
      </w:r>
      <w:r w:rsidRPr="000E0CA0">
        <w:rPr>
          <w:bCs/>
          <w:szCs w:val="24"/>
        </w:rPr>
        <w:t xml:space="preserve">and </w:t>
      </w:r>
      <w:r w:rsidR="007F3B2B" w:rsidRPr="000E0CA0">
        <w:rPr>
          <w:bCs/>
          <w:szCs w:val="24"/>
        </w:rPr>
        <w:t xml:space="preserve">also a breach of Article 52 of the </w:t>
      </w:r>
      <w:r w:rsidR="00F36708" w:rsidRPr="000E0CA0">
        <w:rPr>
          <w:bCs/>
          <w:szCs w:val="24"/>
        </w:rPr>
        <w:t xml:space="preserve">Charter </w:t>
      </w:r>
      <w:r w:rsidR="00F36708">
        <w:rPr>
          <w:bCs/>
          <w:szCs w:val="24"/>
        </w:rPr>
        <w:t xml:space="preserve">of </w:t>
      </w:r>
      <w:r w:rsidR="000F64E8" w:rsidRPr="000E0CA0">
        <w:rPr>
          <w:bCs/>
          <w:szCs w:val="24"/>
        </w:rPr>
        <w:t>Fundamental</w:t>
      </w:r>
      <w:r w:rsidR="00F36708">
        <w:rPr>
          <w:bCs/>
          <w:szCs w:val="24"/>
        </w:rPr>
        <w:t xml:space="preserve"> Rights</w:t>
      </w:r>
      <w:r w:rsidR="007F3B2B" w:rsidRPr="000E0CA0">
        <w:rPr>
          <w:bCs/>
          <w:szCs w:val="24"/>
        </w:rPr>
        <w:t xml:space="preserve">. </w:t>
      </w:r>
    </w:p>
    <w:p w14:paraId="0704EE19" w14:textId="56BEF6B3" w:rsidR="00EC7611" w:rsidRPr="000E0CA0" w:rsidRDefault="005D6D86" w:rsidP="002D37BA">
      <w:pPr>
        <w:pStyle w:val="ParaLevel3"/>
        <w:tabs>
          <w:tab w:val="clear" w:pos="3261"/>
          <w:tab w:val="num" w:pos="1843"/>
        </w:tabs>
        <w:ind w:left="1843" w:hanging="425"/>
        <w:rPr>
          <w:szCs w:val="24"/>
        </w:rPr>
      </w:pPr>
      <w:r w:rsidRPr="000E0CA0">
        <w:rPr>
          <w:szCs w:val="24"/>
        </w:rPr>
        <w:lastRenderedPageBreak/>
        <w:t>Part of the evidential burden on the Member States seeking to show that a restriction is proportionate is to identify</w:t>
      </w:r>
      <w:r w:rsidR="005E4B36">
        <w:rPr>
          <w:szCs w:val="24"/>
        </w:rPr>
        <w:t xml:space="preserve"> and justify</w:t>
      </w:r>
      <w:r w:rsidRPr="000E0CA0">
        <w:rPr>
          <w:szCs w:val="24"/>
        </w:rPr>
        <w:t xml:space="preserve"> the </w:t>
      </w:r>
      <w:r w:rsidRPr="009D2C1C">
        <w:rPr>
          <w:szCs w:val="24"/>
          <w:u w:val="single"/>
        </w:rPr>
        <w:t>purpose</w:t>
      </w:r>
      <w:r w:rsidRPr="000E0CA0">
        <w:rPr>
          <w:szCs w:val="24"/>
        </w:rPr>
        <w:t xml:space="preserve"> behind the restriction. </w:t>
      </w:r>
      <w:r w:rsidR="000F64E8" w:rsidRPr="000E0CA0">
        <w:rPr>
          <w:szCs w:val="24"/>
        </w:rPr>
        <w:t>A</w:t>
      </w:r>
      <w:r w:rsidR="007F3B2B" w:rsidRPr="000E0CA0">
        <w:rPr>
          <w:szCs w:val="24"/>
        </w:rPr>
        <w:t>bsent compelling evidence it was not open to</w:t>
      </w:r>
      <w:r w:rsidR="00EC7611" w:rsidRPr="000E0CA0">
        <w:rPr>
          <w:szCs w:val="24"/>
        </w:rPr>
        <w:t xml:space="preserve"> </w:t>
      </w:r>
      <w:r w:rsidR="000F64E8" w:rsidRPr="000E0CA0">
        <w:rPr>
          <w:szCs w:val="24"/>
        </w:rPr>
        <w:t xml:space="preserve">the </w:t>
      </w:r>
      <w:r w:rsidR="00E13C54" w:rsidRPr="000E0CA0">
        <w:rPr>
          <w:szCs w:val="24"/>
        </w:rPr>
        <w:t>J</w:t>
      </w:r>
      <w:r w:rsidR="000F64E8" w:rsidRPr="000E0CA0">
        <w:rPr>
          <w:szCs w:val="24"/>
        </w:rPr>
        <w:t xml:space="preserve">udge to </w:t>
      </w:r>
      <w:r w:rsidR="00EC7611" w:rsidRPr="000E0CA0">
        <w:rPr>
          <w:szCs w:val="24"/>
        </w:rPr>
        <w:t xml:space="preserve">infer that a purpose of the Italian legislation was to secure </w:t>
      </w:r>
      <w:r w:rsidR="00EC7611" w:rsidRPr="000E0CA0">
        <w:rPr>
          <w:szCs w:val="24"/>
          <w:u w:val="single"/>
        </w:rPr>
        <w:t>identification</w:t>
      </w:r>
      <w:r w:rsidR="00EC7611" w:rsidRPr="000E0CA0">
        <w:rPr>
          <w:szCs w:val="24"/>
        </w:rPr>
        <w:t xml:space="preserve"> of national treasures </w:t>
      </w:r>
      <w:r w:rsidRPr="000E0CA0">
        <w:rPr>
          <w:szCs w:val="24"/>
        </w:rPr>
        <w:t>and/</w:t>
      </w:r>
      <w:r w:rsidR="00EC7611" w:rsidRPr="000E0CA0">
        <w:rPr>
          <w:szCs w:val="24"/>
        </w:rPr>
        <w:t xml:space="preserve">or to </w:t>
      </w:r>
      <w:r w:rsidR="00EC7611" w:rsidRPr="000E0CA0">
        <w:rPr>
          <w:szCs w:val="24"/>
          <w:u w:val="single"/>
        </w:rPr>
        <w:t>secure interim relief</w:t>
      </w:r>
      <w:r w:rsidR="00EC7611" w:rsidRPr="000E0CA0">
        <w:rPr>
          <w:szCs w:val="24"/>
        </w:rPr>
        <w:t xml:space="preserve"> prior to export</w:t>
      </w:r>
      <w:r w:rsidRPr="000E0CA0">
        <w:rPr>
          <w:szCs w:val="24"/>
        </w:rPr>
        <w:t xml:space="preserve">. Any </w:t>
      </w:r>
      <w:r w:rsidR="00EC7611" w:rsidRPr="000E0CA0">
        <w:rPr>
          <w:szCs w:val="24"/>
        </w:rPr>
        <w:t xml:space="preserve">conclusion about purpose </w:t>
      </w:r>
      <w:r w:rsidR="000F64E8" w:rsidRPr="000E0CA0">
        <w:rPr>
          <w:szCs w:val="24"/>
        </w:rPr>
        <w:t>was</w:t>
      </w:r>
      <w:r w:rsidR="00EC7611" w:rsidRPr="000E0CA0">
        <w:rPr>
          <w:szCs w:val="24"/>
        </w:rPr>
        <w:t xml:space="preserve"> a question of fact which require</w:t>
      </w:r>
      <w:r w:rsidR="000F64E8" w:rsidRPr="000E0CA0">
        <w:rPr>
          <w:szCs w:val="24"/>
        </w:rPr>
        <w:t>d</w:t>
      </w:r>
      <w:r w:rsidR="00EC7611" w:rsidRPr="000E0CA0">
        <w:rPr>
          <w:szCs w:val="24"/>
        </w:rPr>
        <w:t xml:space="preserve"> expert evidence</w:t>
      </w:r>
      <w:r w:rsidRPr="000E0CA0">
        <w:rPr>
          <w:szCs w:val="24"/>
        </w:rPr>
        <w:t>,</w:t>
      </w:r>
      <w:r w:rsidR="00EC7611" w:rsidRPr="000E0CA0">
        <w:rPr>
          <w:szCs w:val="24"/>
        </w:rPr>
        <w:t xml:space="preserve"> and there was none.  The Appellant </w:t>
      </w:r>
      <w:r w:rsidRPr="000E0CA0">
        <w:rPr>
          <w:szCs w:val="24"/>
        </w:rPr>
        <w:t xml:space="preserve">though </w:t>
      </w:r>
      <w:r w:rsidR="00EC7611" w:rsidRPr="000E0CA0">
        <w:rPr>
          <w:szCs w:val="24"/>
        </w:rPr>
        <w:t xml:space="preserve">accepts that the </w:t>
      </w:r>
      <w:r w:rsidRPr="000E0CA0">
        <w:rPr>
          <w:szCs w:val="24"/>
        </w:rPr>
        <w:t xml:space="preserve">joint </w:t>
      </w:r>
      <w:r w:rsidR="00EC7611" w:rsidRPr="000E0CA0">
        <w:rPr>
          <w:szCs w:val="24"/>
        </w:rPr>
        <w:t>expert (Professor Lenzerini) had suggested that the “</w:t>
      </w:r>
      <w:r w:rsidR="00EC7611" w:rsidRPr="000E0CA0">
        <w:rPr>
          <w:i/>
          <w:iCs/>
          <w:szCs w:val="24"/>
        </w:rPr>
        <w:t>motivations</w:t>
      </w:r>
      <w:r w:rsidR="00EC7611" w:rsidRPr="000E0CA0">
        <w:rPr>
          <w:szCs w:val="24"/>
        </w:rPr>
        <w:t xml:space="preserve">” of the Italian competent authority in taking a year to appeal the order of the Lazio Administrative Court may have been </w:t>
      </w:r>
      <w:r w:rsidR="000F64E8" w:rsidRPr="000E0CA0">
        <w:rPr>
          <w:szCs w:val="24"/>
        </w:rPr>
        <w:t xml:space="preserve">an ungrounded assumption </w:t>
      </w:r>
      <w:r w:rsidR="00EC7611" w:rsidRPr="000E0CA0">
        <w:rPr>
          <w:szCs w:val="24"/>
        </w:rPr>
        <w:t>that the Appellant would request fresh authorisation before exporting the Painting (</w:t>
      </w:r>
      <w:r w:rsidR="00952F13">
        <w:rPr>
          <w:szCs w:val="24"/>
        </w:rPr>
        <w:t>s</w:t>
      </w:r>
      <w:r w:rsidR="00EC7611" w:rsidRPr="000E0CA0">
        <w:rPr>
          <w:szCs w:val="24"/>
        </w:rPr>
        <w:t xml:space="preserve">ee Judgment paragraph [89]). But such speculation fell short of expert evidence on purpose.  </w:t>
      </w:r>
    </w:p>
    <w:p w14:paraId="632EE4A9" w14:textId="5437436B" w:rsidR="00EC7611" w:rsidRPr="000E0CA0" w:rsidRDefault="000F64E8" w:rsidP="002D37BA">
      <w:pPr>
        <w:pStyle w:val="ParaLevel3"/>
        <w:tabs>
          <w:tab w:val="clear" w:pos="3261"/>
          <w:tab w:val="num" w:pos="1843"/>
        </w:tabs>
        <w:ind w:left="1843" w:hanging="425"/>
        <w:rPr>
          <w:szCs w:val="24"/>
        </w:rPr>
      </w:pPr>
      <w:r w:rsidRPr="000E0CA0">
        <w:rPr>
          <w:szCs w:val="24"/>
        </w:rPr>
        <w:t xml:space="preserve">The </w:t>
      </w:r>
      <w:r w:rsidR="007F3B2B" w:rsidRPr="000E0CA0">
        <w:rPr>
          <w:szCs w:val="24"/>
        </w:rPr>
        <w:t xml:space="preserve">facts of the present case are unusual such that, even if the legislative regime was </w:t>
      </w:r>
      <w:r w:rsidRPr="000E0CA0">
        <w:rPr>
          <w:szCs w:val="24"/>
        </w:rPr>
        <w:t xml:space="preserve">generally </w:t>
      </w:r>
      <w:r w:rsidR="007F3B2B" w:rsidRPr="000E0CA0">
        <w:rPr>
          <w:szCs w:val="24"/>
        </w:rPr>
        <w:t xml:space="preserve">lawful, its </w:t>
      </w:r>
      <w:r w:rsidR="005D6D86" w:rsidRPr="000E0CA0">
        <w:rPr>
          <w:szCs w:val="24"/>
        </w:rPr>
        <w:t xml:space="preserve">particular </w:t>
      </w:r>
      <w:r w:rsidR="007F3B2B" w:rsidRPr="000E0CA0">
        <w:rPr>
          <w:szCs w:val="24"/>
        </w:rPr>
        <w:t xml:space="preserve">application to the facts of this case were not. </w:t>
      </w:r>
      <w:r w:rsidR="00EC7611" w:rsidRPr="000E0CA0">
        <w:rPr>
          <w:szCs w:val="24"/>
        </w:rPr>
        <w:t xml:space="preserve">The case was unusual in that: (i) a fresh certificate was required only because, by the time the Lazio </w:t>
      </w:r>
      <w:r w:rsidR="007F3B2B" w:rsidRPr="000E0CA0">
        <w:rPr>
          <w:szCs w:val="24"/>
        </w:rPr>
        <w:t>A</w:t>
      </w:r>
      <w:r w:rsidR="00EC7611" w:rsidRPr="000E0CA0">
        <w:rPr>
          <w:szCs w:val="24"/>
        </w:rPr>
        <w:t>dministrative Court had annulled the second decree</w:t>
      </w:r>
      <w:r w:rsidR="007F3B2B" w:rsidRPr="000E0CA0">
        <w:rPr>
          <w:szCs w:val="24"/>
        </w:rPr>
        <w:t xml:space="preserve"> (see paragraph [</w:t>
      </w:r>
      <w:r w:rsidR="009D2C1C">
        <w:rPr>
          <w:szCs w:val="24"/>
        </w:rPr>
        <w:t>24</w:t>
      </w:r>
      <w:r w:rsidR="007F3B2B" w:rsidRPr="000E0CA0">
        <w:rPr>
          <w:szCs w:val="24"/>
        </w:rPr>
        <w:t>] above)</w:t>
      </w:r>
      <w:r w:rsidR="00EC7611" w:rsidRPr="000E0CA0">
        <w:rPr>
          <w:szCs w:val="24"/>
        </w:rPr>
        <w:t>, the temporary licence had expired</w:t>
      </w:r>
      <w:r w:rsidR="005D6D86" w:rsidRPr="000E0CA0">
        <w:rPr>
          <w:szCs w:val="24"/>
        </w:rPr>
        <w:t xml:space="preserve">; </w:t>
      </w:r>
      <w:r w:rsidR="00EC7611" w:rsidRPr="000E0CA0">
        <w:rPr>
          <w:szCs w:val="24"/>
        </w:rPr>
        <w:t>(</w:t>
      </w:r>
      <w:r w:rsidR="005D6D86" w:rsidRPr="000E0CA0">
        <w:rPr>
          <w:szCs w:val="24"/>
        </w:rPr>
        <w:t>ii</w:t>
      </w:r>
      <w:r w:rsidR="00EC7611" w:rsidRPr="000E0CA0">
        <w:rPr>
          <w:szCs w:val="24"/>
        </w:rPr>
        <w:t>) the certificate was only a formality because of the self-executing order of the court</w:t>
      </w:r>
      <w:r w:rsidR="007F3B2B" w:rsidRPr="000E0CA0">
        <w:rPr>
          <w:szCs w:val="24"/>
        </w:rPr>
        <w:t>, as Professor Lenzerini confirmed; (</w:t>
      </w:r>
      <w:r w:rsidR="005D6D86" w:rsidRPr="000E0CA0">
        <w:rPr>
          <w:szCs w:val="24"/>
        </w:rPr>
        <w:t>iii</w:t>
      </w:r>
      <w:r w:rsidR="007F3B2B" w:rsidRPr="000E0CA0">
        <w:rPr>
          <w:szCs w:val="24"/>
        </w:rPr>
        <w:t>) i</w:t>
      </w:r>
      <w:r w:rsidR="00EC7611" w:rsidRPr="000E0CA0">
        <w:rPr>
          <w:szCs w:val="24"/>
        </w:rPr>
        <w:t xml:space="preserve">t was </w:t>
      </w:r>
      <w:r w:rsidR="007F3B2B" w:rsidRPr="000E0CA0">
        <w:rPr>
          <w:szCs w:val="24"/>
        </w:rPr>
        <w:t xml:space="preserve">inherently improbable </w:t>
      </w:r>
      <w:r w:rsidR="00EC7611" w:rsidRPr="000E0CA0">
        <w:rPr>
          <w:szCs w:val="24"/>
        </w:rPr>
        <w:t xml:space="preserve">that the Italian legislation </w:t>
      </w:r>
      <w:r w:rsidR="00EC7611" w:rsidRPr="009D2C1C">
        <w:rPr>
          <w:szCs w:val="24"/>
          <w:u w:val="single"/>
        </w:rPr>
        <w:t>was</w:t>
      </w:r>
      <w:r w:rsidR="00EC7611" w:rsidRPr="000E0CA0">
        <w:rPr>
          <w:szCs w:val="24"/>
        </w:rPr>
        <w:t xml:space="preserve"> intended to cater for the situation in this case </w:t>
      </w:r>
      <w:r w:rsidR="009D2C1C">
        <w:rPr>
          <w:szCs w:val="24"/>
        </w:rPr>
        <w:t xml:space="preserve">and </w:t>
      </w:r>
      <w:r w:rsidRPr="000E0CA0">
        <w:rPr>
          <w:szCs w:val="24"/>
        </w:rPr>
        <w:t>no</w:t>
      </w:r>
      <w:r w:rsidR="00EC7611" w:rsidRPr="000E0CA0">
        <w:rPr>
          <w:szCs w:val="24"/>
        </w:rPr>
        <w:t xml:space="preserve"> assumption could be made that the legislation was intended to cover such a scenario absent expert evidence on the point</w:t>
      </w:r>
      <w:r w:rsidR="004D0669" w:rsidRPr="000E0CA0">
        <w:rPr>
          <w:szCs w:val="24"/>
        </w:rPr>
        <w:t xml:space="preserve">; </w:t>
      </w:r>
      <w:r w:rsidR="005D6D86" w:rsidRPr="000E0CA0">
        <w:rPr>
          <w:szCs w:val="24"/>
        </w:rPr>
        <w:t xml:space="preserve">and </w:t>
      </w:r>
      <w:r w:rsidR="004D0669" w:rsidRPr="000E0CA0">
        <w:rPr>
          <w:szCs w:val="24"/>
        </w:rPr>
        <w:t>(</w:t>
      </w:r>
      <w:r w:rsidR="005D6D86" w:rsidRPr="000E0CA0">
        <w:rPr>
          <w:szCs w:val="24"/>
        </w:rPr>
        <w:t>iv</w:t>
      </w:r>
      <w:r w:rsidR="004D0669" w:rsidRPr="000E0CA0">
        <w:rPr>
          <w:szCs w:val="24"/>
        </w:rPr>
        <w:t>)</w:t>
      </w:r>
      <w:r w:rsidR="005D6D86" w:rsidRPr="000E0CA0">
        <w:rPr>
          <w:szCs w:val="24"/>
        </w:rPr>
        <w:t>,</w:t>
      </w:r>
      <w:r w:rsidR="004D0669" w:rsidRPr="000E0CA0">
        <w:rPr>
          <w:szCs w:val="24"/>
        </w:rPr>
        <w:t xml:space="preserve"> </w:t>
      </w:r>
      <w:r w:rsidR="00EC7611" w:rsidRPr="000E0CA0">
        <w:rPr>
          <w:szCs w:val="24"/>
        </w:rPr>
        <w:t xml:space="preserve">there was no evidence that the Italian </w:t>
      </w:r>
      <w:r w:rsidR="009B2C7D" w:rsidRPr="000E0CA0">
        <w:rPr>
          <w:szCs w:val="24"/>
        </w:rPr>
        <w:t xml:space="preserve">competent </w:t>
      </w:r>
      <w:r w:rsidR="00EC7611" w:rsidRPr="000E0CA0">
        <w:rPr>
          <w:szCs w:val="24"/>
        </w:rPr>
        <w:t xml:space="preserve">authorities would </w:t>
      </w:r>
      <w:r w:rsidR="00EC7611" w:rsidRPr="000E0CA0">
        <w:rPr>
          <w:i/>
          <w:iCs/>
          <w:szCs w:val="24"/>
        </w:rPr>
        <w:t>in fact</w:t>
      </w:r>
      <w:r w:rsidR="00EC7611" w:rsidRPr="000E0CA0">
        <w:rPr>
          <w:szCs w:val="24"/>
        </w:rPr>
        <w:t xml:space="preserve"> have applied for (and had a reasonable prospect of obtaining) an injunction in response to an application for a certificate on the back of the order</w:t>
      </w:r>
      <w:r w:rsidR="009B2C7D" w:rsidRPr="000E0CA0">
        <w:rPr>
          <w:szCs w:val="24"/>
        </w:rPr>
        <w:t xml:space="preserve"> of the Administrative Court in Lazio and </w:t>
      </w:r>
      <w:r w:rsidR="00EC7611" w:rsidRPr="000E0CA0">
        <w:rPr>
          <w:szCs w:val="24"/>
        </w:rPr>
        <w:t xml:space="preserve">it </w:t>
      </w:r>
      <w:r w:rsidR="009B2C7D" w:rsidRPr="000E0CA0">
        <w:rPr>
          <w:szCs w:val="24"/>
        </w:rPr>
        <w:t xml:space="preserve">is </w:t>
      </w:r>
      <w:r w:rsidR="00EC7611" w:rsidRPr="000E0CA0">
        <w:rPr>
          <w:szCs w:val="24"/>
        </w:rPr>
        <w:t xml:space="preserve">fanciful to </w:t>
      </w:r>
      <w:r w:rsidR="009B2C7D" w:rsidRPr="000E0CA0">
        <w:rPr>
          <w:szCs w:val="24"/>
        </w:rPr>
        <w:t xml:space="preserve">suggest </w:t>
      </w:r>
      <w:r w:rsidR="00EC7611" w:rsidRPr="000E0CA0">
        <w:rPr>
          <w:szCs w:val="24"/>
        </w:rPr>
        <w:t xml:space="preserve">that they would have done so, given that it took them </w:t>
      </w:r>
      <w:r w:rsidR="009B2C7D" w:rsidRPr="000E0CA0">
        <w:rPr>
          <w:szCs w:val="24"/>
        </w:rPr>
        <w:t xml:space="preserve">over </w:t>
      </w:r>
      <w:r w:rsidR="00EC7611" w:rsidRPr="000E0CA0">
        <w:rPr>
          <w:szCs w:val="24"/>
        </w:rPr>
        <w:t xml:space="preserve">a year to lodge their appeal against </w:t>
      </w:r>
      <w:r w:rsidR="005D6D86" w:rsidRPr="000E0CA0">
        <w:rPr>
          <w:szCs w:val="24"/>
        </w:rPr>
        <w:t xml:space="preserve">the </w:t>
      </w:r>
      <w:r w:rsidR="009B2C7D" w:rsidRPr="000E0CA0">
        <w:rPr>
          <w:szCs w:val="24"/>
        </w:rPr>
        <w:t xml:space="preserve">court order </w:t>
      </w:r>
      <w:r w:rsidR="00EC7611" w:rsidRPr="000E0CA0">
        <w:rPr>
          <w:szCs w:val="24"/>
        </w:rPr>
        <w:t xml:space="preserve">and they made no effort to seek the return of the </w:t>
      </w:r>
      <w:r w:rsidR="005D6D86" w:rsidRPr="000E0CA0">
        <w:rPr>
          <w:szCs w:val="24"/>
        </w:rPr>
        <w:t>p</w:t>
      </w:r>
      <w:r w:rsidR="00EC7611" w:rsidRPr="000E0CA0">
        <w:rPr>
          <w:szCs w:val="24"/>
        </w:rPr>
        <w:t xml:space="preserve">ainting under the </w:t>
      </w:r>
      <w:r w:rsidR="009B2C7D" w:rsidRPr="000E0CA0">
        <w:rPr>
          <w:szCs w:val="24"/>
        </w:rPr>
        <w:t xml:space="preserve">Return </w:t>
      </w:r>
      <w:r w:rsidR="00EC7611" w:rsidRPr="000E0CA0">
        <w:rPr>
          <w:szCs w:val="24"/>
        </w:rPr>
        <w:t xml:space="preserve">Directive. </w:t>
      </w:r>
    </w:p>
    <w:p w14:paraId="19070E59" w14:textId="38FD42EA" w:rsidR="00EC7611" w:rsidRPr="000E0CA0" w:rsidRDefault="000F64E8" w:rsidP="002D37BA">
      <w:pPr>
        <w:pStyle w:val="ParaLevel3"/>
        <w:tabs>
          <w:tab w:val="clear" w:pos="3261"/>
          <w:tab w:val="num" w:pos="1843"/>
        </w:tabs>
        <w:ind w:left="1843" w:hanging="425"/>
        <w:rPr>
          <w:bCs/>
          <w:szCs w:val="24"/>
        </w:rPr>
      </w:pPr>
      <w:r w:rsidRPr="000E0CA0">
        <w:rPr>
          <w:bCs/>
          <w:szCs w:val="24"/>
        </w:rPr>
        <w:t xml:space="preserve">The </w:t>
      </w:r>
      <w:r w:rsidR="009B2C7D" w:rsidRPr="000E0CA0">
        <w:rPr>
          <w:bCs/>
          <w:szCs w:val="24"/>
        </w:rPr>
        <w:t>judge misdirected herself (Judgment paragraphs [84] – [85]) in concluding that the principle of international comity required: "</w:t>
      </w:r>
      <w:r w:rsidR="009B2C7D" w:rsidRPr="000E0CA0">
        <w:rPr>
          <w:bCs/>
          <w:i/>
          <w:iCs/>
          <w:szCs w:val="24"/>
        </w:rPr>
        <w:t>compelling circumstances for a court of one Member State to rule on the (in)compatibility with EU law of another member state’s laws, even on specific facts</w:t>
      </w:r>
      <w:r w:rsidR="009B2C7D" w:rsidRPr="000E0CA0">
        <w:rPr>
          <w:bCs/>
          <w:szCs w:val="24"/>
        </w:rPr>
        <w:t>”</w:t>
      </w:r>
      <w:r w:rsidR="005D6D86" w:rsidRPr="000E0CA0">
        <w:rPr>
          <w:bCs/>
          <w:szCs w:val="24"/>
        </w:rPr>
        <w:t xml:space="preserve">. She also erred in holding </w:t>
      </w:r>
      <w:r w:rsidR="009B2C7D" w:rsidRPr="000E0CA0">
        <w:rPr>
          <w:bCs/>
          <w:szCs w:val="24"/>
        </w:rPr>
        <w:t>that a: “</w:t>
      </w:r>
      <w:r w:rsidR="009B2C7D" w:rsidRPr="000E0CA0">
        <w:rPr>
          <w:bCs/>
          <w:i/>
          <w:iCs/>
          <w:szCs w:val="24"/>
        </w:rPr>
        <w:t>domestic court, recognising the principle of comity, will proceed with considerable caution in assessing the legality of another Member State’s laws from an EU perspective</w:t>
      </w:r>
      <w:r w:rsidR="009B2C7D" w:rsidRPr="000E0CA0">
        <w:rPr>
          <w:bCs/>
          <w:szCs w:val="24"/>
        </w:rPr>
        <w:t xml:space="preserve">.”  The judge should have held that the overriding duty </w:t>
      </w:r>
      <w:r w:rsidR="00C26875">
        <w:rPr>
          <w:bCs/>
          <w:szCs w:val="24"/>
        </w:rPr>
        <w:t>o</w:t>
      </w:r>
      <w:r w:rsidR="009D2C1C">
        <w:rPr>
          <w:bCs/>
          <w:szCs w:val="24"/>
        </w:rPr>
        <w:t xml:space="preserve">f any national court </w:t>
      </w:r>
      <w:r w:rsidR="005D6D86" w:rsidRPr="000E0CA0">
        <w:rPr>
          <w:bCs/>
          <w:szCs w:val="24"/>
        </w:rPr>
        <w:t>w</w:t>
      </w:r>
      <w:r w:rsidR="009B2C7D" w:rsidRPr="000E0CA0">
        <w:rPr>
          <w:bCs/>
          <w:szCs w:val="24"/>
        </w:rPr>
        <w:t>as to apply EU law consistently and uniformly across the EU.  The principle of comity does not apply within the context of EU law</w:t>
      </w:r>
      <w:r w:rsidR="00627CEB" w:rsidRPr="000E0CA0">
        <w:rPr>
          <w:bCs/>
          <w:szCs w:val="24"/>
        </w:rPr>
        <w:t xml:space="preserve">.  </w:t>
      </w:r>
      <w:r w:rsidR="009B2C7D" w:rsidRPr="000E0CA0">
        <w:rPr>
          <w:bCs/>
          <w:szCs w:val="24"/>
          <w:lang w:eastAsia="en-GB"/>
        </w:rPr>
        <w:t>Measures of national law contrary to EU law cannot be applied</w:t>
      </w:r>
      <w:r w:rsidR="005D6D86" w:rsidRPr="000E0CA0">
        <w:rPr>
          <w:bCs/>
          <w:szCs w:val="24"/>
          <w:lang w:eastAsia="en-GB"/>
        </w:rPr>
        <w:t>.</w:t>
      </w:r>
    </w:p>
    <w:p w14:paraId="3EBE35D6" w14:textId="77777777" w:rsidR="004D0669" w:rsidRPr="000E0CA0" w:rsidRDefault="005D6D86" w:rsidP="002D37BA">
      <w:pPr>
        <w:pStyle w:val="ParaLevel3"/>
        <w:tabs>
          <w:tab w:val="clear" w:pos="3261"/>
          <w:tab w:val="num" w:pos="1843"/>
        </w:tabs>
        <w:ind w:left="1843" w:hanging="425"/>
        <w:rPr>
          <w:bCs/>
          <w:szCs w:val="24"/>
        </w:rPr>
      </w:pPr>
      <w:r w:rsidRPr="000E0CA0">
        <w:rPr>
          <w:bCs/>
          <w:szCs w:val="24"/>
        </w:rPr>
        <w:t xml:space="preserve">Finally, if </w:t>
      </w:r>
      <w:r w:rsidR="004D0669" w:rsidRPr="000E0CA0">
        <w:rPr>
          <w:bCs/>
          <w:szCs w:val="24"/>
        </w:rPr>
        <w:t xml:space="preserve">there was any doubt about </w:t>
      </w:r>
      <w:r w:rsidRPr="000E0CA0">
        <w:rPr>
          <w:bCs/>
          <w:szCs w:val="24"/>
        </w:rPr>
        <w:t xml:space="preserve">the above propositions then </w:t>
      </w:r>
      <w:r w:rsidR="004D0669" w:rsidRPr="000E0CA0">
        <w:rPr>
          <w:bCs/>
          <w:szCs w:val="24"/>
        </w:rPr>
        <w:t>it was open to the Court to refer the case to the Court of Justice.</w:t>
      </w:r>
    </w:p>
    <w:p w14:paraId="222433DA" w14:textId="77777777" w:rsidR="00EC7611" w:rsidRPr="000E0CA0" w:rsidRDefault="00627CEB" w:rsidP="002D37BA">
      <w:pPr>
        <w:pStyle w:val="ListParagraph"/>
        <w:numPr>
          <w:ilvl w:val="0"/>
          <w:numId w:val="26"/>
        </w:numPr>
        <w:spacing w:after="0" w:line="240" w:lineRule="auto"/>
        <w:ind w:hanging="513"/>
        <w:jc w:val="both"/>
        <w:rPr>
          <w:rFonts w:ascii="Times New Roman" w:hAnsi="Times New Roman"/>
          <w:b/>
          <w:i/>
          <w:iCs/>
          <w:sz w:val="24"/>
          <w:szCs w:val="24"/>
        </w:rPr>
      </w:pPr>
      <w:r w:rsidRPr="000E0CA0">
        <w:rPr>
          <w:rFonts w:ascii="Times New Roman" w:hAnsi="Times New Roman"/>
          <w:b/>
          <w:i/>
          <w:iCs/>
          <w:sz w:val="24"/>
          <w:szCs w:val="24"/>
        </w:rPr>
        <w:t xml:space="preserve">Respondent’s submissions </w:t>
      </w:r>
    </w:p>
    <w:p w14:paraId="61E5F541" w14:textId="77777777" w:rsidR="00EC7611" w:rsidRPr="000E0CA0" w:rsidRDefault="00EC7611" w:rsidP="002D37BA">
      <w:pPr>
        <w:pStyle w:val="ListParagraph"/>
        <w:spacing w:line="240" w:lineRule="auto"/>
        <w:rPr>
          <w:rFonts w:ascii="Times New Roman" w:hAnsi="Times New Roman"/>
          <w:bCs/>
          <w:sz w:val="24"/>
          <w:szCs w:val="24"/>
        </w:rPr>
      </w:pPr>
    </w:p>
    <w:p w14:paraId="4DFEAE42" w14:textId="116803EE" w:rsidR="00627CEB" w:rsidRPr="000E0CA0" w:rsidRDefault="006B3F49" w:rsidP="002D37BA">
      <w:pPr>
        <w:pStyle w:val="ListParagraph"/>
        <w:numPr>
          <w:ilvl w:val="0"/>
          <w:numId w:val="13"/>
        </w:numPr>
        <w:spacing w:after="0" w:line="240" w:lineRule="auto"/>
        <w:ind w:left="567" w:hanging="567"/>
        <w:jc w:val="both"/>
        <w:rPr>
          <w:rFonts w:ascii="Times New Roman" w:hAnsi="Times New Roman"/>
          <w:bCs/>
          <w:sz w:val="24"/>
          <w:szCs w:val="24"/>
        </w:rPr>
      </w:pPr>
      <w:r w:rsidRPr="000E0CA0">
        <w:rPr>
          <w:rFonts w:ascii="Times New Roman" w:hAnsi="Times New Roman"/>
          <w:bCs/>
          <w:sz w:val="24"/>
          <w:szCs w:val="24"/>
        </w:rPr>
        <w:t xml:space="preserve">The </w:t>
      </w:r>
      <w:r w:rsidR="005D6D86" w:rsidRPr="000E0CA0">
        <w:rPr>
          <w:rFonts w:ascii="Times New Roman" w:hAnsi="Times New Roman"/>
          <w:bCs/>
          <w:sz w:val="24"/>
          <w:szCs w:val="24"/>
        </w:rPr>
        <w:t>R</w:t>
      </w:r>
      <w:r w:rsidRPr="000E0CA0">
        <w:rPr>
          <w:rFonts w:ascii="Times New Roman" w:hAnsi="Times New Roman"/>
          <w:bCs/>
          <w:sz w:val="24"/>
          <w:szCs w:val="24"/>
        </w:rPr>
        <w:t xml:space="preserve">espondent’s submissions can be summarised briefly. </w:t>
      </w:r>
      <w:r w:rsidR="00627CEB" w:rsidRPr="000E0CA0">
        <w:rPr>
          <w:rFonts w:ascii="Times New Roman" w:hAnsi="Times New Roman"/>
          <w:bCs/>
          <w:sz w:val="24"/>
          <w:szCs w:val="24"/>
        </w:rPr>
        <w:t xml:space="preserve">It is correct that </w:t>
      </w:r>
      <w:r w:rsidR="005D6D86" w:rsidRPr="000E0CA0">
        <w:rPr>
          <w:rFonts w:ascii="Times New Roman" w:hAnsi="Times New Roman"/>
          <w:bCs/>
          <w:sz w:val="24"/>
          <w:szCs w:val="24"/>
        </w:rPr>
        <w:t xml:space="preserve">under EU law </w:t>
      </w:r>
      <w:r w:rsidR="00627CEB" w:rsidRPr="000E0CA0">
        <w:rPr>
          <w:rFonts w:ascii="Times New Roman" w:hAnsi="Times New Roman"/>
          <w:bCs/>
          <w:sz w:val="24"/>
          <w:szCs w:val="24"/>
          <w:lang w:val="en"/>
        </w:rPr>
        <w:t xml:space="preserve">national export licensing regimes </w:t>
      </w:r>
      <w:r w:rsidR="005D6D86" w:rsidRPr="000E0CA0">
        <w:rPr>
          <w:rFonts w:ascii="Times New Roman" w:hAnsi="Times New Roman"/>
          <w:bCs/>
          <w:sz w:val="24"/>
          <w:szCs w:val="24"/>
          <w:lang w:val="en"/>
        </w:rPr>
        <w:t xml:space="preserve">are </w:t>
      </w:r>
      <w:r w:rsidR="00627CEB" w:rsidRPr="000E0CA0">
        <w:rPr>
          <w:rFonts w:ascii="Times New Roman" w:hAnsi="Times New Roman"/>
          <w:bCs/>
          <w:sz w:val="24"/>
          <w:szCs w:val="24"/>
          <w:lang w:val="en"/>
        </w:rPr>
        <w:t xml:space="preserve">a restriction </w:t>
      </w:r>
      <w:r w:rsidR="00D034B4" w:rsidRPr="000E0CA0">
        <w:rPr>
          <w:rFonts w:ascii="Times New Roman" w:hAnsi="Times New Roman"/>
          <w:bCs/>
          <w:sz w:val="24"/>
          <w:szCs w:val="24"/>
          <w:lang w:val="en"/>
        </w:rPr>
        <w:t>up</w:t>
      </w:r>
      <w:r w:rsidR="00627CEB" w:rsidRPr="000E0CA0">
        <w:rPr>
          <w:rFonts w:ascii="Times New Roman" w:hAnsi="Times New Roman"/>
          <w:bCs/>
          <w:sz w:val="24"/>
          <w:szCs w:val="24"/>
          <w:lang w:val="en"/>
        </w:rPr>
        <w:t xml:space="preserve">on </w:t>
      </w:r>
      <w:r w:rsidR="00D034B4" w:rsidRPr="000E0CA0">
        <w:rPr>
          <w:rFonts w:ascii="Times New Roman" w:hAnsi="Times New Roman"/>
          <w:bCs/>
          <w:sz w:val="24"/>
          <w:szCs w:val="24"/>
          <w:lang w:val="en"/>
        </w:rPr>
        <w:t xml:space="preserve">the </w:t>
      </w:r>
      <w:r w:rsidR="00627CEB" w:rsidRPr="000E0CA0">
        <w:rPr>
          <w:rFonts w:ascii="Times New Roman" w:hAnsi="Times New Roman"/>
          <w:bCs/>
          <w:sz w:val="24"/>
          <w:szCs w:val="24"/>
          <w:lang w:val="en"/>
        </w:rPr>
        <w:t xml:space="preserve">free movement of goods, even </w:t>
      </w:r>
      <w:r w:rsidR="00627CEB" w:rsidRPr="000E0CA0">
        <w:rPr>
          <w:rFonts w:ascii="Times New Roman" w:hAnsi="Times New Roman"/>
          <w:bCs/>
          <w:sz w:val="24"/>
          <w:szCs w:val="24"/>
          <w:lang w:val="en"/>
        </w:rPr>
        <w:lastRenderedPageBreak/>
        <w:t>where the grant of a licence is routine</w:t>
      </w:r>
      <w:r w:rsidR="005D6D86" w:rsidRPr="000E0CA0">
        <w:rPr>
          <w:rFonts w:ascii="Times New Roman" w:hAnsi="Times New Roman"/>
          <w:bCs/>
          <w:sz w:val="24"/>
          <w:szCs w:val="24"/>
          <w:lang w:val="en"/>
        </w:rPr>
        <w:t xml:space="preserve">.  </w:t>
      </w:r>
      <w:r w:rsidR="00D034B4" w:rsidRPr="000E0CA0">
        <w:rPr>
          <w:rFonts w:ascii="Times New Roman" w:hAnsi="Times New Roman"/>
          <w:bCs/>
          <w:sz w:val="24"/>
          <w:szCs w:val="24"/>
        </w:rPr>
        <w:t>However</w:t>
      </w:r>
      <w:r w:rsidRPr="000E0CA0">
        <w:rPr>
          <w:rFonts w:ascii="Times New Roman" w:hAnsi="Times New Roman"/>
          <w:bCs/>
          <w:sz w:val="24"/>
          <w:szCs w:val="24"/>
        </w:rPr>
        <w:t>,</w:t>
      </w:r>
      <w:r w:rsidR="00D034B4" w:rsidRPr="000E0CA0">
        <w:rPr>
          <w:rFonts w:ascii="Times New Roman" w:hAnsi="Times New Roman"/>
          <w:bCs/>
          <w:sz w:val="24"/>
          <w:szCs w:val="24"/>
        </w:rPr>
        <w:t xml:space="preserve"> the </w:t>
      </w:r>
      <w:r w:rsidR="005D6D86" w:rsidRPr="000E0CA0">
        <w:rPr>
          <w:rFonts w:ascii="Times New Roman" w:hAnsi="Times New Roman"/>
          <w:bCs/>
          <w:sz w:val="24"/>
          <w:szCs w:val="24"/>
        </w:rPr>
        <w:t>j</w:t>
      </w:r>
      <w:r w:rsidR="00627CEB" w:rsidRPr="000E0CA0">
        <w:rPr>
          <w:rFonts w:ascii="Times New Roman" w:hAnsi="Times New Roman"/>
          <w:bCs/>
          <w:sz w:val="24"/>
          <w:szCs w:val="24"/>
          <w:lang w:val="en"/>
        </w:rPr>
        <w:t xml:space="preserve">udge was (rightly) wary </w:t>
      </w:r>
      <w:r w:rsidR="003216F6" w:rsidRPr="000E0CA0">
        <w:rPr>
          <w:rFonts w:ascii="Times New Roman" w:hAnsi="Times New Roman"/>
          <w:bCs/>
          <w:sz w:val="24"/>
          <w:szCs w:val="24"/>
          <w:lang w:val="en"/>
        </w:rPr>
        <w:t xml:space="preserve">of </w:t>
      </w:r>
      <w:r w:rsidR="00627CEB" w:rsidRPr="000E0CA0">
        <w:rPr>
          <w:rFonts w:ascii="Times New Roman" w:hAnsi="Times New Roman"/>
          <w:bCs/>
          <w:sz w:val="24"/>
          <w:szCs w:val="24"/>
          <w:lang w:val="en"/>
        </w:rPr>
        <w:t xml:space="preserve">accepting the Appellant’s invitation to opine on the compatibility of the Italian law with EU law (Judgment </w:t>
      </w:r>
      <w:r w:rsidRPr="000E0CA0">
        <w:rPr>
          <w:rFonts w:ascii="Times New Roman" w:hAnsi="Times New Roman"/>
          <w:bCs/>
          <w:sz w:val="24"/>
          <w:szCs w:val="24"/>
          <w:lang w:val="en"/>
        </w:rPr>
        <w:t xml:space="preserve">paragraph </w:t>
      </w:r>
      <w:r w:rsidR="00627CEB" w:rsidRPr="000E0CA0">
        <w:rPr>
          <w:rFonts w:ascii="Times New Roman" w:hAnsi="Times New Roman"/>
          <w:bCs/>
          <w:sz w:val="24"/>
          <w:szCs w:val="24"/>
          <w:lang w:val="en"/>
        </w:rPr>
        <w:t xml:space="preserve">[84]). </w:t>
      </w:r>
      <w:r w:rsidR="00627CEB" w:rsidRPr="000E0CA0">
        <w:rPr>
          <w:rFonts w:ascii="Times New Roman" w:hAnsi="Times New Roman"/>
          <w:bCs/>
          <w:sz w:val="24"/>
          <w:szCs w:val="24"/>
        </w:rPr>
        <w:t>Not to exercise such caution would undermine the system of mutual trust inherent in the EU regime</w:t>
      </w:r>
      <w:r w:rsidR="003216F6" w:rsidRPr="000E0CA0">
        <w:rPr>
          <w:rFonts w:ascii="Times New Roman" w:hAnsi="Times New Roman"/>
          <w:bCs/>
          <w:sz w:val="24"/>
          <w:szCs w:val="24"/>
        </w:rPr>
        <w:t xml:space="preserve">: </w:t>
      </w:r>
      <w:r w:rsidR="005D6D86" w:rsidRPr="000E0CA0">
        <w:rPr>
          <w:rFonts w:ascii="Times New Roman" w:hAnsi="Times New Roman"/>
          <w:bCs/>
          <w:sz w:val="24"/>
          <w:szCs w:val="24"/>
        </w:rPr>
        <w:t>S</w:t>
      </w:r>
      <w:r w:rsidR="00627CEB" w:rsidRPr="000E0CA0">
        <w:rPr>
          <w:rFonts w:ascii="Times New Roman" w:hAnsi="Times New Roman"/>
          <w:bCs/>
          <w:sz w:val="24"/>
          <w:szCs w:val="24"/>
        </w:rPr>
        <w:t xml:space="preserve">ee, </w:t>
      </w:r>
      <w:r w:rsidR="005D6D86" w:rsidRPr="000E0CA0">
        <w:rPr>
          <w:rFonts w:ascii="Times New Roman" w:hAnsi="Times New Roman"/>
          <w:bCs/>
          <w:sz w:val="24"/>
          <w:szCs w:val="24"/>
        </w:rPr>
        <w:t>e</w:t>
      </w:r>
      <w:r w:rsidR="0007217B">
        <w:rPr>
          <w:rFonts w:ascii="Times New Roman" w:hAnsi="Times New Roman"/>
          <w:bCs/>
          <w:sz w:val="24"/>
          <w:szCs w:val="24"/>
        </w:rPr>
        <w:t>.</w:t>
      </w:r>
      <w:r w:rsidR="005D6D86" w:rsidRPr="000E0CA0">
        <w:rPr>
          <w:rFonts w:ascii="Times New Roman" w:hAnsi="Times New Roman"/>
          <w:bCs/>
          <w:sz w:val="24"/>
          <w:szCs w:val="24"/>
        </w:rPr>
        <w:t>g</w:t>
      </w:r>
      <w:r w:rsidR="0007217B">
        <w:rPr>
          <w:rFonts w:ascii="Times New Roman" w:hAnsi="Times New Roman"/>
          <w:bCs/>
          <w:sz w:val="24"/>
          <w:szCs w:val="24"/>
        </w:rPr>
        <w:t>.</w:t>
      </w:r>
      <w:r w:rsidR="00627CEB" w:rsidRPr="000E0CA0">
        <w:rPr>
          <w:rFonts w:ascii="Times New Roman" w:hAnsi="Times New Roman"/>
          <w:bCs/>
          <w:sz w:val="24"/>
          <w:szCs w:val="24"/>
        </w:rPr>
        <w:t xml:space="preserve"> Case C-399/11 </w:t>
      </w:r>
      <w:r w:rsidR="00627CEB" w:rsidRPr="000E0CA0">
        <w:rPr>
          <w:rFonts w:ascii="Times New Roman" w:hAnsi="Times New Roman"/>
          <w:bCs/>
          <w:i/>
          <w:sz w:val="24"/>
          <w:szCs w:val="24"/>
        </w:rPr>
        <w:t>Melloni v Ministerio Fiscal</w:t>
      </w:r>
      <w:r w:rsidR="00627CEB" w:rsidRPr="000E0CA0">
        <w:rPr>
          <w:rFonts w:ascii="Times New Roman" w:hAnsi="Times New Roman"/>
          <w:bCs/>
          <w:sz w:val="24"/>
          <w:szCs w:val="24"/>
        </w:rPr>
        <w:t xml:space="preserve"> (EU:C:2013:107) at </w:t>
      </w:r>
      <w:r w:rsidR="00D034B4" w:rsidRPr="000E0CA0">
        <w:rPr>
          <w:rFonts w:ascii="Times New Roman" w:hAnsi="Times New Roman"/>
          <w:bCs/>
          <w:sz w:val="24"/>
          <w:szCs w:val="24"/>
        </w:rPr>
        <w:t xml:space="preserve">paragraphs </w:t>
      </w:r>
      <w:r w:rsidR="00627CEB" w:rsidRPr="000E0CA0">
        <w:rPr>
          <w:rFonts w:ascii="Times New Roman" w:hAnsi="Times New Roman"/>
          <w:bCs/>
          <w:sz w:val="24"/>
          <w:szCs w:val="24"/>
        </w:rPr>
        <w:t>[57]</w:t>
      </w:r>
      <w:r w:rsidR="00E13C54" w:rsidRPr="000E0CA0">
        <w:rPr>
          <w:rFonts w:ascii="Times New Roman" w:hAnsi="Times New Roman"/>
          <w:bCs/>
          <w:sz w:val="24"/>
          <w:szCs w:val="24"/>
        </w:rPr>
        <w:t xml:space="preserve"> </w:t>
      </w:r>
      <w:r w:rsidR="00627CEB" w:rsidRPr="000E0CA0">
        <w:rPr>
          <w:rFonts w:ascii="Times New Roman" w:hAnsi="Times New Roman"/>
          <w:bCs/>
          <w:sz w:val="24"/>
          <w:szCs w:val="24"/>
        </w:rPr>
        <w:t>-</w:t>
      </w:r>
      <w:r w:rsidR="00E13C54" w:rsidRPr="000E0CA0">
        <w:rPr>
          <w:rFonts w:ascii="Times New Roman" w:hAnsi="Times New Roman"/>
          <w:bCs/>
          <w:sz w:val="24"/>
          <w:szCs w:val="24"/>
        </w:rPr>
        <w:t xml:space="preserve"> </w:t>
      </w:r>
      <w:r w:rsidR="00627CEB" w:rsidRPr="000E0CA0">
        <w:rPr>
          <w:rFonts w:ascii="Times New Roman" w:hAnsi="Times New Roman"/>
          <w:bCs/>
          <w:sz w:val="24"/>
          <w:szCs w:val="24"/>
        </w:rPr>
        <w:t xml:space="preserve">[59] and </w:t>
      </w:r>
      <w:r w:rsidR="00627CEB" w:rsidRPr="000E0CA0">
        <w:rPr>
          <w:rFonts w:ascii="Times New Roman" w:hAnsi="Times New Roman"/>
          <w:bCs/>
          <w:i/>
          <w:sz w:val="24"/>
          <w:szCs w:val="24"/>
        </w:rPr>
        <w:t xml:space="preserve">Opinion 2/13 on EU Accession to the ECHR </w:t>
      </w:r>
      <w:r w:rsidR="00627CEB" w:rsidRPr="000E0CA0">
        <w:rPr>
          <w:rFonts w:ascii="Times New Roman" w:hAnsi="Times New Roman"/>
          <w:bCs/>
          <w:sz w:val="24"/>
          <w:szCs w:val="24"/>
        </w:rPr>
        <w:t>(ECLI:EU:C:2014:2454) at [191]</w:t>
      </w:r>
      <w:r w:rsidR="00E13C54" w:rsidRPr="000E0CA0">
        <w:rPr>
          <w:rFonts w:ascii="Times New Roman" w:hAnsi="Times New Roman"/>
          <w:bCs/>
          <w:sz w:val="24"/>
          <w:szCs w:val="24"/>
        </w:rPr>
        <w:t xml:space="preserve"> - [</w:t>
      </w:r>
      <w:r w:rsidR="00627CEB" w:rsidRPr="000E0CA0">
        <w:rPr>
          <w:rFonts w:ascii="Times New Roman" w:hAnsi="Times New Roman"/>
          <w:bCs/>
          <w:sz w:val="24"/>
          <w:szCs w:val="24"/>
        </w:rPr>
        <w:t xml:space="preserve">192].  </w:t>
      </w:r>
      <w:r w:rsidR="00627CEB" w:rsidRPr="000E0CA0">
        <w:rPr>
          <w:rFonts w:ascii="Times New Roman" w:hAnsi="Times New Roman"/>
          <w:bCs/>
          <w:sz w:val="24"/>
          <w:szCs w:val="24"/>
          <w:lang w:val="en"/>
        </w:rPr>
        <w:t xml:space="preserve">Even the </w:t>
      </w:r>
      <w:r w:rsidR="00627CEB" w:rsidRPr="000E0CA0">
        <w:rPr>
          <w:rFonts w:ascii="Times New Roman" w:hAnsi="Times New Roman"/>
          <w:bCs/>
          <w:sz w:val="24"/>
          <w:szCs w:val="24"/>
        </w:rPr>
        <w:t xml:space="preserve">Court of Justice </w:t>
      </w:r>
      <w:r w:rsidR="00627CEB" w:rsidRPr="000E0CA0">
        <w:rPr>
          <w:rFonts w:ascii="Times New Roman" w:hAnsi="Times New Roman"/>
          <w:bCs/>
          <w:sz w:val="24"/>
          <w:szCs w:val="24"/>
          <w:lang w:val="en"/>
        </w:rPr>
        <w:t>is reluctant to consider such a question on a preliminary reference and requires strong reasons and evidence to do so, as the Court emphasised below</w:t>
      </w:r>
      <w:r w:rsidR="00E13C54" w:rsidRPr="000E0CA0">
        <w:rPr>
          <w:rFonts w:ascii="Times New Roman" w:hAnsi="Times New Roman"/>
          <w:bCs/>
          <w:sz w:val="24"/>
          <w:szCs w:val="24"/>
          <w:lang w:val="en"/>
        </w:rPr>
        <w:t xml:space="preserve"> (Judgment paragraph [84])</w:t>
      </w:r>
      <w:r w:rsidR="00627CEB" w:rsidRPr="000E0CA0">
        <w:rPr>
          <w:rFonts w:ascii="Times New Roman" w:hAnsi="Times New Roman"/>
          <w:bCs/>
          <w:sz w:val="24"/>
          <w:szCs w:val="24"/>
          <w:lang w:val="en"/>
        </w:rPr>
        <w:t>.</w:t>
      </w:r>
    </w:p>
    <w:p w14:paraId="3E6FE62E" w14:textId="77777777" w:rsidR="00627CEB" w:rsidRPr="000E0CA0" w:rsidRDefault="00627CEB" w:rsidP="002D37BA">
      <w:pPr>
        <w:pStyle w:val="ListParagraph"/>
        <w:spacing w:line="240" w:lineRule="auto"/>
        <w:rPr>
          <w:rFonts w:ascii="Times New Roman" w:hAnsi="Times New Roman"/>
          <w:bCs/>
          <w:sz w:val="24"/>
          <w:szCs w:val="24"/>
          <w:lang w:val="en"/>
        </w:rPr>
      </w:pPr>
    </w:p>
    <w:p w14:paraId="65DE4222" w14:textId="77777777" w:rsidR="00627CEB" w:rsidRPr="000E0CA0" w:rsidRDefault="0052112C" w:rsidP="002D37BA">
      <w:pPr>
        <w:pStyle w:val="ListParagraph"/>
        <w:numPr>
          <w:ilvl w:val="0"/>
          <w:numId w:val="13"/>
        </w:numPr>
        <w:spacing w:after="0" w:line="240" w:lineRule="auto"/>
        <w:ind w:left="567" w:hanging="567"/>
        <w:contextualSpacing w:val="0"/>
        <w:jc w:val="both"/>
        <w:rPr>
          <w:rFonts w:ascii="Times New Roman" w:hAnsi="Times New Roman"/>
          <w:bCs/>
          <w:sz w:val="24"/>
          <w:szCs w:val="24"/>
          <w:lang w:val="en"/>
        </w:rPr>
      </w:pPr>
      <w:r w:rsidRPr="000E0CA0">
        <w:rPr>
          <w:rFonts w:ascii="Times New Roman" w:hAnsi="Times New Roman"/>
          <w:bCs/>
          <w:sz w:val="24"/>
          <w:szCs w:val="24"/>
          <w:lang w:val="en"/>
        </w:rPr>
        <w:t>T</w:t>
      </w:r>
      <w:r w:rsidR="00627CEB" w:rsidRPr="000E0CA0">
        <w:rPr>
          <w:rFonts w:ascii="Times New Roman" w:hAnsi="Times New Roman"/>
          <w:bCs/>
          <w:sz w:val="24"/>
          <w:szCs w:val="24"/>
          <w:lang w:val="en"/>
        </w:rPr>
        <w:t xml:space="preserve">here is no single EU market in national treasures. Article 36 TFEU specifically permits national export licensing regimes over such items </w:t>
      </w:r>
      <w:r w:rsidR="005D6D86" w:rsidRPr="000E0CA0">
        <w:rPr>
          <w:rFonts w:ascii="Times New Roman" w:hAnsi="Times New Roman"/>
          <w:bCs/>
          <w:sz w:val="24"/>
          <w:szCs w:val="24"/>
          <w:lang w:val="en"/>
        </w:rPr>
        <w:t xml:space="preserve">and </w:t>
      </w:r>
      <w:r w:rsidR="00627CEB" w:rsidRPr="000E0CA0">
        <w:rPr>
          <w:rFonts w:ascii="Times New Roman" w:hAnsi="Times New Roman"/>
          <w:bCs/>
          <w:sz w:val="24"/>
          <w:szCs w:val="24"/>
          <w:lang w:val="en"/>
        </w:rPr>
        <w:t xml:space="preserve">such regimes are </w:t>
      </w:r>
      <w:r w:rsidR="005D6D86" w:rsidRPr="000E0CA0">
        <w:rPr>
          <w:rFonts w:ascii="Times New Roman" w:hAnsi="Times New Roman"/>
          <w:bCs/>
          <w:sz w:val="24"/>
          <w:szCs w:val="24"/>
          <w:lang w:val="en"/>
        </w:rPr>
        <w:t>the norm</w:t>
      </w:r>
      <w:r w:rsidR="00627CEB" w:rsidRPr="000E0CA0">
        <w:rPr>
          <w:rFonts w:ascii="Times New Roman" w:hAnsi="Times New Roman"/>
          <w:bCs/>
          <w:sz w:val="24"/>
          <w:szCs w:val="24"/>
          <w:lang w:val="en"/>
        </w:rPr>
        <w:t xml:space="preserve">. The purpose of a licensing regime is to allow the national authorities to identify </w:t>
      </w:r>
      <w:r w:rsidR="00627CEB" w:rsidRPr="000E0CA0">
        <w:rPr>
          <w:rFonts w:ascii="Times New Roman" w:hAnsi="Times New Roman"/>
          <w:bCs/>
          <w:i/>
          <w:sz w:val="24"/>
          <w:szCs w:val="24"/>
          <w:lang w:val="en"/>
        </w:rPr>
        <w:t>prior to export</w:t>
      </w:r>
      <w:r w:rsidR="00627CEB" w:rsidRPr="000E0CA0">
        <w:rPr>
          <w:rFonts w:ascii="Times New Roman" w:hAnsi="Times New Roman"/>
          <w:bCs/>
          <w:sz w:val="24"/>
          <w:szCs w:val="24"/>
          <w:lang w:val="en"/>
        </w:rPr>
        <w:t xml:space="preserve"> potential national treasures through a regime of reporting and inspection and then to </w:t>
      </w:r>
      <w:r w:rsidR="005D6D86" w:rsidRPr="000E0CA0">
        <w:rPr>
          <w:rFonts w:ascii="Times New Roman" w:hAnsi="Times New Roman"/>
          <w:bCs/>
          <w:sz w:val="24"/>
          <w:szCs w:val="24"/>
          <w:lang w:val="en"/>
        </w:rPr>
        <w:t xml:space="preserve">enable them to </w:t>
      </w:r>
      <w:r w:rsidR="00627CEB" w:rsidRPr="000E0CA0">
        <w:rPr>
          <w:rFonts w:ascii="Times New Roman" w:hAnsi="Times New Roman"/>
          <w:bCs/>
          <w:sz w:val="24"/>
          <w:szCs w:val="24"/>
          <w:lang w:val="en"/>
        </w:rPr>
        <w:t xml:space="preserve">take lawful measures (such as the refusal of a licence or an application for interim relief to prevent removal pending litigation) to ensure that such treasures are not removed from the Member State in breach of national law. That is precisely what the Italian regime does. Such a scheme is permitted and envisaged by Article 36 TFEU. It would be impossible </w:t>
      </w:r>
      <w:r w:rsidR="005D6D86" w:rsidRPr="000E0CA0">
        <w:rPr>
          <w:rFonts w:ascii="Times New Roman" w:hAnsi="Times New Roman"/>
          <w:bCs/>
          <w:sz w:val="24"/>
          <w:szCs w:val="24"/>
          <w:lang w:val="en"/>
        </w:rPr>
        <w:t xml:space="preserve">in practice </w:t>
      </w:r>
      <w:r w:rsidR="00627CEB" w:rsidRPr="000E0CA0">
        <w:rPr>
          <w:rFonts w:ascii="Times New Roman" w:hAnsi="Times New Roman"/>
          <w:bCs/>
          <w:sz w:val="24"/>
          <w:szCs w:val="24"/>
          <w:lang w:val="en"/>
        </w:rPr>
        <w:t xml:space="preserve">to adopt an effective scheme of protection for national cultural treasures </w:t>
      </w:r>
      <w:r w:rsidR="003216F6" w:rsidRPr="000E0CA0">
        <w:rPr>
          <w:rFonts w:ascii="Times New Roman" w:hAnsi="Times New Roman"/>
          <w:bCs/>
          <w:sz w:val="24"/>
          <w:szCs w:val="24"/>
          <w:lang w:val="en"/>
        </w:rPr>
        <w:t xml:space="preserve">absent </w:t>
      </w:r>
      <w:r w:rsidR="00627CEB" w:rsidRPr="000E0CA0">
        <w:rPr>
          <w:rFonts w:ascii="Times New Roman" w:hAnsi="Times New Roman"/>
          <w:bCs/>
          <w:sz w:val="24"/>
          <w:szCs w:val="24"/>
          <w:lang w:val="en"/>
        </w:rPr>
        <w:t xml:space="preserve">such </w:t>
      </w:r>
      <w:r w:rsidR="003216F6" w:rsidRPr="000E0CA0">
        <w:rPr>
          <w:rFonts w:ascii="Times New Roman" w:hAnsi="Times New Roman"/>
          <w:bCs/>
          <w:sz w:val="24"/>
          <w:szCs w:val="24"/>
          <w:lang w:val="en"/>
        </w:rPr>
        <w:t xml:space="preserve">administrative notification and licensing </w:t>
      </w:r>
      <w:r w:rsidR="00627CEB" w:rsidRPr="000E0CA0">
        <w:rPr>
          <w:rFonts w:ascii="Times New Roman" w:hAnsi="Times New Roman"/>
          <w:bCs/>
          <w:sz w:val="24"/>
          <w:szCs w:val="24"/>
          <w:lang w:val="en"/>
        </w:rPr>
        <w:t xml:space="preserve">arrangements. </w:t>
      </w:r>
    </w:p>
    <w:p w14:paraId="1A9C00E0" w14:textId="77777777" w:rsidR="00EA7DB0" w:rsidRPr="000E0CA0" w:rsidRDefault="00EA7DB0" w:rsidP="002D37BA">
      <w:pPr>
        <w:pStyle w:val="ListParagraph"/>
        <w:spacing w:line="240" w:lineRule="auto"/>
        <w:rPr>
          <w:rFonts w:ascii="Times New Roman" w:hAnsi="Times New Roman"/>
          <w:bCs/>
          <w:sz w:val="24"/>
          <w:szCs w:val="24"/>
          <w:lang w:val="en"/>
        </w:rPr>
      </w:pPr>
    </w:p>
    <w:p w14:paraId="6DDA41C7" w14:textId="77777777" w:rsidR="009D2C1C" w:rsidRPr="009D2C1C" w:rsidRDefault="000B2C28" w:rsidP="002D37BA">
      <w:pPr>
        <w:pStyle w:val="ListParagraph"/>
        <w:numPr>
          <w:ilvl w:val="0"/>
          <w:numId w:val="26"/>
        </w:numPr>
        <w:spacing w:after="0" w:line="240" w:lineRule="auto"/>
        <w:ind w:hanging="513"/>
        <w:jc w:val="both"/>
        <w:rPr>
          <w:rFonts w:ascii="Times New Roman" w:hAnsi="Times New Roman"/>
          <w:b/>
          <w:i/>
          <w:iCs/>
          <w:sz w:val="24"/>
          <w:szCs w:val="24"/>
        </w:rPr>
      </w:pPr>
      <w:r w:rsidRPr="009D2C1C">
        <w:rPr>
          <w:rFonts w:ascii="Times New Roman" w:hAnsi="Times New Roman"/>
          <w:b/>
          <w:i/>
          <w:iCs/>
          <w:sz w:val="24"/>
          <w:szCs w:val="24"/>
        </w:rPr>
        <w:t>Analysis</w:t>
      </w:r>
      <w:r w:rsidR="00421253" w:rsidRPr="009D2C1C">
        <w:rPr>
          <w:rFonts w:ascii="Times New Roman" w:hAnsi="Times New Roman"/>
          <w:b/>
          <w:i/>
          <w:iCs/>
          <w:sz w:val="24"/>
          <w:szCs w:val="24"/>
        </w:rPr>
        <w:t xml:space="preserve">: </w:t>
      </w:r>
      <w:r w:rsidR="009D2C1C" w:rsidRPr="009D2C1C">
        <w:rPr>
          <w:rFonts w:ascii="Times New Roman" w:hAnsi="Times New Roman"/>
          <w:b/>
          <w:i/>
          <w:iCs/>
          <w:sz w:val="24"/>
          <w:szCs w:val="24"/>
        </w:rPr>
        <w:t xml:space="preserve">Comity / mutual trust / judicial circumspection and vigilance  </w:t>
      </w:r>
    </w:p>
    <w:p w14:paraId="691A562B" w14:textId="77777777" w:rsidR="00EA7DB0" w:rsidRPr="000E0CA0" w:rsidRDefault="00EA7DB0" w:rsidP="002D37BA">
      <w:pPr>
        <w:pStyle w:val="ListParagraph"/>
        <w:spacing w:after="0" w:line="240" w:lineRule="auto"/>
        <w:ind w:left="360"/>
        <w:jc w:val="both"/>
        <w:rPr>
          <w:rFonts w:ascii="Times New Roman" w:hAnsi="Times New Roman"/>
          <w:bCs/>
          <w:i/>
          <w:iCs/>
          <w:sz w:val="24"/>
          <w:szCs w:val="24"/>
        </w:rPr>
      </w:pPr>
    </w:p>
    <w:p w14:paraId="32689899" w14:textId="77777777" w:rsidR="00C104D6" w:rsidRPr="000E0CA0" w:rsidRDefault="00C104D6" w:rsidP="002D37BA">
      <w:pPr>
        <w:pStyle w:val="ListParagraph"/>
        <w:numPr>
          <w:ilvl w:val="0"/>
          <w:numId w:val="13"/>
        </w:numPr>
        <w:spacing w:after="0" w:line="240" w:lineRule="auto"/>
        <w:ind w:left="567" w:hanging="567"/>
        <w:jc w:val="both"/>
        <w:rPr>
          <w:rFonts w:ascii="Times New Roman" w:hAnsi="Times New Roman"/>
          <w:bCs/>
          <w:sz w:val="24"/>
          <w:szCs w:val="24"/>
        </w:rPr>
      </w:pPr>
      <w:r w:rsidRPr="000E0CA0">
        <w:rPr>
          <w:rFonts w:ascii="Times New Roman" w:hAnsi="Times New Roman"/>
          <w:bCs/>
          <w:sz w:val="24"/>
          <w:szCs w:val="24"/>
        </w:rPr>
        <w:t xml:space="preserve">I propose to deal with the issue in the following way.  First, I will deal with the question whether international comity, or any equivalent doctrine of domestic or EU law </w:t>
      </w:r>
      <w:r w:rsidR="000410F5" w:rsidRPr="000E0CA0">
        <w:rPr>
          <w:rFonts w:ascii="Times New Roman" w:hAnsi="Times New Roman"/>
          <w:bCs/>
          <w:sz w:val="24"/>
          <w:szCs w:val="24"/>
        </w:rPr>
        <w:t>(such as mutual trust)</w:t>
      </w:r>
      <w:r w:rsidR="003216F6" w:rsidRPr="000E0CA0">
        <w:rPr>
          <w:rFonts w:ascii="Times New Roman" w:hAnsi="Times New Roman"/>
          <w:bCs/>
          <w:sz w:val="24"/>
          <w:szCs w:val="24"/>
        </w:rPr>
        <w:t>,</w:t>
      </w:r>
      <w:r w:rsidR="000410F5" w:rsidRPr="000E0CA0">
        <w:rPr>
          <w:rFonts w:ascii="Times New Roman" w:hAnsi="Times New Roman"/>
          <w:bCs/>
          <w:sz w:val="24"/>
          <w:szCs w:val="24"/>
        </w:rPr>
        <w:t xml:space="preserve"> </w:t>
      </w:r>
      <w:r w:rsidRPr="000E0CA0">
        <w:rPr>
          <w:rFonts w:ascii="Times New Roman" w:hAnsi="Times New Roman"/>
          <w:bCs/>
          <w:sz w:val="24"/>
          <w:szCs w:val="24"/>
        </w:rPr>
        <w:t xml:space="preserve">precludes this court from ruling upon the legality of Italian law. </w:t>
      </w:r>
      <w:r w:rsidR="004D0669" w:rsidRPr="000E0CA0">
        <w:rPr>
          <w:rFonts w:ascii="Times New Roman" w:hAnsi="Times New Roman"/>
          <w:bCs/>
          <w:sz w:val="24"/>
          <w:szCs w:val="24"/>
        </w:rPr>
        <w:t xml:space="preserve">This issue entails considering, albeit relatively briefly, the issue of a reference to the Court of </w:t>
      </w:r>
      <w:r w:rsidR="00952F13">
        <w:rPr>
          <w:rFonts w:ascii="Times New Roman" w:hAnsi="Times New Roman"/>
          <w:bCs/>
          <w:sz w:val="24"/>
          <w:szCs w:val="24"/>
        </w:rPr>
        <w:t>J</w:t>
      </w:r>
      <w:r w:rsidR="004D0669" w:rsidRPr="000E0CA0">
        <w:rPr>
          <w:rFonts w:ascii="Times New Roman" w:hAnsi="Times New Roman"/>
          <w:bCs/>
          <w:sz w:val="24"/>
          <w:szCs w:val="24"/>
        </w:rPr>
        <w:t xml:space="preserve">ustice. </w:t>
      </w:r>
      <w:r w:rsidRPr="000E0CA0">
        <w:rPr>
          <w:rFonts w:ascii="Times New Roman" w:hAnsi="Times New Roman"/>
          <w:bCs/>
          <w:sz w:val="24"/>
          <w:szCs w:val="24"/>
        </w:rPr>
        <w:t xml:space="preserve"> Second, I will deal with the</w:t>
      </w:r>
      <w:r w:rsidR="0052112C" w:rsidRPr="000E0CA0">
        <w:rPr>
          <w:rFonts w:ascii="Times New Roman" w:hAnsi="Times New Roman"/>
          <w:bCs/>
          <w:sz w:val="24"/>
          <w:szCs w:val="24"/>
        </w:rPr>
        <w:t xml:space="preserve"> substantive </w:t>
      </w:r>
      <w:r w:rsidRPr="000E0CA0">
        <w:rPr>
          <w:rFonts w:ascii="Times New Roman" w:hAnsi="Times New Roman"/>
          <w:bCs/>
          <w:sz w:val="24"/>
          <w:szCs w:val="24"/>
        </w:rPr>
        <w:t xml:space="preserve">merits of the complaint. </w:t>
      </w:r>
    </w:p>
    <w:p w14:paraId="71B2EB6A" w14:textId="77777777" w:rsidR="00E13C54" w:rsidRPr="000E0CA0" w:rsidRDefault="00E13C54" w:rsidP="002D37BA">
      <w:pPr>
        <w:pStyle w:val="ListParagraph"/>
        <w:spacing w:after="0" w:line="240" w:lineRule="auto"/>
        <w:jc w:val="both"/>
        <w:rPr>
          <w:rFonts w:ascii="Times New Roman" w:hAnsi="Times New Roman"/>
          <w:bCs/>
          <w:i/>
          <w:iCs/>
          <w:sz w:val="24"/>
          <w:szCs w:val="24"/>
        </w:rPr>
      </w:pPr>
    </w:p>
    <w:p w14:paraId="77FE266F" w14:textId="77777777" w:rsidR="004D0669" w:rsidRPr="000E0CA0" w:rsidRDefault="00C104D6" w:rsidP="002D37BA">
      <w:pPr>
        <w:pStyle w:val="ListParagraph"/>
        <w:numPr>
          <w:ilvl w:val="0"/>
          <w:numId w:val="13"/>
        </w:numPr>
        <w:spacing w:after="0" w:line="240" w:lineRule="auto"/>
        <w:ind w:left="567" w:hanging="567"/>
        <w:jc w:val="both"/>
        <w:rPr>
          <w:rFonts w:ascii="Times New Roman" w:hAnsi="Times New Roman"/>
          <w:bCs/>
          <w:sz w:val="24"/>
          <w:szCs w:val="24"/>
        </w:rPr>
      </w:pPr>
      <w:r w:rsidRPr="000E0CA0">
        <w:rPr>
          <w:rFonts w:ascii="Times New Roman" w:hAnsi="Times New Roman"/>
          <w:bCs/>
          <w:sz w:val="24"/>
          <w:szCs w:val="24"/>
        </w:rPr>
        <w:t>I star</w:t>
      </w:r>
      <w:r w:rsidR="001662BB" w:rsidRPr="000E0CA0">
        <w:rPr>
          <w:rFonts w:ascii="Times New Roman" w:hAnsi="Times New Roman"/>
          <w:bCs/>
          <w:sz w:val="24"/>
          <w:szCs w:val="24"/>
        </w:rPr>
        <w:t>t</w:t>
      </w:r>
      <w:r w:rsidRPr="000E0CA0">
        <w:rPr>
          <w:rFonts w:ascii="Times New Roman" w:hAnsi="Times New Roman"/>
          <w:bCs/>
          <w:sz w:val="24"/>
          <w:szCs w:val="24"/>
        </w:rPr>
        <w:t xml:space="preserve"> </w:t>
      </w:r>
      <w:r w:rsidR="007D0352" w:rsidRPr="000E0CA0">
        <w:rPr>
          <w:rFonts w:ascii="Times New Roman" w:hAnsi="Times New Roman"/>
          <w:bCs/>
          <w:sz w:val="24"/>
          <w:szCs w:val="24"/>
        </w:rPr>
        <w:t xml:space="preserve">by considering the approach that the domestic courts should adopt towards a ground which invites this court to declare inapplicable the laws of a third Member State. </w:t>
      </w:r>
      <w:r w:rsidR="004D0669" w:rsidRPr="000E0CA0">
        <w:rPr>
          <w:rFonts w:ascii="Times New Roman" w:hAnsi="Times New Roman"/>
          <w:bCs/>
          <w:sz w:val="24"/>
          <w:szCs w:val="24"/>
        </w:rPr>
        <w:t xml:space="preserve">As to this the parties agree that the court </w:t>
      </w:r>
      <w:r w:rsidR="004D0669" w:rsidRPr="000E0CA0">
        <w:rPr>
          <w:rFonts w:ascii="Times New Roman" w:hAnsi="Times New Roman"/>
          <w:bCs/>
          <w:i/>
          <w:iCs/>
          <w:sz w:val="24"/>
          <w:szCs w:val="24"/>
        </w:rPr>
        <w:t>does</w:t>
      </w:r>
      <w:r w:rsidR="004D0669" w:rsidRPr="000E0CA0">
        <w:rPr>
          <w:rFonts w:ascii="Times New Roman" w:hAnsi="Times New Roman"/>
          <w:bCs/>
          <w:sz w:val="24"/>
          <w:szCs w:val="24"/>
        </w:rPr>
        <w:t xml:space="preserve"> have the jurisdiction to </w:t>
      </w:r>
      <w:r w:rsidR="007D0352" w:rsidRPr="000E0CA0">
        <w:rPr>
          <w:rFonts w:ascii="Times New Roman" w:hAnsi="Times New Roman"/>
          <w:bCs/>
          <w:sz w:val="24"/>
          <w:szCs w:val="24"/>
        </w:rPr>
        <w:t xml:space="preserve">so act. </w:t>
      </w:r>
      <w:r w:rsidR="004D0669" w:rsidRPr="000E0CA0">
        <w:rPr>
          <w:rFonts w:ascii="Times New Roman" w:hAnsi="Times New Roman"/>
          <w:bCs/>
          <w:sz w:val="24"/>
          <w:szCs w:val="24"/>
        </w:rPr>
        <w:t xml:space="preserve"> Nonetheless</w:t>
      </w:r>
      <w:r w:rsidR="00EB60C6" w:rsidRPr="000E0CA0">
        <w:rPr>
          <w:rFonts w:ascii="Times New Roman" w:hAnsi="Times New Roman"/>
          <w:bCs/>
          <w:sz w:val="24"/>
          <w:szCs w:val="24"/>
        </w:rPr>
        <w:t>,</w:t>
      </w:r>
      <w:r w:rsidR="004D0669" w:rsidRPr="000E0CA0">
        <w:rPr>
          <w:rFonts w:ascii="Times New Roman" w:hAnsi="Times New Roman"/>
          <w:bCs/>
          <w:sz w:val="24"/>
          <w:szCs w:val="24"/>
        </w:rPr>
        <w:t xml:space="preserve"> the issue is </w:t>
      </w:r>
      <w:r w:rsidR="007D0352" w:rsidRPr="000E0CA0">
        <w:rPr>
          <w:rFonts w:ascii="Times New Roman" w:hAnsi="Times New Roman"/>
          <w:bCs/>
          <w:sz w:val="24"/>
          <w:szCs w:val="24"/>
        </w:rPr>
        <w:t xml:space="preserve">far from </w:t>
      </w:r>
      <w:r w:rsidR="004D0669" w:rsidRPr="000E0CA0">
        <w:rPr>
          <w:rFonts w:ascii="Times New Roman" w:hAnsi="Times New Roman"/>
          <w:bCs/>
          <w:sz w:val="24"/>
          <w:szCs w:val="24"/>
        </w:rPr>
        <w:t>straightforward</w:t>
      </w:r>
      <w:r w:rsidR="00F02B9D" w:rsidRPr="000E0CA0">
        <w:rPr>
          <w:rFonts w:ascii="Times New Roman" w:hAnsi="Times New Roman"/>
          <w:bCs/>
          <w:sz w:val="24"/>
          <w:szCs w:val="24"/>
        </w:rPr>
        <w:t xml:space="preserve"> and involves a difficult balancing act between comity and mutual trust, on the one hand, and direct effect and supremacy on the other. </w:t>
      </w:r>
    </w:p>
    <w:p w14:paraId="6C1563F0" w14:textId="77777777" w:rsidR="004D0669" w:rsidRPr="000E0CA0" w:rsidRDefault="004D0669" w:rsidP="002D37BA">
      <w:pPr>
        <w:pStyle w:val="ListParagraph"/>
        <w:spacing w:after="0" w:line="240" w:lineRule="auto"/>
        <w:ind w:left="360"/>
        <w:jc w:val="both"/>
        <w:rPr>
          <w:rFonts w:ascii="Times New Roman" w:hAnsi="Times New Roman"/>
          <w:bCs/>
          <w:sz w:val="24"/>
          <w:szCs w:val="24"/>
        </w:rPr>
      </w:pPr>
    </w:p>
    <w:p w14:paraId="0BA7D285" w14:textId="0D43AE67" w:rsidR="007738F9" w:rsidRPr="000E0CA0" w:rsidRDefault="007D0352" w:rsidP="002D37BA">
      <w:pPr>
        <w:pStyle w:val="ListParagraph"/>
        <w:numPr>
          <w:ilvl w:val="0"/>
          <w:numId w:val="13"/>
        </w:numPr>
        <w:spacing w:after="0" w:line="240" w:lineRule="auto"/>
        <w:ind w:left="567" w:hanging="567"/>
        <w:contextualSpacing w:val="0"/>
        <w:jc w:val="both"/>
        <w:rPr>
          <w:rFonts w:ascii="Times New Roman" w:hAnsi="Times New Roman"/>
          <w:bCs/>
          <w:sz w:val="24"/>
          <w:szCs w:val="24"/>
          <w:lang w:val="en"/>
        </w:rPr>
      </w:pPr>
      <w:r w:rsidRPr="000E0CA0">
        <w:rPr>
          <w:rFonts w:ascii="Times New Roman" w:hAnsi="Times New Roman"/>
          <w:bCs/>
          <w:sz w:val="24"/>
          <w:szCs w:val="24"/>
        </w:rPr>
        <w:t>Under</w:t>
      </w:r>
      <w:r w:rsidR="000410F5" w:rsidRPr="000E0CA0">
        <w:rPr>
          <w:rFonts w:ascii="Times New Roman" w:hAnsi="Times New Roman"/>
          <w:bCs/>
          <w:sz w:val="24"/>
          <w:szCs w:val="24"/>
        </w:rPr>
        <w:t xml:space="preserve"> the doctrine of supremacy of EU law </w:t>
      </w:r>
      <w:r w:rsidRPr="000E0CA0">
        <w:rPr>
          <w:rFonts w:ascii="Times New Roman" w:hAnsi="Times New Roman"/>
          <w:bCs/>
          <w:sz w:val="24"/>
          <w:szCs w:val="24"/>
        </w:rPr>
        <w:t xml:space="preserve">(preserved during the IP – see paragraphs </w:t>
      </w:r>
      <w:r w:rsidR="009D2C1C">
        <w:rPr>
          <w:rFonts w:ascii="Times New Roman" w:hAnsi="Times New Roman"/>
          <w:bCs/>
          <w:sz w:val="24"/>
          <w:szCs w:val="24"/>
        </w:rPr>
        <w:t>[9] - [11] a</w:t>
      </w:r>
      <w:r w:rsidRPr="000E0CA0">
        <w:rPr>
          <w:rFonts w:ascii="Times New Roman" w:hAnsi="Times New Roman"/>
          <w:bCs/>
          <w:sz w:val="24"/>
          <w:szCs w:val="24"/>
        </w:rPr>
        <w:t xml:space="preserve">bove) </w:t>
      </w:r>
      <w:r w:rsidR="000410F5" w:rsidRPr="000E0CA0">
        <w:rPr>
          <w:rFonts w:ascii="Times New Roman" w:hAnsi="Times New Roman"/>
          <w:bCs/>
          <w:sz w:val="24"/>
          <w:szCs w:val="24"/>
        </w:rPr>
        <w:t xml:space="preserve">national courts are obliged to give effect to superior </w:t>
      </w:r>
      <w:r w:rsidR="00E13C54" w:rsidRPr="000E0CA0">
        <w:rPr>
          <w:rFonts w:ascii="Times New Roman" w:hAnsi="Times New Roman"/>
          <w:bCs/>
          <w:sz w:val="24"/>
          <w:szCs w:val="24"/>
        </w:rPr>
        <w:t xml:space="preserve">EU </w:t>
      </w:r>
      <w:r w:rsidR="000410F5" w:rsidRPr="000E0CA0">
        <w:rPr>
          <w:rFonts w:ascii="Times New Roman" w:hAnsi="Times New Roman"/>
          <w:bCs/>
          <w:sz w:val="24"/>
          <w:szCs w:val="24"/>
        </w:rPr>
        <w:t xml:space="preserve">norms and if needs be declare inapplicable inconsistent domestic law. </w:t>
      </w:r>
      <w:r w:rsidR="005D6D86" w:rsidRPr="000E0CA0">
        <w:rPr>
          <w:rFonts w:ascii="Times New Roman" w:hAnsi="Times New Roman"/>
          <w:bCs/>
          <w:sz w:val="24"/>
          <w:szCs w:val="24"/>
        </w:rPr>
        <w:t xml:space="preserve">The prohibition in </w:t>
      </w:r>
      <w:r w:rsidR="00F02B9D" w:rsidRPr="000E0CA0">
        <w:rPr>
          <w:rFonts w:ascii="Times New Roman" w:hAnsi="Times New Roman"/>
          <w:bCs/>
          <w:sz w:val="24"/>
          <w:szCs w:val="24"/>
        </w:rPr>
        <w:t>Article 3</w:t>
      </w:r>
      <w:r w:rsidR="00EB60C6" w:rsidRPr="000E0CA0">
        <w:rPr>
          <w:rFonts w:ascii="Times New Roman" w:hAnsi="Times New Roman"/>
          <w:bCs/>
          <w:sz w:val="24"/>
          <w:szCs w:val="24"/>
        </w:rPr>
        <w:t>5</w:t>
      </w:r>
      <w:r w:rsidR="00F02B9D" w:rsidRPr="000E0CA0">
        <w:rPr>
          <w:rFonts w:ascii="Times New Roman" w:hAnsi="Times New Roman"/>
          <w:bCs/>
          <w:sz w:val="24"/>
          <w:szCs w:val="24"/>
        </w:rPr>
        <w:t xml:space="preserve"> </w:t>
      </w:r>
      <w:r w:rsidR="005D6D86" w:rsidRPr="000E0CA0">
        <w:rPr>
          <w:rFonts w:ascii="Times New Roman" w:hAnsi="Times New Roman"/>
          <w:bCs/>
          <w:sz w:val="24"/>
          <w:szCs w:val="24"/>
        </w:rPr>
        <w:t xml:space="preserve">TFEU </w:t>
      </w:r>
      <w:r w:rsidR="00F02B9D" w:rsidRPr="000E0CA0">
        <w:rPr>
          <w:rFonts w:ascii="Times New Roman" w:hAnsi="Times New Roman"/>
          <w:bCs/>
          <w:sz w:val="24"/>
          <w:szCs w:val="24"/>
        </w:rPr>
        <w:t>has direct effect (also preserved during the IP) and is therefore capable of being relied upon</w:t>
      </w:r>
      <w:r w:rsidR="00EB60C6" w:rsidRPr="000E0CA0">
        <w:rPr>
          <w:rFonts w:ascii="Times New Roman" w:hAnsi="Times New Roman"/>
          <w:bCs/>
          <w:sz w:val="24"/>
          <w:szCs w:val="24"/>
        </w:rPr>
        <w:t xml:space="preserve"> before </w:t>
      </w:r>
      <w:r w:rsidR="009D2C1C">
        <w:rPr>
          <w:rFonts w:ascii="Times New Roman" w:hAnsi="Times New Roman"/>
          <w:bCs/>
          <w:sz w:val="24"/>
          <w:szCs w:val="24"/>
        </w:rPr>
        <w:t xml:space="preserve">the courts </w:t>
      </w:r>
      <w:r w:rsidR="00F02B9D" w:rsidRPr="000E0CA0">
        <w:rPr>
          <w:rFonts w:ascii="Times New Roman" w:hAnsi="Times New Roman"/>
          <w:bCs/>
          <w:sz w:val="24"/>
          <w:szCs w:val="24"/>
        </w:rPr>
        <w:t>to set aside inconsistent national law.</w:t>
      </w:r>
      <w:r w:rsidR="00EB60C6" w:rsidRPr="000E0CA0">
        <w:rPr>
          <w:rFonts w:ascii="Times New Roman" w:hAnsi="Times New Roman"/>
          <w:bCs/>
          <w:sz w:val="24"/>
          <w:szCs w:val="24"/>
        </w:rPr>
        <w:t xml:space="preserve">  </w:t>
      </w:r>
      <w:r w:rsidR="000A60BC" w:rsidRPr="000E0CA0">
        <w:rPr>
          <w:rFonts w:ascii="Times New Roman" w:hAnsi="Times New Roman"/>
          <w:bCs/>
          <w:sz w:val="24"/>
          <w:szCs w:val="24"/>
        </w:rPr>
        <w:t xml:space="preserve">In the ordinary course such powers </w:t>
      </w:r>
      <w:r w:rsidR="00F02B9D" w:rsidRPr="000E0CA0">
        <w:rPr>
          <w:rFonts w:ascii="Times New Roman" w:hAnsi="Times New Roman"/>
          <w:bCs/>
          <w:sz w:val="24"/>
          <w:szCs w:val="24"/>
        </w:rPr>
        <w:t xml:space="preserve">are </w:t>
      </w:r>
      <w:r w:rsidR="000A60BC" w:rsidRPr="000E0CA0">
        <w:rPr>
          <w:rFonts w:ascii="Times New Roman" w:hAnsi="Times New Roman"/>
          <w:bCs/>
          <w:sz w:val="24"/>
          <w:szCs w:val="24"/>
        </w:rPr>
        <w:t xml:space="preserve">exercised by the courts of the state whose legislation is being challenged. </w:t>
      </w:r>
      <w:r w:rsidR="003216F6" w:rsidRPr="000E0CA0">
        <w:rPr>
          <w:rFonts w:ascii="Times New Roman" w:hAnsi="Times New Roman"/>
          <w:bCs/>
          <w:sz w:val="24"/>
          <w:szCs w:val="24"/>
        </w:rPr>
        <w:t xml:space="preserve">In the present case </w:t>
      </w:r>
      <w:r w:rsidR="00F02B9D" w:rsidRPr="000E0CA0">
        <w:rPr>
          <w:rFonts w:ascii="Times New Roman" w:hAnsi="Times New Roman"/>
          <w:bCs/>
          <w:sz w:val="24"/>
          <w:szCs w:val="24"/>
        </w:rPr>
        <w:t xml:space="preserve">the invitation is to declare inapplicable a foreign law.  Since </w:t>
      </w:r>
      <w:r w:rsidR="000A60BC" w:rsidRPr="000E0CA0">
        <w:rPr>
          <w:rFonts w:ascii="Times New Roman" w:hAnsi="Times New Roman"/>
          <w:bCs/>
          <w:sz w:val="24"/>
          <w:szCs w:val="24"/>
        </w:rPr>
        <w:t>all the courts of the EU a</w:t>
      </w:r>
      <w:r w:rsidR="003216F6" w:rsidRPr="000E0CA0">
        <w:rPr>
          <w:rFonts w:ascii="Times New Roman" w:hAnsi="Times New Roman"/>
          <w:bCs/>
          <w:sz w:val="24"/>
          <w:szCs w:val="24"/>
        </w:rPr>
        <w:t>r</w:t>
      </w:r>
      <w:r w:rsidR="000A60BC" w:rsidRPr="000E0CA0">
        <w:rPr>
          <w:rFonts w:ascii="Times New Roman" w:hAnsi="Times New Roman"/>
          <w:bCs/>
          <w:sz w:val="24"/>
          <w:szCs w:val="24"/>
        </w:rPr>
        <w:t xml:space="preserve">e competent to apply the supremacy doctrine there is nothing in principle which precludes </w:t>
      </w:r>
      <w:r w:rsidR="00F02B9D" w:rsidRPr="000E0CA0">
        <w:rPr>
          <w:rFonts w:ascii="Times New Roman" w:hAnsi="Times New Roman"/>
          <w:bCs/>
          <w:sz w:val="24"/>
          <w:szCs w:val="24"/>
        </w:rPr>
        <w:t xml:space="preserve">such an outcome. </w:t>
      </w:r>
      <w:r w:rsidR="000A60BC" w:rsidRPr="000E0CA0">
        <w:rPr>
          <w:rFonts w:ascii="Times New Roman" w:hAnsi="Times New Roman"/>
          <w:bCs/>
          <w:sz w:val="24"/>
          <w:szCs w:val="24"/>
        </w:rPr>
        <w:t xml:space="preserve">Nonetheless, the prospect is potentially </w:t>
      </w:r>
      <w:r w:rsidR="00EB60C6" w:rsidRPr="000E0CA0">
        <w:rPr>
          <w:rFonts w:ascii="Times New Roman" w:hAnsi="Times New Roman"/>
          <w:bCs/>
          <w:sz w:val="24"/>
          <w:szCs w:val="24"/>
        </w:rPr>
        <w:t xml:space="preserve">controversial </w:t>
      </w:r>
      <w:r w:rsidR="000A60BC" w:rsidRPr="000E0CA0">
        <w:rPr>
          <w:rFonts w:ascii="Times New Roman" w:hAnsi="Times New Roman"/>
          <w:bCs/>
          <w:sz w:val="24"/>
          <w:szCs w:val="24"/>
        </w:rPr>
        <w:t xml:space="preserve">for obvious reasons. The </w:t>
      </w:r>
      <w:r w:rsidR="00EB60C6" w:rsidRPr="000E0CA0">
        <w:rPr>
          <w:rFonts w:ascii="Times New Roman" w:hAnsi="Times New Roman"/>
          <w:bCs/>
          <w:sz w:val="24"/>
          <w:szCs w:val="24"/>
        </w:rPr>
        <w:t>c</w:t>
      </w:r>
      <w:r w:rsidR="000A60BC" w:rsidRPr="000E0CA0">
        <w:rPr>
          <w:rFonts w:ascii="Times New Roman" w:hAnsi="Times New Roman"/>
          <w:bCs/>
          <w:sz w:val="24"/>
          <w:szCs w:val="24"/>
        </w:rPr>
        <w:t>ourts in Member State A m</w:t>
      </w:r>
      <w:r w:rsidR="00EB60C6" w:rsidRPr="000E0CA0">
        <w:rPr>
          <w:rFonts w:ascii="Times New Roman" w:hAnsi="Times New Roman"/>
          <w:bCs/>
          <w:sz w:val="24"/>
          <w:szCs w:val="24"/>
        </w:rPr>
        <w:t xml:space="preserve">ight </w:t>
      </w:r>
      <w:r w:rsidR="000A60BC" w:rsidRPr="000E0CA0">
        <w:rPr>
          <w:rFonts w:ascii="Times New Roman" w:hAnsi="Times New Roman"/>
          <w:bCs/>
          <w:sz w:val="24"/>
          <w:szCs w:val="24"/>
        </w:rPr>
        <w:t xml:space="preserve">be ill equipped to understand the </w:t>
      </w:r>
      <w:r w:rsidR="003216F6" w:rsidRPr="000E0CA0">
        <w:rPr>
          <w:rFonts w:ascii="Times New Roman" w:hAnsi="Times New Roman"/>
          <w:bCs/>
          <w:sz w:val="24"/>
          <w:szCs w:val="24"/>
        </w:rPr>
        <w:t xml:space="preserve">intricacies of the </w:t>
      </w:r>
      <w:r w:rsidR="000A60BC" w:rsidRPr="000E0CA0">
        <w:rPr>
          <w:rFonts w:ascii="Times New Roman" w:hAnsi="Times New Roman"/>
          <w:bCs/>
          <w:sz w:val="24"/>
          <w:szCs w:val="24"/>
        </w:rPr>
        <w:t>law</w:t>
      </w:r>
      <w:r w:rsidR="00F02B9D" w:rsidRPr="000E0CA0">
        <w:rPr>
          <w:rFonts w:ascii="Times New Roman" w:hAnsi="Times New Roman"/>
          <w:bCs/>
          <w:sz w:val="24"/>
          <w:szCs w:val="24"/>
        </w:rPr>
        <w:t xml:space="preserve"> of Member State B.  They might </w:t>
      </w:r>
      <w:r w:rsidR="000A60BC" w:rsidRPr="000E0CA0">
        <w:rPr>
          <w:rFonts w:ascii="Times New Roman" w:hAnsi="Times New Roman"/>
          <w:bCs/>
          <w:sz w:val="24"/>
          <w:szCs w:val="24"/>
        </w:rPr>
        <w:t>not have before them representat</w:t>
      </w:r>
      <w:r w:rsidR="003216F6" w:rsidRPr="000E0CA0">
        <w:rPr>
          <w:rFonts w:ascii="Times New Roman" w:hAnsi="Times New Roman"/>
          <w:bCs/>
          <w:sz w:val="24"/>
          <w:szCs w:val="24"/>
        </w:rPr>
        <w:t xml:space="preserve">ives </w:t>
      </w:r>
      <w:r w:rsidR="000A60BC" w:rsidRPr="000E0CA0">
        <w:rPr>
          <w:rFonts w:ascii="Times New Roman" w:hAnsi="Times New Roman"/>
          <w:bCs/>
          <w:sz w:val="24"/>
          <w:szCs w:val="24"/>
        </w:rPr>
        <w:t xml:space="preserve">of the authorities from Member State B </w:t>
      </w:r>
      <w:r w:rsidR="00F02B9D" w:rsidRPr="000E0CA0">
        <w:rPr>
          <w:rFonts w:ascii="Times New Roman" w:hAnsi="Times New Roman"/>
          <w:bCs/>
          <w:sz w:val="24"/>
          <w:szCs w:val="24"/>
        </w:rPr>
        <w:t xml:space="preserve">to </w:t>
      </w:r>
      <w:r w:rsidR="000A60BC" w:rsidRPr="000E0CA0">
        <w:rPr>
          <w:rFonts w:ascii="Times New Roman" w:hAnsi="Times New Roman"/>
          <w:bCs/>
          <w:sz w:val="24"/>
          <w:szCs w:val="24"/>
        </w:rPr>
        <w:t xml:space="preserve">give evidence about </w:t>
      </w:r>
      <w:r w:rsidR="003216F6" w:rsidRPr="000E0CA0">
        <w:rPr>
          <w:rFonts w:ascii="Times New Roman" w:hAnsi="Times New Roman"/>
          <w:bCs/>
          <w:sz w:val="24"/>
          <w:szCs w:val="24"/>
        </w:rPr>
        <w:t>their laws</w:t>
      </w:r>
      <w:r w:rsidR="00F02B9D" w:rsidRPr="000E0CA0">
        <w:rPr>
          <w:rFonts w:ascii="Times New Roman" w:hAnsi="Times New Roman"/>
          <w:bCs/>
          <w:sz w:val="24"/>
          <w:szCs w:val="24"/>
        </w:rPr>
        <w:t xml:space="preserve">.  They </w:t>
      </w:r>
      <w:r w:rsidR="000A60BC" w:rsidRPr="000E0CA0">
        <w:rPr>
          <w:rFonts w:ascii="Times New Roman" w:hAnsi="Times New Roman"/>
          <w:bCs/>
          <w:sz w:val="24"/>
          <w:szCs w:val="24"/>
        </w:rPr>
        <w:t xml:space="preserve">might not understand </w:t>
      </w:r>
      <w:r w:rsidR="00F02B9D" w:rsidRPr="000E0CA0">
        <w:rPr>
          <w:rFonts w:ascii="Times New Roman" w:hAnsi="Times New Roman"/>
          <w:bCs/>
          <w:sz w:val="24"/>
          <w:szCs w:val="24"/>
        </w:rPr>
        <w:t xml:space="preserve">applicable </w:t>
      </w:r>
      <w:r w:rsidR="000A60BC" w:rsidRPr="000E0CA0">
        <w:rPr>
          <w:rFonts w:ascii="Times New Roman" w:hAnsi="Times New Roman"/>
          <w:bCs/>
          <w:sz w:val="24"/>
          <w:szCs w:val="24"/>
        </w:rPr>
        <w:t>legislative procedures in Member State B</w:t>
      </w:r>
      <w:r w:rsidR="00F02B9D" w:rsidRPr="000E0CA0">
        <w:rPr>
          <w:rFonts w:ascii="Times New Roman" w:hAnsi="Times New Roman"/>
          <w:bCs/>
          <w:sz w:val="24"/>
          <w:szCs w:val="24"/>
        </w:rPr>
        <w:t xml:space="preserve"> which might hinder </w:t>
      </w:r>
      <w:r w:rsidR="000A60BC" w:rsidRPr="000E0CA0">
        <w:rPr>
          <w:rFonts w:ascii="Times New Roman" w:hAnsi="Times New Roman"/>
          <w:bCs/>
          <w:sz w:val="24"/>
          <w:szCs w:val="24"/>
        </w:rPr>
        <w:t>their ability to measure its lawfulness or proportionality</w:t>
      </w:r>
      <w:r w:rsidR="00F02B9D" w:rsidRPr="000E0CA0">
        <w:rPr>
          <w:rFonts w:ascii="Times New Roman" w:hAnsi="Times New Roman"/>
          <w:bCs/>
          <w:sz w:val="24"/>
          <w:szCs w:val="24"/>
        </w:rPr>
        <w:t xml:space="preserve">.  They might </w:t>
      </w:r>
      <w:r w:rsidR="003216F6" w:rsidRPr="000E0CA0">
        <w:rPr>
          <w:rFonts w:ascii="Times New Roman" w:hAnsi="Times New Roman"/>
          <w:bCs/>
          <w:sz w:val="24"/>
          <w:szCs w:val="24"/>
        </w:rPr>
        <w:t xml:space="preserve">apply principles of interpretation alien to the foreign </w:t>
      </w:r>
      <w:r w:rsidR="009D2C1C">
        <w:rPr>
          <w:rFonts w:ascii="Times New Roman" w:hAnsi="Times New Roman"/>
          <w:bCs/>
          <w:sz w:val="24"/>
          <w:szCs w:val="24"/>
        </w:rPr>
        <w:t xml:space="preserve">system </w:t>
      </w:r>
      <w:r w:rsidR="003216F6" w:rsidRPr="000E0CA0">
        <w:rPr>
          <w:rFonts w:ascii="Times New Roman" w:hAnsi="Times New Roman"/>
          <w:bCs/>
          <w:sz w:val="24"/>
          <w:szCs w:val="24"/>
        </w:rPr>
        <w:t>of law</w:t>
      </w:r>
      <w:r w:rsidR="005D6D86" w:rsidRPr="000E0CA0">
        <w:rPr>
          <w:rFonts w:ascii="Times New Roman" w:hAnsi="Times New Roman"/>
          <w:bCs/>
          <w:sz w:val="24"/>
          <w:szCs w:val="24"/>
        </w:rPr>
        <w:t xml:space="preserve"> which leads to a </w:t>
      </w:r>
      <w:r w:rsidR="005D6D86" w:rsidRPr="000E0CA0">
        <w:rPr>
          <w:rFonts w:ascii="Times New Roman" w:hAnsi="Times New Roman"/>
          <w:bCs/>
          <w:sz w:val="24"/>
          <w:szCs w:val="24"/>
        </w:rPr>
        <w:lastRenderedPageBreak/>
        <w:t>different conclusion about the scope and/or effect of the foreign law</w:t>
      </w:r>
      <w:r w:rsidR="000A60BC" w:rsidRPr="000E0CA0">
        <w:rPr>
          <w:rFonts w:ascii="Times New Roman" w:hAnsi="Times New Roman"/>
          <w:bCs/>
          <w:sz w:val="24"/>
          <w:szCs w:val="24"/>
        </w:rPr>
        <w:t xml:space="preserve">. And if a court does declare a foreign law unlawful that ruling might not apply </w:t>
      </w:r>
      <w:r w:rsidR="000A60BC" w:rsidRPr="000E0CA0">
        <w:rPr>
          <w:rFonts w:ascii="Times New Roman" w:hAnsi="Times New Roman"/>
          <w:bCs/>
          <w:i/>
          <w:iCs/>
          <w:sz w:val="24"/>
          <w:szCs w:val="24"/>
        </w:rPr>
        <w:t>erga omnes</w:t>
      </w:r>
      <w:r w:rsidR="000A60BC" w:rsidRPr="000E0CA0">
        <w:rPr>
          <w:rFonts w:ascii="Times New Roman" w:hAnsi="Times New Roman"/>
          <w:bCs/>
          <w:sz w:val="24"/>
          <w:szCs w:val="24"/>
        </w:rPr>
        <w:t xml:space="preserve"> throughout the EU and might not be capable of being enforced outside Member State A. The difficulties are legion.  </w:t>
      </w:r>
      <w:r w:rsidR="000A60BC" w:rsidRPr="000E0CA0">
        <w:rPr>
          <w:rFonts w:ascii="Times New Roman" w:hAnsi="Times New Roman"/>
          <w:bCs/>
          <w:sz w:val="24"/>
          <w:szCs w:val="24"/>
          <w:lang w:val="en"/>
        </w:rPr>
        <w:t>The Judge recognis</w:t>
      </w:r>
      <w:r w:rsidR="00F02B9D" w:rsidRPr="000E0CA0">
        <w:rPr>
          <w:rFonts w:ascii="Times New Roman" w:hAnsi="Times New Roman"/>
          <w:bCs/>
          <w:sz w:val="24"/>
          <w:szCs w:val="24"/>
          <w:lang w:val="en"/>
        </w:rPr>
        <w:t>ed</w:t>
      </w:r>
      <w:r w:rsidR="000A60BC" w:rsidRPr="000E0CA0">
        <w:rPr>
          <w:rFonts w:ascii="Times New Roman" w:hAnsi="Times New Roman"/>
          <w:bCs/>
          <w:sz w:val="24"/>
          <w:szCs w:val="24"/>
          <w:lang w:val="en"/>
        </w:rPr>
        <w:t xml:space="preserve"> this </w:t>
      </w:r>
      <w:r w:rsidR="00F02B9D" w:rsidRPr="000E0CA0">
        <w:rPr>
          <w:rFonts w:ascii="Times New Roman" w:hAnsi="Times New Roman"/>
          <w:bCs/>
          <w:sz w:val="24"/>
          <w:szCs w:val="24"/>
          <w:lang w:val="en"/>
        </w:rPr>
        <w:t>(</w:t>
      </w:r>
      <w:r w:rsidR="005D6D86" w:rsidRPr="000E0CA0">
        <w:rPr>
          <w:rFonts w:ascii="Times New Roman" w:hAnsi="Times New Roman"/>
          <w:bCs/>
          <w:sz w:val="24"/>
          <w:szCs w:val="24"/>
          <w:lang w:val="en"/>
        </w:rPr>
        <w:t>J</w:t>
      </w:r>
      <w:r w:rsidR="000A60BC" w:rsidRPr="000E0CA0">
        <w:rPr>
          <w:rFonts w:ascii="Times New Roman" w:hAnsi="Times New Roman"/>
          <w:bCs/>
          <w:sz w:val="24"/>
          <w:szCs w:val="24"/>
          <w:lang w:val="en"/>
        </w:rPr>
        <w:t>udgment paragraph [84])</w:t>
      </w:r>
      <w:r w:rsidR="00F02B9D" w:rsidRPr="000E0CA0">
        <w:rPr>
          <w:rFonts w:ascii="Times New Roman" w:hAnsi="Times New Roman"/>
          <w:bCs/>
          <w:sz w:val="24"/>
          <w:szCs w:val="24"/>
          <w:lang w:val="en"/>
        </w:rPr>
        <w:t xml:space="preserve"> </w:t>
      </w:r>
      <w:r w:rsidR="005D6D86" w:rsidRPr="000E0CA0">
        <w:rPr>
          <w:rFonts w:ascii="Times New Roman" w:hAnsi="Times New Roman"/>
          <w:bCs/>
          <w:sz w:val="24"/>
          <w:szCs w:val="24"/>
          <w:lang w:val="en"/>
        </w:rPr>
        <w:t xml:space="preserve">and </w:t>
      </w:r>
      <w:r w:rsidR="007738F9" w:rsidRPr="000E0CA0">
        <w:rPr>
          <w:rFonts w:ascii="Times New Roman" w:hAnsi="Times New Roman"/>
          <w:bCs/>
          <w:sz w:val="24"/>
          <w:szCs w:val="24"/>
          <w:lang w:val="en"/>
        </w:rPr>
        <w:t>observed that a “…</w:t>
      </w:r>
      <w:r w:rsidR="007738F9" w:rsidRPr="000E0CA0">
        <w:rPr>
          <w:rFonts w:ascii="Times New Roman" w:hAnsi="Times New Roman"/>
          <w:bCs/>
          <w:i/>
          <w:sz w:val="24"/>
          <w:szCs w:val="24"/>
        </w:rPr>
        <w:t>domestic court, recognising the principle of comity, will proceed with considerable caution in assessing the legality of another Member State’s laws from an EU perspective</w:t>
      </w:r>
      <w:r w:rsidR="007738F9" w:rsidRPr="000E0CA0">
        <w:rPr>
          <w:rFonts w:ascii="Times New Roman" w:hAnsi="Times New Roman"/>
          <w:bCs/>
          <w:sz w:val="24"/>
          <w:szCs w:val="24"/>
          <w:lang w:val="en"/>
        </w:rPr>
        <w:t>” (Judgment paragraph at [85]).</w:t>
      </w:r>
    </w:p>
    <w:p w14:paraId="4043F42F" w14:textId="77777777" w:rsidR="007738F9" w:rsidRPr="000E0CA0" w:rsidRDefault="007738F9" w:rsidP="002D37BA">
      <w:pPr>
        <w:pStyle w:val="ListParagraph"/>
        <w:spacing w:line="240" w:lineRule="auto"/>
        <w:rPr>
          <w:rFonts w:ascii="Times New Roman" w:hAnsi="Times New Roman"/>
          <w:bCs/>
          <w:sz w:val="24"/>
          <w:szCs w:val="24"/>
        </w:rPr>
      </w:pPr>
    </w:p>
    <w:p w14:paraId="09FB8DF0" w14:textId="055659BF" w:rsidR="007738F9" w:rsidRPr="000E0CA0" w:rsidRDefault="007738F9" w:rsidP="002D37BA">
      <w:pPr>
        <w:pStyle w:val="ListParagraph"/>
        <w:numPr>
          <w:ilvl w:val="0"/>
          <w:numId w:val="13"/>
        </w:numPr>
        <w:spacing w:after="0" w:line="240" w:lineRule="auto"/>
        <w:ind w:left="567" w:hanging="567"/>
        <w:contextualSpacing w:val="0"/>
        <w:jc w:val="both"/>
        <w:rPr>
          <w:rFonts w:ascii="Times New Roman" w:hAnsi="Times New Roman"/>
          <w:bCs/>
          <w:sz w:val="24"/>
          <w:szCs w:val="24"/>
        </w:rPr>
      </w:pPr>
      <w:r w:rsidRPr="000E0CA0">
        <w:rPr>
          <w:rFonts w:ascii="Times New Roman" w:hAnsi="Times New Roman"/>
          <w:bCs/>
          <w:sz w:val="24"/>
          <w:szCs w:val="24"/>
        </w:rPr>
        <w:t xml:space="preserve">The </w:t>
      </w:r>
      <w:r w:rsidR="005D6D86" w:rsidRPr="000E0CA0">
        <w:rPr>
          <w:rFonts w:ascii="Times New Roman" w:hAnsi="Times New Roman"/>
          <w:bCs/>
          <w:sz w:val="24"/>
          <w:szCs w:val="24"/>
        </w:rPr>
        <w:t>R</w:t>
      </w:r>
      <w:r w:rsidRPr="000E0CA0">
        <w:rPr>
          <w:rFonts w:ascii="Times New Roman" w:hAnsi="Times New Roman"/>
          <w:bCs/>
          <w:sz w:val="24"/>
          <w:szCs w:val="24"/>
        </w:rPr>
        <w:t xml:space="preserve">espondent </w:t>
      </w:r>
      <w:r w:rsidR="00F02B9D" w:rsidRPr="000E0CA0">
        <w:rPr>
          <w:rFonts w:ascii="Times New Roman" w:hAnsi="Times New Roman"/>
          <w:bCs/>
          <w:sz w:val="24"/>
          <w:szCs w:val="24"/>
        </w:rPr>
        <w:t xml:space="preserve">cites the principle of the presumption of regularity as between Member States. In </w:t>
      </w:r>
      <w:r w:rsidRPr="000E0CA0">
        <w:rPr>
          <w:rFonts w:ascii="Times New Roman" w:hAnsi="Times New Roman"/>
          <w:bCs/>
          <w:i/>
          <w:iCs/>
          <w:sz w:val="24"/>
          <w:szCs w:val="24"/>
        </w:rPr>
        <w:t>Opinion 2/13 of the Court pursuant to Article 218(1) T</w:t>
      </w:r>
      <w:r w:rsidR="003627D0">
        <w:rPr>
          <w:rFonts w:ascii="Times New Roman" w:hAnsi="Times New Roman"/>
          <w:bCs/>
          <w:i/>
          <w:iCs/>
          <w:sz w:val="24"/>
          <w:szCs w:val="24"/>
        </w:rPr>
        <w:t>F</w:t>
      </w:r>
      <w:r w:rsidRPr="000E0CA0">
        <w:rPr>
          <w:rFonts w:ascii="Times New Roman" w:hAnsi="Times New Roman"/>
          <w:bCs/>
          <w:i/>
          <w:iCs/>
          <w:sz w:val="24"/>
          <w:szCs w:val="24"/>
        </w:rPr>
        <w:t>EU</w:t>
      </w:r>
      <w:r w:rsidRPr="000E0CA0">
        <w:rPr>
          <w:rFonts w:ascii="Times New Roman" w:hAnsi="Times New Roman"/>
          <w:bCs/>
          <w:sz w:val="24"/>
          <w:szCs w:val="24"/>
        </w:rPr>
        <w:t xml:space="preserve"> (18</w:t>
      </w:r>
      <w:r w:rsidRPr="000E0CA0">
        <w:rPr>
          <w:rFonts w:ascii="Times New Roman" w:hAnsi="Times New Roman"/>
          <w:bCs/>
          <w:sz w:val="24"/>
          <w:szCs w:val="24"/>
          <w:vertAlign w:val="superscript"/>
        </w:rPr>
        <w:t>th</w:t>
      </w:r>
      <w:r w:rsidRPr="000E0CA0">
        <w:rPr>
          <w:rFonts w:ascii="Times New Roman" w:hAnsi="Times New Roman"/>
          <w:bCs/>
          <w:sz w:val="24"/>
          <w:szCs w:val="24"/>
        </w:rPr>
        <w:t xml:space="preserve"> October 2014) on the compatibility of the ECHR with EU law </w:t>
      </w:r>
      <w:r w:rsidR="00F02B9D" w:rsidRPr="000E0CA0">
        <w:rPr>
          <w:rFonts w:ascii="Times New Roman" w:hAnsi="Times New Roman"/>
          <w:bCs/>
          <w:sz w:val="24"/>
          <w:szCs w:val="24"/>
        </w:rPr>
        <w:t xml:space="preserve">(at </w:t>
      </w:r>
      <w:r w:rsidRPr="000E0CA0">
        <w:rPr>
          <w:rFonts w:ascii="Times New Roman" w:hAnsi="Times New Roman"/>
          <w:bCs/>
          <w:sz w:val="24"/>
          <w:szCs w:val="24"/>
        </w:rPr>
        <w:t xml:space="preserve">paragraphs </w:t>
      </w:r>
      <w:r w:rsidR="003216F6" w:rsidRPr="000E0CA0">
        <w:rPr>
          <w:rFonts w:ascii="Times New Roman" w:hAnsi="Times New Roman"/>
          <w:bCs/>
          <w:sz w:val="24"/>
          <w:szCs w:val="24"/>
        </w:rPr>
        <w:t>[</w:t>
      </w:r>
      <w:r w:rsidRPr="000E0CA0">
        <w:rPr>
          <w:rFonts w:ascii="Times New Roman" w:hAnsi="Times New Roman"/>
          <w:bCs/>
          <w:sz w:val="24"/>
          <w:szCs w:val="24"/>
        </w:rPr>
        <w:t>191</w:t>
      </w:r>
      <w:r w:rsidR="003216F6" w:rsidRPr="000E0CA0">
        <w:rPr>
          <w:rFonts w:ascii="Times New Roman" w:hAnsi="Times New Roman"/>
          <w:bCs/>
          <w:sz w:val="24"/>
          <w:szCs w:val="24"/>
        </w:rPr>
        <w:t>]</w:t>
      </w:r>
      <w:r w:rsidRPr="000E0CA0">
        <w:rPr>
          <w:rFonts w:ascii="Times New Roman" w:hAnsi="Times New Roman"/>
          <w:bCs/>
          <w:sz w:val="24"/>
          <w:szCs w:val="24"/>
        </w:rPr>
        <w:t xml:space="preserve"> and </w:t>
      </w:r>
      <w:r w:rsidR="003216F6" w:rsidRPr="000E0CA0">
        <w:rPr>
          <w:rFonts w:ascii="Times New Roman" w:hAnsi="Times New Roman"/>
          <w:bCs/>
          <w:sz w:val="24"/>
          <w:szCs w:val="24"/>
        </w:rPr>
        <w:t>[</w:t>
      </w:r>
      <w:r w:rsidRPr="000E0CA0">
        <w:rPr>
          <w:rFonts w:ascii="Times New Roman" w:hAnsi="Times New Roman"/>
          <w:bCs/>
          <w:sz w:val="24"/>
          <w:szCs w:val="24"/>
        </w:rPr>
        <w:t>192</w:t>
      </w:r>
      <w:r w:rsidR="003216F6" w:rsidRPr="000E0CA0">
        <w:rPr>
          <w:rFonts w:ascii="Times New Roman" w:hAnsi="Times New Roman"/>
          <w:bCs/>
          <w:sz w:val="24"/>
          <w:szCs w:val="24"/>
        </w:rPr>
        <w:t>]</w:t>
      </w:r>
      <w:r w:rsidR="00F02B9D" w:rsidRPr="000E0CA0">
        <w:rPr>
          <w:rFonts w:ascii="Times New Roman" w:hAnsi="Times New Roman"/>
          <w:bCs/>
          <w:sz w:val="24"/>
          <w:szCs w:val="24"/>
        </w:rPr>
        <w:t xml:space="preserve">) the Court of Justice emphasised that the “… </w:t>
      </w:r>
      <w:r w:rsidRPr="000E0CA0">
        <w:rPr>
          <w:rFonts w:ascii="Times New Roman" w:hAnsi="Times New Roman"/>
          <w:bCs/>
          <w:i/>
          <w:iCs/>
          <w:sz w:val="24"/>
          <w:szCs w:val="24"/>
        </w:rPr>
        <w:t>principle of mutual trust between the Member States is of fundamental importance in EU law</w:t>
      </w:r>
      <w:r w:rsidR="00F02B9D" w:rsidRPr="000E0CA0">
        <w:rPr>
          <w:rFonts w:ascii="Times New Roman" w:hAnsi="Times New Roman"/>
          <w:bCs/>
          <w:sz w:val="24"/>
          <w:szCs w:val="24"/>
        </w:rPr>
        <w:t>”.  It required that each state “…</w:t>
      </w:r>
      <w:r w:rsidRPr="000E0CA0">
        <w:rPr>
          <w:rFonts w:ascii="Times New Roman" w:hAnsi="Times New Roman"/>
          <w:bCs/>
          <w:sz w:val="24"/>
          <w:szCs w:val="24"/>
        </w:rPr>
        <w:t xml:space="preserve"> </w:t>
      </w:r>
      <w:r w:rsidRPr="000E0CA0">
        <w:rPr>
          <w:rFonts w:ascii="Times New Roman" w:hAnsi="Times New Roman"/>
          <w:bCs/>
          <w:i/>
          <w:iCs/>
          <w:sz w:val="24"/>
          <w:szCs w:val="24"/>
        </w:rPr>
        <w:t xml:space="preserve">save in exceptional circumstances, </w:t>
      </w:r>
      <w:r w:rsidR="00F02B9D" w:rsidRPr="000E0CA0">
        <w:rPr>
          <w:rFonts w:ascii="Times New Roman" w:hAnsi="Times New Roman"/>
          <w:bCs/>
          <w:i/>
          <w:iCs/>
          <w:sz w:val="24"/>
          <w:szCs w:val="24"/>
        </w:rPr>
        <w:t>…</w:t>
      </w:r>
      <w:r w:rsidRPr="000E0CA0">
        <w:rPr>
          <w:rFonts w:ascii="Times New Roman" w:hAnsi="Times New Roman"/>
          <w:bCs/>
          <w:i/>
          <w:iCs/>
          <w:sz w:val="24"/>
          <w:szCs w:val="24"/>
        </w:rPr>
        <w:t xml:space="preserve"> consider all the other Member States to be complying with EU law and particularly with the fundamental rights recognised by EU law</w:t>
      </w:r>
      <w:r w:rsidR="00F02B9D" w:rsidRPr="000E0CA0">
        <w:rPr>
          <w:rFonts w:ascii="Times New Roman" w:hAnsi="Times New Roman"/>
          <w:bCs/>
          <w:sz w:val="24"/>
          <w:szCs w:val="24"/>
        </w:rPr>
        <w:t>”. I</w:t>
      </w:r>
      <w:r w:rsidR="00D26ECE" w:rsidRPr="000E0CA0">
        <w:rPr>
          <w:rFonts w:ascii="Times New Roman" w:hAnsi="Times New Roman"/>
          <w:bCs/>
          <w:sz w:val="24"/>
          <w:szCs w:val="24"/>
        </w:rPr>
        <w:t>n</w:t>
      </w:r>
      <w:r w:rsidR="00F02B9D" w:rsidRPr="000E0CA0">
        <w:rPr>
          <w:rFonts w:ascii="Times New Roman" w:hAnsi="Times New Roman"/>
          <w:bCs/>
          <w:sz w:val="24"/>
          <w:szCs w:val="24"/>
        </w:rPr>
        <w:t xml:space="preserve"> paragraph [192] the Court stated: “… </w:t>
      </w:r>
      <w:r w:rsidRPr="000E0CA0">
        <w:rPr>
          <w:rFonts w:ascii="Times New Roman" w:hAnsi="Times New Roman"/>
          <w:bCs/>
          <w:sz w:val="24"/>
          <w:szCs w:val="24"/>
        </w:rPr>
        <w:t xml:space="preserve"> </w:t>
      </w:r>
      <w:r w:rsidRPr="000E0CA0">
        <w:rPr>
          <w:rFonts w:ascii="Times New Roman" w:hAnsi="Times New Roman"/>
          <w:bCs/>
          <w:i/>
          <w:iCs/>
          <w:sz w:val="24"/>
          <w:szCs w:val="24"/>
        </w:rPr>
        <w:t>when implementing EU law, the Member States may, under EU law, be required to presume that fundamental rights have been observed by the other Member States, so that not only may they not demand a higher level of national protection of fundamental rights from another Member State than that provided by EU law, but, save in exceptional cases, they may not check whether that other Member State has actually, in a specific case, observed the fundamental rights guaranteed by the EU.</w:t>
      </w:r>
      <w:r w:rsidR="00D26ECE" w:rsidRPr="000E0CA0">
        <w:rPr>
          <w:rFonts w:ascii="Times New Roman" w:hAnsi="Times New Roman"/>
          <w:bCs/>
          <w:sz w:val="24"/>
          <w:szCs w:val="24"/>
        </w:rPr>
        <w:t xml:space="preserve">” Although this case concerned fundamental rights the </w:t>
      </w:r>
      <w:r w:rsidR="005D6D86" w:rsidRPr="000E0CA0">
        <w:rPr>
          <w:rFonts w:ascii="Times New Roman" w:hAnsi="Times New Roman"/>
          <w:bCs/>
          <w:sz w:val="24"/>
          <w:szCs w:val="24"/>
        </w:rPr>
        <w:t>R</w:t>
      </w:r>
      <w:r w:rsidR="00D26ECE" w:rsidRPr="000E0CA0">
        <w:rPr>
          <w:rFonts w:ascii="Times New Roman" w:hAnsi="Times New Roman"/>
          <w:bCs/>
          <w:sz w:val="24"/>
          <w:szCs w:val="24"/>
        </w:rPr>
        <w:t xml:space="preserve">espondent argues that it highlights why real reticence is to be applied by courts invited to strike down foreign laws as incompatible with EU law. </w:t>
      </w:r>
    </w:p>
    <w:p w14:paraId="1280E205" w14:textId="77777777" w:rsidR="00AD2718" w:rsidRPr="000E0CA0" w:rsidRDefault="00AD2718" w:rsidP="002D37BA">
      <w:pPr>
        <w:pStyle w:val="ListParagraph"/>
        <w:spacing w:after="0" w:line="240" w:lineRule="auto"/>
        <w:contextualSpacing w:val="0"/>
        <w:jc w:val="both"/>
        <w:rPr>
          <w:rFonts w:ascii="Times New Roman" w:hAnsi="Times New Roman"/>
          <w:bCs/>
          <w:sz w:val="24"/>
          <w:szCs w:val="24"/>
          <w:lang w:val="en"/>
        </w:rPr>
      </w:pPr>
    </w:p>
    <w:p w14:paraId="756B8546" w14:textId="77777777" w:rsidR="007738F9" w:rsidRPr="000E0CA0" w:rsidRDefault="007738F9" w:rsidP="002D37BA">
      <w:pPr>
        <w:pStyle w:val="ListParagraph"/>
        <w:numPr>
          <w:ilvl w:val="0"/>
          <w:numId w:val="13"/>
        </w:numPr>
        <w:spacing w:after="0" w:line="240" w:lineRule="auto"/>
        <w:ind w:left="567" w:hanging="567"/>
        <w:contextualSpacing w:val="0"/>
        <w:jc w:val="both"/>
        <w:rPr>
          <w:rFonts w:ascii="Times New Roman" w:hAnsi="Times New Roman"/>
          <w:bCs/>
          <w:sz w:val="24"/>
          <w:szCs w:val="24"/>
          <w:lang w:val="en"/>
        </w:rPr>
      </w:pPr>
      <w:r w:rsidRPr="000E0CA0">
        <w:rPr>
          <w:rFonts w:ascii="Times New Roman" w:hAnsi="Times New Roman"/>
          <w:bCs/>
          <w:sz w:val="24"/>
          <w:szCs w:val="24"/>
        </w:rPr>
        <w:t>The Appellant does not accept this and argues th</w:t>
      </w:r>
      <w:r w:rsidR="002B21BD" w:rsidRPr="000E0CA0">
        <w:rPr>
          <w:rFonts w:ascii="Times New Roman" w:hAnsi="Times New Roman"/>
          <w:bCs/>
          <w:sz w:val="24"/>
          <w:szCs w:val="24"/>
        </w:rPr>
        <w:t>at</w:t>
      </w:r>
      <w:r w:rsidR="00AD2718" w:rsidRPr="000E0CA0">
        <w:rPr>
          <w:rFonts w:ascii="Times New Roman" w:hAnsi="Times New Roman"/>
          <w:bCs/>
          <w:sz w:val="24"/>
          <w:szCs w:val="24"/>
        </w:rPr>
        <w:t>:</w:t>
      </w:r>
    </w:p>
    <w:p w14:paraId="38E4B5C2" w14:textId="77777777" w:rsidR="00AD2718" w:rsidRPr="000E0CA0" w:rsidRDefault="00AD2718" w:rsidP="002D37BA">
      <w:pPr>
        <w:pStyle w:val="ListParagraph"/>
        <w:spacing w:after="0" w:line="240" w:lineRule="auto"/>
        <w:ind w:left="360"/>
        <w:contextualSpacing w:val="0"/>
        <w:jc w:val="both"/>
        <w:rPr>
          <w:rFonts w:ascii="Times New Roman" w:hAnsi="Times New Roman"/>
          <w:bCs/>
          <w:sz w:val="24"/>
          <w:szCs w:val="24"/>
          <w:lang w:val="en"/>
        </w:rPr>
      </w:pPr>
    </w:p>
    <w:p w14:paraId="391D9989" w14:textId="0C358BF9" w:rsidR="00AD2718" w:rsidRPr="000E0CA0" w:rsidRDefault="00AD2718" w:rsidP="002D37BA">
      <w:pPr>
        <w:pStyle w:val="Quote"/>
        <w:rPr>
          <w:bCs/>
          <w:szCs w:val="24"/>
        </w:rPr>
      </w:pPr>
      <w:r w:rsidRPr="000E0CA0">
        <w:rPr>
          <w:bCs/>
          <w:szCs w:val="24"/>
        </w:rPr>
        <w:t>“…  the obligation placed upon all national court</w:t>
      </w:r>
      <w:r w:rsidR="00D60867">
        <w:rPr>
          <w:bCs/>
          <w:szCs w:val="24"/>
        </w:rPr>
        <w:t>s</w:t>
      </w:r>
      <w:r w:rsidRPr="000E0CA0">
        <w:rPr>
          <w:bCs/>
          <w:szCs w:val="24"/>
        </w:rPr>
        <w:t xml:space="preserve"> and national authorities is to ensure that EU law is applied uniformly across the EU.  Just as an English court does not apply any presumption that English law is compatible with EU law, neither should an English court when faced under the rules of private international law with determining as a matter of fact what Italian law is, assume or presume that Italian law conforms to the requirements of EU law.  The principle of international comity does </w:t>
      </w:r>
      <w:r w:rsidRPr="000E0CA0">
        <w:rPr>
          <w:bCs/>
          <w:i/>
          <w:szCs w:val="24"/>
        </w:rPr>
        <w:t>not</w:t>
      </w:r>
      <w:r w:rsidRPr="000E0CA0">
        <w:rPr>
          <w:bCs/>
          <w:szCs w:val="24"/>
        </w:rPr>
        <w:t xml:space="preserve"> apply within the context of EU law which is a supranational system of law with primacy over contrary national law provisions. Instead </w:t>
      </w:r>
      <w:r w:rsidRPr="000E0CA0">
        <w:rPr>
          <w:bCs/>
          <w:szCs w:val="24"/>
          <w:lang w:eastAsia="en-GB"/>
        </w:rPr>
        <w:t>the application of foreign law and the regular concomitant difficulties of comprehension and interpretation of foreign legal rules cannot give rise to anything that may stand in the way of securing the primacy of EU law.   The primacy of EU law holds true in both the English and the Italian legal systems. Measures of national law that are contrary to EU law cannot be applied. The fact that the law is applied by the court of another Member State does not deprive it of its link to EU law:</w:t>
      </w:r>
      <w:r w:rsidRPr="000E0CA0">
        <w:rPr>
          <w:bCs/>
          <w:i/>
          <w:szCs w:val="24"/>
          <w:lang w:eastAsia="en-GB"/>
        </w:rPr>
        <w:t xml:space="preserve"> </w:t>
      </w:r>
      <w:r w:rsidRPr="000E0CA0">
        <w:rPr>
          <w:bCs/>
          <w:szCs w:val="24"/>
        </w:rPr>
        <w:t xml:space="preserve">Case C-220/01 </w:t>
      </w:r>
      <w:r w:rsidRPr="000E0CA0">
        <w:rPr>
          <w:bCs/>
          <w:i/>
          <w:szCs w:val="24"/>
        </w:rPr>
        <w:t>Lennox v ILCO</w:t>
      </w:r>
      <w:r w:rsidRPr="000E0CA0">
        <w:rPr>
          <w:bCs/>
          <w:szCs w:val="24"/>
        </w:rPr>
        <w:t xml:space="preserve"> EU:C:2002:592 (AG Alber, Opinion 17 October 2002) [2004] 1 CMLR 11 at §§ 83-4.”</w:t>
      </w:r>
    </w:p>
    <w:p w14:paraId="3F97F03D" w14:textId="77777777" w:rsidR="00AD2718" w:rsidRPr="000E0CA0" w:rsidRDefault="00AD2718" w:rsidP="002D37BA">
      <w:pPr>
        <w:pStyle w:val="Quote"/>
        <w:rPr>
          <w:bCs/>
          <w:szCs w:val="24"/>
          <w:lang w:val="en"/>
        </w:rPr>
      </w:pPr>
    </w:p>
    <w:p w14:paraId="42E83B56" w14:textId="279EE265" w:rsidR="002B21BD" w:rsidRPr="000E0CA0" w:rsidRDefault="00AD2718" w:rsidP="002D37BA">
      <w:pPr>
        <w:pStyle w:val="ListParagraph"/>
        <w:numPr>
          <w:ilvl w:val="0"/>
          <w:numId w:val="13"/>
        </w:numPr>
        <w:spacing w:line="240" w:lineRule="auto"/>
        <w:ind w:left="567" w:hanging="567"/>
        <w:jc w:val="both"/>
        <w:rPr>
          <w:rFonts w:ascii="Times New Roman" w:hAnsi="Times New Roman"/>
          <w:bCs/>
          <w:sz w:val="24"/>
          <w:szCs w:val="24"/>
        </w:rPr>
      </w:pPr>
      <w:r w:rsidRPr="000E0CA0">
        <w:rPr>
          <w:rFonts w:ascii="Times New Roman" w:hAnsi="Times New Roman"/>
          <w:bCs/>
          <w:sz w:val="24"/>
          <w:szCs w:val="24"/>
        </w:rPr>
        <w:lastRenderedPageBreak/>
        <w:t xml:space="preserve">In Case C-220/01 </w:t>
      </w:r>
      <w:r w:rsidRPr="000E0CA0">
        <w:rPr>
          <w:rFonts w:ascii="Times New Roman" w:hAnsi="Times New Roman"/>
          <w:bCs/>
          <w:i/>
          <w:iCs/>
          <w:sz w:val="24"/>
          <w:szCs w:val="24"/>
        </w:rPr>
        <w:t xml:space="preserve">Lennox </w:t>
      </w:r>
      <w:r w:rsidRPr="000E0CA0">
        <w:rPr>
          <w:rFonts w:ascii="Times New Roman" w:hAnsi="Times New Roman"/>
          <w:bCs/>
          <w:sz w:val="24"/>
          <w:szCs w:val="24"/>
        </w:rPr>
        <w:t>the Advocate General did indeed, as the Appellant submits, see no fundamental problem with a national court “</w:t>
      </w:r>
      <w:r w:rsidRPr="000E0CA0">
        <w:rPr>
          <w:rFonts w:ascii="Times New Roman" w:hAnsi="Times New Roman"/>
          <w:bCs/>
          <w:i/>
          <w:iCs/>
          <w:sz w:val="24"/>
          <w:szCs w:val="24"/>
        </w:rPr>
        <w:t>assessing the national provisions of a Member State other than that of the referring court</w:t>
      </w:r>
      <w:r w:rsidRPr="000E0CA0">
        <w:rPr>
          <w:rFonts w:ascii="Times New Roman" w:hAnsi="Times New Roman"/>
          <w:bCs/>
          <w:sz w:val="24"/>
          <w:szCs w:val="24"/>
        </w:rPr>
        <w:t>…” (Opinion paragraph [87]</w:t>
      </w:r>
      <w:r w:rsidR="005D6D86" w:rsidRPr="000E0CA0">
        <w:rPr>
          <w:rFonts w:ascii="Times New Roman" w:hAnsi="Times New Roman"/>
          <w:bCs/>
          <w:sz w:val="24"/>
          <w:szCs w:val="24"/>
        </w:rPr>
        <w:t>)</w:t>
      </w:r>
      <w:r w:rsidR="00EB55BE" w:rsidRPr="000E0CA0">
        <w:rPr>
          <w:rFonts w:ascii="Times New Roman" w:hAnsi="Times New Roman"/>
          <w:bCs/>
          <w:sz w:val="24"/>
          <w:szCs w:val="24"/>
        </w:rPr>
        <w:t>.</w:t>
      </w:r>
      <w:r w:rsidR="00D26ECE" w:rsidRPr="000E0CA0">
        <w:rPr>
          <w:rFonts w:ascii="Times New Roman" w:hAnsi="Times New Roman"/>
          <w:bCs/>
          <w:sz w:val="24"/>
          <w:szCs w:val="24"/>
        </w:rPr>
        <w:t xml:space="preserve"> </w:t>
      </w:r>
      <w:r w:rsidR="002B21BD" w:rsidRPr="000E0CA0">
        <w:rPr>
          <w:rFonts w:ascii="Times New Roman" w:hAnsi="Times New Roman"/>
          <w:bCs/>
          <w:sz w:val="24"/>
          <w:szCs w:val="24"/>
        </w:rPr>
        <w:t xml:space="preserve">However, in </w:t>
      </w:r>
      <w:r w:rsidR="00D26ECE" w:rsidRPr="000E0CA0">
        <w:rPr>
          <w:rFonts w:ascii="Times New Roman" w:hAnsi="Times New Roman"/>
          <w:bCs/>
          <w:sz w:val="24"/>
          <w:szCs w:val="24"/>
        </w:rPr>
        <w:t xml:space="preserve">Case 244/80 </w:t>
      </w:r>
      <w:r w:rsidR="00D26ECE" w:rsidRPr="000E0CA0">
        <w:rPr>
          <w:rFonts w:ascii="Times New Roman" w:hAnsi="Times New Roman"/>
          <w:bCs/>
          <w:i/>
          <w:iCs/>
          <w:sz w:val="24"/>
          <w:szCs w:val="24"/>
        </w:rPr>
        <w:t xml:space="preserve">Foglia </w:t>
      </w:r>
      <w:r w:rsidR="00EB60C6" w:rsidRPr="000E0CA0">
        <w:rPr>
          <w:rFonts w:ascii="Times New Roman" w:hAnsi="Times New Roman"/>
          <w:bCs/>
          <w:i/>
          <w:iCs/>
          <w:sz w:val="24"/>
          <w:szCs w:val="24"/>
        </w:rPr>
        <w:t>v</w:t>
      </w:r>
      <w:r w:rsidR="00D26ECE" w:rsidRPr="000E0CA0">
        <w:rPr>
          <w:rFonts w:ascii="Times New Roman" w:hAnsi="Times New Roman"/>
          <w:bCs/>
          <w:i/>
          <w:iCs/>
          <w:sz w:val="24"/>
          <w:szCs w:val="24"/>
        </w:rPr>
        <w:t xml:space="preserve"> Novell</w:t>
      </w:r>
      <w:r w:rsidR="00BA5757">
        <w:rPr>
          <w:rFonts w:ascii="Times New Roman" w:hAnsi="Times New Roman"/>
          <w:bCs/>
          <w:i/>
          <w:iCs/>
          <w:sz w:val="24"/>
          <w:szCs w:val="24"/>
        </w:rPr>
        <w:t>o</w:t>
      </w:r>
      <w:r w:rsidR="00D26ECE" w:rsidRPr="000E0CA0">
        <w:rPr>
          <w:rFonts w:ascii="Times New Roman" w:hAnsi="Times New Roman"/>
          <w:bCs/>
          <w:sz w:val="24"/>
          <w:szCs w:val="24"/>
        </w:rPr>
        <w:t xml:space="preserve"> [1981] ECR 3045 the Court, whilst acknowledging that a national court could rule upon foreign law and if needs </w:t>
      </w:r>
      <w:r w:rsidR="00BA5757">
        <w:rPr>
          <w:rFonts w:ascii="Times New Roman" w:hAnsi="Times New Roman"/>
          <w:bCs/>
          <w:sz w:val="24"/>
          <w:szCs w:val="24"/>
        </w:rPr>
        <w:t xml:space="preserve">be </w:t>
      </w:r>
      <w:r w:rsidR="00D26ECE" w:rsidRPr="000E0CA0">
        <w:rPr>
          <w:rFonts w:ascii="Times New Roman" w:hAnsi="Times New Roman"/>
          <w:bCs/>
          <w:sz w:val="24"/>
          <w:szCs w:val="24"/>
        </w:rPr>
        <w:t>declare it incompatible with EU law</w:t>
      </w:r>
      <w:r w:rsidR="002B21BD" w:rsidRPr="000E0CA0">
        <w:rPr>
          <w:rFonts w:ascii="Times New Roman" w:hAnsi="Times New Roman"/>
          <w:bCs/>
          <w:sz w:val="24"/>
          <w:szCs w:val="24"/>
        </w:rPr>
        <w:t>,</w:t>
      </w:r>
      <w:r w:rsidR="00D26ECE" w:rsidRPr="000E0CA0">
        <w:rPr>
          <w:rFonts w:ascii="Times New Roman" w:hAnsi="Times New Roman"/>
          <w:bCs/>
          <w:sz w:val="24"/>
          <w:szCs w:val="24"/>
        </w:rPr>
        <w:t xml:space="preserve"> nonetheless emphasised the need for great care. At paragraph [30] the Court, having rehearsed some of the difficulties including the possibili</w:t>
      </w:r>
      <w:r w:rsidR="002B21BD" w:rsidRPr="000E0CA0">
        <w:rPr>
          <w:rFonts w:ascii="Times New Roman" w:hAnsi="Times New Roman"/>
          <w:bCs/>
          <w:sz w:val="24"/>
          <w:szCs w:val="24"/>
        </w:rPr>
        <w:t>ty t</w:t>
      </w:r>
      <w:r w:rsidR="00D26ECE" w:rsidRPr="000E0CA0">
        <w:rPr>
          <w:rFonts w:ascii="Times New Roman" w:hAnsi="Times New Roman"/>
          <w:bCs/>
          <w:sz w:val="24"/>
          <w:szCs w:val="24"/>
        </w:rPr>
        <w:t xml:space="preserve">hat private parties might artificially seek to deploy the reference procedure </w:t>
      </w:r>
      <w:r w:rsidR="002B21BD" w:rsidRPr="000E0CA0">
        <w:rPr>
          <w:rFonts w:ascii="Times New Roman" w:hAnsi="Times New Roman"/>
          <w:bCs/>
          <w:sz w:val="24"/>
          <w:szCs w:val="24"/>
        </w:rPr>
        <w:t xml:space="preserve">to mount a collateral challenge to foreign laws, </w:t>
      </w:r>
      <w:r w:rsidR="00D26ECE" w:rsidRPr="000E0CA0">
        <w:rPr>
          <w:rFonts w:ascii="Times New Roman" w:hAnsi="Times New Roman"/>
          <w:bCs/>
          <w:sz w:val="24"/>
          <w:szCs w:val="24"/>
        </w:rPr>
        <w:t>stated that if a reference was made to it the Court itself would need to “</w:t>
      </w:r>
      <w:r w:rsidR="00D26ECE" w:rsidRPr="000E0CA0">
        <w:rPr>
          <w:rFonts w:ascii="Times New Roman" w:hAnsi="Times New Roman"/>
          <w:bCs/>
          <w:i/>
          <w:iCs/>
          <w:sz w:val="24"/>
          <w:szCs w:val="24"/>
        </w:rPr>
        <w:t>display special vigilance</w:t>
      </w:r>
      <w:r w:rsidR="00D26ECE" w:rsidRPr="000E0CA0">
        <w:rPr>
          <w:rFonts w:ascii="Times New Roman" w:hAnsi="Times New Roman"/>
          <w:bCs/>
          <w:sz w:val="24"/>
          <w:szCs w:val="24"/>
        </w:rPr>
        <w:t xml:space="preserve">”.  </w:t>
      </w:r>
      <w:r w:rsidR="002B21BD" w:rsidRPr="000E0CA0">
        <w:rPr>
          <w:rFonts w:ascii="Times New Roman" w:hAnsi="Times New Roman"/>
          <w:bCs/>
          <w:sz w:val="24"/>
          <w:szCs w:val="24"/>
        </w:rPr>
        <w:t xml:space="preserve">An illustration of the Court exercising </w:t>
      </w:r>
      <w:r w:rsidR="00EB60C6" w:rsidRPr="000E0CA0">
        <w:rPr>
          <w:rFonts w:ascii="Times New Roman" w:hAnsi="Times New Roman"/>
          <w:bCs/>
          <w:sz w:val="24"/>
          <w:szCs w:val="24"/>
        </w:rPr>
        <w:t xml:space="preserve">such </w:t>
      </w:r>
      <w:r w:rsidR="002B21BD" w:rsidRPr="000E0CA0">
        <w:rPr>
          <w:rFonts w:ascii="Times New Roman" w:hAnsi="Times New Roman"/>
          <w:bCs/>
          <w:sz w:val="24"/>
          <w:szCs w:val="24"/>
        </w:rPr>
        <w:t xml:space="preserve">vigilance is Case C-318/00 </w:t>
      </w:r>
      <w:r w:rsidR="002B21BD" w:rsidRPr="000E0CA0">
        <w:rPr>
          <w:rFonts w:ascii="Times New Roman" w:hAnsi="Times New Roman"/>
          <w:bCs/>
          <w:i/>
          <w:iCs/>
          <w:sz w:val="24"/>
          <w:szCs w:val="24"/>
        </w:rPr>
        <w:t>Bacardi Martini v Newcastle United Football Ltd</w:t>
      </w:r>
      <w:r w:rsidR="002B21BD" w:rsidRPr="000E0CA0">
        <w:rPr>
          <w:rFonts w:ascii="Times New Roman" w:hAnsi="Times New Roman"/>
          <w:bCs/>
          <w:sz w:val="24"/>
          <w:szCs w:val="24"/>
        </w:rPr>
        <w:t xml:space="preserve"> (21</w:t>
      </w:r>
      <w:r w:rsidR="002B21BD" w:rsidRPr="000E0CA0">
        <w:rPr>
          <w:rFonts w:ascii="Times New Roman" w:hAnsi="Times New Roman"/>
          <w:bCs/>
          <w:sz w:val="24"/>
          <w:szCs w:val="24"/>
          <w:vertAlign w:val="superscript"/>
        </w:rPr>
        <w:t>st</w:t>
      </w:r>
      <w:r w:rsidR="002B21BD" w:rsidRPr="000E0CA0">
        <w:rPr>
          <w:rFonts w:ascii="Times New Roman" w:hAnsi="Times New Roman"/>
          <w:bCs/>
          <w:sz w:val="24"/>
          <w:szCs w:val="24"/>
        </w:rPr>
        <w:t xml:space="preserve"> January 2003)</w:t>
      </w:r>
      <w:r w:rsidR="00B35EBC">
        <w:rPr>
          <w:rFonts w:ascii="Times New Roman" w:hAnsi="Times New Roman"/>
          <w:bCs/>
          <w:sz w:val="24"/>
          <w:szCs w:val="24"/>
        </w:rPr>
        <w:t xml:space="preserve"> [2003] ECR I-</w:t>
      </w:r>
      <w:r w:rsidR="00895858">
        <w:rPr>
          <w:rFonts w:ascii="Times New Roman" w:hAnsi="Times New Roman"/>
          <w:bCs/>
          <w:sz w:val="24"/>
          <w:szCs w:val="24"/>
        </w:rPr>
        <w:t>00905</w:t>
      </w:r>
      <w:r w:rsidR="002B21BD" w:rsidRPr="000E0CA0">
        <w:rPr>
          <w:rFonts w:ascii="Times New Roman" w:hAnsi="Times New Roman"/>
          <w:bCs/>
          <w:sz w:val="24"/>
          <w:szCs w:val="24"/>
        </w:rPr>
        <w:t>.  There the High Court made a reference in the course of a tortious dispute between private law litigants in the midst of which the Claimant sought to raise the illegality of a French law regulating the advertising of alcohol in the context of EU free movement rules.  The Judge accepted that a determination of this issue was “</w:t>
      </w:r>
      <w:r w:rsidR="002B21BD" w:rsidRPr="000E0CA0">
        <w:rPr>
          <w:rFonts w:ascii="Times New Roman" w:hAnsi="Times New Roman"/>
          <w:bCs/>
          <w:i/>
          <w:iCs/>
          <w:sz w:val="24"/>
          <w:szCs w:val="24"/>
        </w:rPr>
        <w:t>necessary</w:t>
      </w:r>
      <w:r w:rsidR="002B21BD" w:rsidRPr="000E0CA0">
        <w:rPr>
          <w:rFonts w:ascii="Times New Roman" w:hAnsi="Times New Roman"/>
          <w:bCs/>
          <w:sz w:val="24"/>
          <w:szCs w:val="24"/>
        </w:rPr>
        <w:t xml:space="preserve">” to enable the court to give judgment on the underlying tortious issue.  The Court of Justice disagreed and held that the issue of the legality of the French law was hypothetical and not properly connected to </w:t>
      </w:r>
      <w:r w:rsidR="00EB60C6" w:rsidRPr="000E0CA0">
        <w:rPr>
          <w:rFonts w:ascii="Times New Roman" w:hAnsi="Times New Roman"/>
          <w:bCs/>
          <w:sz w:val="24"/>
          <w:szCs w:val="24"/>
        </w:rPr>
        <w:t xml:space="preserve">a </w:t>
      </w:r>
      <w:r w:rsidR="002B21BD" w:rsidRPr="000E0CA0">
        <w:rPr>
          <w:rFonts w:ascii="Times New Roman" w:hAnsi="Times New Roman"/>
          <w:bCs/>
          <w:sz w:val="24"/>
          <w:szCs w:val="24"/>
        </w:rPr>
        <w:t xml:space="preserve">true </w:t>
      </w:r>
      <w:r w:rsidR="002B21BD" w:rsidRPr="000E0CA0">
        <w:rPr>
          <w:rFonts w:ascii="Times New Roman" w:hAnsi="Times New Roman"/>
          <w:bCs/>
          <w:i/>
          <w:iCs/>
          <w:sz w:val="24"/>
          <w:szCs w:val="24"/>
        </w:rPr>
        <w:t>lis</w:t>
      </w:r>
      <w:r w:rsidR="002B21BD" w:rsidRPr="000E0CA0">
        <w:rPr>
          <w:rFonts w:ascii="Times New Roman" w:hAnsi="Times New Roman"/>
          <w:bCs/>
          <w:sz w:val="24"/>
          <w:szCs w:val="24"/>
        </w:rPr>
        <w:t xml:space="preserve"> </w:t>
      </w:r>
      <w:r w:rsidR="00EB60C6" w:rsidRPr="000E0CA0">
        <w:rPr>
          <w:rFonts w:ascii="Times New Roman" w:hAnsi="Times New Roman"/>
          <w:bCs/>
          <w:sz w:val="24"/>
          <w:szCs w:val="24"/>
        </w:rPr>
        <w:t xml:space="preserve">arising </w:t>
      </w:r>
      <w:r w:rsidR="002B21BD" w:rsidRPr="000E0CA0">
        <w:rPr>
          <w:rFonts w:ascii="Times New Roman" w:hAnsi="Times New Roman"/>
          <w:bCs/>
          <w:sz w:val="24"/>
          <w:szCs w:val="24"/>
        </w:rPr>
        <w:t xml:space="preserve">in the national civil litigation.  The Court declined to entertain the reference citing </w:t>
      </w:r>
      <w:r w:rsidR="002B21BD" w:rsidRPr="000E0CA0">
        <w:rPr>
          <w:rFonts w:ascii="Times New Roman" w:hAnsi="Times New Roman"/>
          <w:bCs/>
          <w:i/>
          <w:iCs/>
          <w:sz w:val="24"/>
          <w:szCs w:val="24"/>
        </w:rPr>
        <w:t xml:space="preserve">Foglia </w:t>
      </w:r>
      <w:r w:rsidR="002B21BD" w:rsidRPr="000E0CA0">
        <w:rPr>
          <w:rFonts w:ascii="Times New Roman" w:hAnsi="Times New Roman"/>
          <w:bCs/>
          <w:sz w:val="24"/>
          <w:szCs w:val="24"/>
        </w:rPr>
        <w:t>as authority for the proposition of the need to apply “</w:t>
      </w:r>
      <w:r w:rsidR="002B21BD" w:rsidRPr="000E0CA0">
        <w:rPr>
          <w:rFonts w:ascii="Times New Roman" w:hAnsi="Times New Roman"/>
          <w:bCs/>
          <w:i/>
          <w:iCs/>
          <w:sz w:val="24"/>
          <w:szCs w:val="24"/>
        </w:rPr>
        <w:t>special vigilance</w:t>
      </w:r>
      <w:r w:rsidR="002B21BD" w:rsidRPr="000E0CA0">
        <w:rPr>
          <w:rFonts w:ascii="Times New Roman" w:hAnsi="Times New Roman"/>
          <w:bCs/>
          <w:sz w:val="24"/>
          <w:szCs w:val="24"/>
        </w:rPr>
        <w:t xml:space="preserve">” in such cases. </w:t>
      </w:r>
    </w:p>
    <w:p w14:paraId="623930A6" w14:textId="77777777" w:rsidR="002B21BD" w:rsidRPr="000E0CA0" w:rsidRDefault="002B21BD" w:rsidP="002D37BA">
      <w:pPr>
        <w:pStyle w:val="ListParagraph"/>
        <w:spacing w:line="240" w:lineRule="auto"/>
        <w:jc w:val="both"/>
        <w:rPr>
          <w:rFonts w:ascii="Times New Roman" w:hAnsi="Times New Roman"/>
          <w:bCs/>
          <w:sz w:val="24"/>
          <w:szCs w:val="24"/>
        </w:rPr>
      </w:pPr>
    </w:p>
    <w:p w14:paraId="470C4B69" w14:textId="77777777" w:rsidR="00975CCB" w:rsidRPr="000E0CA0" w:rsidRDefault="00975CCB" w:rsidP="002D37BA">
      <w:pPr>
        <w:pStyle w:val="ListParagraph"/>
        <w:numPr>
          <w:ilvl w:val="0"/>
          <w:numId w:val="13"/>
        </w:numPr>
        <w:spacing w:after="0" w:line="240" w:lineRule="auto"/>
        <w:ind w:left="567" w:hanging="567"/>
        <w:contextualSpacing w:val="0"/>
        <w:jc w:val="both"/>
        <w:rPr>
          <w:rFonts w:ascii="Times New Roman" w:hAnsi="Times New Roman"/>
          <w:bCs/>
          <w:sz w:val="24"/>
          <w:szCs w:val="24"/>
        </w:rPr>
      </w:pPr>
      <w:r w:rsidRPr="000E0CA0">
        <w:rPr>
          <w:rFonts w:ascii="Times New Roman" w:hAnsi="Times New Roman"/>
          <w:bCs/>
          <w:sz w:val="24"/>
          <w:szCs w:val="24"/>
        </w:rPr>
        <w:t xml:space="preserve">Applying these principles to the present case the </w:t>
      </w:r>
      <w:r w:rsidR="00AD2718" w:rsidRPr="000E0CA0">
        <w:rPr>
          <w:rFonts w:ascii="Times New Roman" w:hAnsi="Times New Roman"/>
          <w:bCs/>
          <w:sz w:val="24"/>
          <w:szCs w:val="24"/>
        </w:rPr>
        <w:t>Judge did not reject the proposition that</w:t>
      </w:r>
      <w:r w:rsidR="00C70877" w:rsidRPr="000E0CA0">
        <w:rPr>
          <w:rFonts w:ascii="Times New Roman" w:hAnsi="Times New Roman"/>
          <w:bCs/>
          <w:sz w:val="24"/>
          <w:szCs w:val="24"/>
        </w:rPr>
        <w:t>, in principle,</w:t>
      </w:r>
      <w:r w:rsidR="00AD2718" w:rsidRPr="000E0CA0">
        <w:rPr>
          <w:rFonts w:ascii="Times New Roman" w:hAnsi="Times New Roman"/>
          <w:bCs/>
          <w:sz w:val="24"/>
          <w:szCs w:val="24"/>
        </w:rPr>
        <w:t xml:space="preserve"> she could rule upon the legality of a foreign law.  She held </w:t>
      </w:r>
      <w:r w:rsidR="000F57B2" w:rsidRPr="000E0CA0">
        <w:rPr>
          <w:rFonts w:ascii="Times New Roman" w:hAnsi="Times New Roman"/>
          <w:bCs/>
          <w:sz w:val="24"/>
          <w:szCs w:val="24"/>
        </w:rPr>
        <w:t xml:space="preserve">correctly </w:t>
      </w:r>
      <w:r w:rsidR="00AD2718" w:rsidRPr="000E0CA0">
        <w:rPr>
          <w:rFonts w:ascii="Times New Roman" w:hAnsi="Times New Roman"/>
          <w:bCs/>
          <w:sz w:val="24"/>
          <w:szCs w:val="24"/>
        </w:rPr>
        <w:t>only that she should exercise “</w:t>
      </w:r>
      <w:r w:rsidR="00AD2718" w:rsidRPr="000E0CA0">
        <w:rPr>
          <w:rFonts w:ascii="Times New Roman" w:hAnsi="Times New Roman"/>
          <w:bCs/>
          <w:i/>
          <w:iCs/>
          <w:sz w:val="24"/>
          <w:szCs w:val="24"/>
        </w:rPr>
        <w:t>considerable caution</w:t>
      </w:r>
      <w:r w:rsidR="00AD2718" w:rsidRPr="000E0CA0">
        <w:rPr>
          <w:rFonts w:ascii="Times New Roman" w:hAnsi="Times New Roman"/>
          <w:bCs/>
          <w:sz w:val="24"/>
          <w:szCs w:val="24"/>
        </w:rPr>
        <w:t xml:space="preserve">”. </w:t>
      </w:r>
      <w:r w:rsidR="00D26ECE" w:rsidRPr="000E0CA0">
        <w:rPr>
          <w:rFonts w:ascii="Times New Roman" w:hAnsi="Times New Roman"/>
          <w:bCs/>
          <w:sz w:val="24"/>
          <w:szCs w:val="24"/>
        </w:rPr>
        <w:t xml:space="preserve">This court </w:t>
      </w:r>
      <w:r w:rsidR="002B21BD" w:rsidRPr="000E0CA0">
        <w:rPr>
          <w:rFonts w:ascii="Times New Roman" w:hAnsi="Times New Roman"/>
          <w:bCs/>
          <w:sz w:val="24"/>
          <w:szCs w:val="24"/>
        </w:rPr>
        <w:t>can rule</w:t>
      </w:r>
      <w:r w:rsidR="00C70877" w:rsidRPr="000E0CA0">
        <w:rPr>
          <w:rFonts w:ascii="Times New Roman" w:hAnsi="Times New Roman"/>
          <w:bCs/>
          <w:sz w:val="24"/>
          <w:szCs w:val="24"/>
        </w:rPr>
        <w:t xml:space="preserve"> upon the legality of the Italian law</w:t>
      </w:r>
      <w:r w:rsidR="00D26ECE" w:rsidRPr="000E0CA0">
        <w:rPr>
          <w:rFonts w:ascii="Times New Roman" w:hAnsi="Times New Roman"/>
          <w:bCs/>
          <w:sz w:val="24"/>
          <w:szCs w:val="24"/>
        </w:rPr>
        <w:t xml:space="preserve"> but would, taking its cue from the approach of the Court o</w:t>
      </w:r>
      <w:r w:rsidR="00C70877" w:rsidRPr="000E0CA0">
        <w:rPr>
          <w:rFonts w:ascii="Times New Roman" w:hAnsi="Times New Roman"/>
          <w:bCs/>
          <w:sz w:val="24"/>
          <w:szCs w:val="24"/>
        </w:rPr>
        <w:t>f Justice</w:t>
      </w:r>
      <w:r w:rsidR="002B21BD" w:rsidRPr="000E0CA0">
        <w:rPr>
          <w:rFonts w:ascii="Times New Roman" w:hAnsi="Times New Roman"/>
          <w:bCs/>
          <w:sz w:val="24"/>
          <w:szCs w:val="24"/>
        </w:rPr>
        <w:t>,</w:t>
      </w:r>
      <w:r w:rsidR="00C70877" w:rsidRPr="000E0CA0">
        <w:rPr>
          <w:rFonts w:ascii="Times New Roman" w:hAnsi="Times New Roman"/>
          <w:bCs/>
          <w:sz w:val="24"/>
          <w:szCs w:val="24"/>
        </w:rPr>
        <w:t xml:space="preserve"> exercise considerable caution and vigilance.  It would have to be satisfied that</w:t>
      </w:r>
      <w:r w:rsidR="00D26ECE" w:rsidRPr="000E0CA0">
        <w:rPr>
          <w:rFonts w:ascii="Times New Roman" w:hAnsi="Times New Roman"/>
          <w:bCs/>
          <w:sz w:val="24"/>
          <w:szCs w:val="24"/>
        </w:rPr>
        <w:t xml:space="preserve"> the issue was properly arguable and that </w:t>
      </w:r>
      <w:r w:rsidR="00C70877" w:rsidRPr="000E0CA0">
        <w:rPr>
          <w:rFonts w:ascii="Times New Roman" w:hAnsi="Times New Roman"/>
          <w:bCs/>
          <w:sz w:val="24"/>
          <w:szCs w:val="24"/>
        </w:rPr>
        <w:t xml:space="preserve">a ruling was </w:t>
      </w:r>
      <w:r w:rsidR="00EB60C6" w:rsidRPr="000E0CA0">
        <w:rPr>
          <w:rFonts w:ascii="Times New Roman" w:hAnsi="Times New Roman"/>
          <w:bCs/>
          <w:sz w:val="24"/>
          <w:szCs w:val="24"/>
        </w:rPr>
        <w:t xml:space="preserve">truly </w:t>
      </w:r>
      <w:r w:rsidR="00C70877" w:rsidRPr="000E0CA0">
        <w:rPr>
          <w:rFonts w:ascii="Times New Roman" w:hAnsi="Times New Roman"/>
          <w:bCs/>
          <w:sz w:val="24"/>
          <w:szCs w:val="24"/>
        </w:rPr>
        <w:t>necessary to enable it to give judgment</w:t>
      </w:r>
      <w:r w:rsidR="00D26ECE" w:rsidRPr="000E0CA0">
        <w:rPr>
          <w:rFonts w:ascii="Times New Roman" w:hAnsi="Times New Roman"/>
          <w:bCs/>
          <w:sz w:val="24"/>
          <w:szCs w:val="24"/>
        </w:rPr>
        <w:t xml:space="preserve">.  It </w:t>
      </w:r>
      <w:r w:rsidR="00C70877" w:rsidRPr="000E0CA0">
        <w:rPr>
          <w:rFonts w:ascii="Times New Roman" w:hAnsi="Times New Roman"/>
          <w:bCs/>
          <w:sz w:val="24"/>
          <w:szCs w:val="24"/>
        </w:rPr>
        <w:t xml:space="preserve">would </w:t>
      </w:r>
      <w:r w:rsidR="00D26ECE" w:rsidRPr="000E0CA0">
        <w:rPr>
          <w:rFonts w:ascii="Times New Roman" w:hAnsi="Times New Roman"/>
          <w:bCs/>
          <w:sz w:val="24"/>
          <w:szCs w:val="24"/>
        </w:rPr>
        <w:t xml:space="preserve">need to </w:t>
      </w:r>
      <w:r w:rsidR="00C70877" w:rsidRPr="000E0CA0">
        <w:rPr>
          <w:rFonts w:ascii="Times New Roman" w:hAnsi="Times New Roman"/>
          <w:bCs/>
          <w:sz w:val="24"/>
          <w:szCs w:val="24"/>
        </w:rPr>
        <w:t>be astute to the risk or possibility that the appellant was seeking to deploy the good office</w:t>
      </w:r>
      <w:r w:rsidR="00F57134" w:rsidRPr="000E0CA0">
        <w:rPr>
          <w:rFonts w:ascii="Times New Roman" w:hAnsi="Times New Roman"/>
          <w:bCs/>
          <w:sz w:val="24"/>
          <w:szCs w:val="24"/>
        </w:rPr>
        <w:t>s</w:t>
      </w:r>
      <w:r w:rsidR="00C70877" w:rsidRPr="000E0CA0">
        <w:rPr>
          <w:rFonts w:ascii="Times New Roman" w:hAnsi="Times New Roman"/>
          <w:bCs/>
          <w:sz w:val="24"/>
          <w:szCs w:val="24"/>
        </w:rPr>
        <w:t xml:space="preserve"> of the c</w:t>
      </w:r>
      <w:r w:rsidRPr="000E0CA0">
        <w:rPr>
          <w:rFonts w:ascii="Times New Roman" w:hAnsi="Times New Roman"/>
          <w:bCs/>
          <w:sz w:val="24"/>
          <w:szCs w:val="24"/>
        </w:rPr>
        <w:t>o</w:t>
      </w:r>
      <w:r w:rsidR="00C70877" w:rsidRPr="000E0CA0">
        <w:rPr>
          <w:rFonts w:ascii="Times New Roman" w:hAnsi="Times New Roman"/>
          <w:bCs/>
          <w:sz w:val="24"/>
          <w:szCs w:val="24"/>
        </w:rPr>
        <w:t xml:space="preserve">urt for </w:t>
      </w:r>
      <w:r w:rsidRPr="000E0CA0">
        <w:rPr>
          <w:rFonts w:ascii="Times New Roman" w:hAnsi="Times New Roman"/>
          <w:bCs/>
          <w:sz w:val="24"/>
          <w:szCs w:val="24"/>
        </w:rPr>
        <w:t xml:space="preserve">the purpose of a </w:t>
      </w:r>
      <w:r w:rsidR="00C70877" w:rsidRPr="000E0CA0">
        <w:rPr>
          <w:rFonts w:ascii="Times New Roman" w:hAnsi="Times New Roman"/>
          <w:bCs/>
          <w:sz w:val="24"/>
          <w:szCs w:val="24"/>
        </w:rPr>
        <w:t xml:space="preserve">collateral </w:t>
      </w:r>
      <w:r w:rsidRPr="000E0CA0">
        <w:rPr>
          <w:rFonts w:ascii="Times New Roman" w:hAnsi="Times New Roman"/>
          <w:bCs/>
          <w:sz w:val="24"/>
          <w:szCs w:val="24"/>
        </w:rPr>
        <w:t>challenge</w:t>
      </w:r>
      <w:r w:rsidR="00F57134" w:rsidRPr="000E0CA0">
        <w:rPr>
          <w:rFonts w:ascii="Times New Roman" w:hAnsi="Times New Roman"/>
          <w:bCs/>
          <w:sz w:val="24"/>
          <w:szCs w:val="24"/>
        </w:rPr>
        <w:t xml:space="preserve"> to </w:t>
      </w:r>
      <w:r w:rsidR="00E165EB" w:rsidRPr="000E0CA0">
        <w:rPr>
          <w:rFonts w:ascii="Times New Roman" w:hAnsi="Times New Roman"/>
          <w:bCs/>
          <w:sz w:val="24"/>
          <w:szCs w:val="24"/>
        </w:rPr>
        <w:t xml:space="preserve">a </w:t>
      </w:r>
      <w:r w:rsidR="00F57134" w:rsidRPr="000E0CA0">
        <w:rPr>
          <w:rFonts w:ascii="Times New Roman" w:hAnsi="Times New Roman"/>
          <w:bCs/>
          <w:sz w:val="24"/>
          <w:szCs w:val="24"/>
        </w:rPr>
        <w:t>foreign law</w:t>
      </w:r>
      <w:r w:rsidRPr="000E0CA0">
        <w:rPr>
          <w:rFonts w:ascii="Times New Roman" w:hAnsi="Times New Roman"/>
          <w:bCs/>
          <w:sz w:val="24"/>
          <w:szCs w:val="24"/>
        </w:rPr>
        <w:t xml:space="preserve"> that should by rights have been brought in the foreign court in issue</w:t>
      </w:r>
      <w:r w:rsidR="00D26ECE" w:rsidRPr="000E0CA0">
        <w:rPr>
          <w:rFonts w:ascii="Times New Roman" w:hAnsi="Times New Roman"/>
          <w:bCs/>
          <w:sz w:val="24"/>
          <w:szCs w:val="24"/>
        </w:rPr>
        <w:t xml:space="preserve">.  It </w:t>
      </w:r>
      <w:r w:rsidRPr="000E0CA0">
        <w:rPr>
          <w:rFonts w:ascii="Times New Roman" w:hAnsi="Times New Roman"/>
          <w:bCs/>
          <w:sz w:val="24"/>
          <w:szCs w:val="24"/>
        </w:rPr>
        <w:t xml:space="preserve">would wish to ensure that it was fully </w:t>
      </w:r>
      <w:r w:rsidR="00E165EB" w:rsidRPr="000E0CA0">
        <w:rPr>
          <w:rFonts w:ascii="Times New Roman" w:hAnsi="Times New Roman"/>
          <w:bCs/>
          <w:sz w:val="24"/>
          <w:szCs w:val="24"/>
        </w:rPr>
        <w:t xml:space="preserve">equipped </w:t>
      </w:r>
      <w:r w:rsidRPr="000E0CA0">
        <w:rPr>
          <w:rFonts w:ascii="Times New Roman" w:hAnsi="Times New Roman"/>
          <w:bCs/>
          <w:sz w:val="24"/>
          <w:szCs w:val="24"/>
        </w:rPr>
        <w:t xml:space="preserve">with all relevant information to </w:t>
      </w:r>
      <w:r w:rsidR="00E165EB" w:rsidRPr="000E0CA0">
        <w:rPr>
          <w:rFonts w:ascii="Times New Roman" w:hAnsi="Times New Roman"/>
          <w:bCs/>
          <w:sz w:val="24"/>
          <w:szCs w:val="24"/>
        </w:rPr>
        <w:t xml:space="preserve">perform the </w:t>
      </w:r>
      <w:r w:rsidRPr="000E0CA0">
        <w:rPr>
          <w:rFonts w:ascii="Times New Roman" w:hAnsi="Times New Roman"/>
          <w:bCs/>
          <w:sz w:val="24"/>
          <w:szCs w:val="24"/>
        </w:rPr>
        <w:t xml:space="preserve">task and it might well wish to ensure that it had representatives of the foreign state before it so that it could receive submissions on the foreign law from those with a </w:t>
      </w:r>
      <w:r w:rsidR="00D26ECE" w:rsidRPr="000E0CA0">
        <w:rPr>
          <w:rFonts w:ascii="Times New Roman" w:hAnsi="Times New Roman"/>
          <w:bCs/>
          <w:sz w:val="24"/>
          <w:szCs w:val="24"/>
        </w:rPr>
        <w:t xml:space="preserve">direct </w:t>
      </w:r>
      <w:r w:rsidRPr="000E0CA0">
        <w:rPr>
          <w:rFonts w:ascii="Times New Roman" w:hAnsi="Times New Roman"/>
          <w:bCs/>
          <w:sz w:val="24"/>
          <w:szCs w:val="24"/>
        </w:rPr>
        <w:t>public interest in the outcome.</w:t>
      </w:r>
    </w:p>
    <w:p w14:paraId="3DB5E5B1" w14:textId="77777777" w:rsidR="00975CCB" w:rsidRPr="000E0CA0" w:rsidRDefault="00975CCB" w:rsidP="002D37BA">
      <w:pPr>
        <w:pStyle w:val="ListParagraph"/>
        <w:spacing w:line="240" w:lineRule="auto"/>
        <w:rPr>
          <w:rFonts w:ascii="Times New Roman" w:hAnsi="Times New Roman"/>
          <w:bCs/>
          <w:sz w:val="24"/>
          <w:szCs w:val="24"/>
        </w:rPr>
      </w:pPr>
    </w:p>
    <w:p w14:paraId="06399C62" w14:textId="0FD55E66" w:rsidR="00C70877" w:rsidRPr="000E0CA0" w:rsidRDefault="00975CCB" w:rsidP="002D37BA">
      <w:pPr>
        <w:pStyle w:val="ListParagraph"/>
        <w:numPr>
          <w:ilvl w:val="0"/>
          <w:numId w:val="13"/>
        </w:numPr>
        <w:spacing w:after="0" w:line="240" w:lineRule="auto"/>
        <w:ind w:left="567" w:hanging="578"/>
        <w:jc w:val="both"/>
        <w:rPr>
          <w:rFonts w:ascii="Times New Roman" w:hAnsi="Times New Roman"/>
          <w:bCs/>
          <w:sz w:val="24"/>
          <w:szCs w:val="24"/>
        </w:rPr>
      </w:pPr>
      <w:r w:rsidRPr="000E0CA0">
        <w:rPr>
          <w:rFonts w:ascii="Times New Roman" w:hAnsi="Times New Roman"/>
          <w:bCs/>
          <w:sz w:val="24"/>
          <w:szCs w:val="24"/>
        </w:rPr>
        <w:t xml:space="preserve">Assuming that the court felt properly equipped </w:t>
      </w:r>
      <w:r w:rsidR="00E165EB" w:rsidRPr="000E0CA0">
        <w:rPr>
          <w:rFonts w:ascii="Times New Roman" w:hAnsi="Times New Roman"/>
          <w:bCs/>
          <w:sz w:val="24"/>
          <w:szCs w:val="24"/>
        </w:rPr>
        <w:t xml:space="preserve">and that the issue was really necessary in order to decide the </w:t>
      </w:r>
      <w:r w:rsidR="00E165EB" w:rsidRPr="000E0CA0">
        <w:rPr>
          <w:rFonts w:ascii="Times New Roman" w:hAnsi="Times New Roman"/>
          <w:bCs/>
          <w:i/>
          <w:iCs/>
          <w:sz w:val="24"/>
          <w:szCs w:val="24"/>
        </w:rPr>
        <w:t>lis</w:t>
      </w:r>
      <w:r w:rsidR="00E165EB" w:rsidRPr="000E0CA0">
        <w:rPr>
          <w:rFonts w:ascii="Times New Roman" w:hAnsi="Times New Roman"/>
          <w:bCs/>
          <w:sz w:val="24"/>
          <w:szCs w:val="24"/>
        </w:rPr>
        <w:t xml:space="preserve"> before it, </w:t>
      </w:r>
      <w:r w:rsidRPr="000E0CA0">
        <w:rPr>
          <w:rFonts w:ascii="Times New Roman" w:hAnsi="Times New Roman"/>
          <w:bCs/>
          <w:sz w:val="24"/>
          <w:szCs w:val="24"/>
        </w:rPr>
        <w:t xml:space="preserve">it would then </w:t>
      </w:r>
      <w:r w:rsidR="00C70877" w:rsidRPr="000E0CA0">
        <w:rPr>
          <w:rFonts w:ascii="Times New Roman" w:hAnsi="Times New Roman"/>
          <w:bCs/>
          <w:sz w:val="24"/>
          <w:szCs w:val="24"/>
        </w:rPr>
        <w:t>have to decide whether it should proceed to give a ruling or make a reference.</w:t>
      </w:r>
      <w:r w:rsidR="000F57B2" w:rsidRPr="000E0CA0">
        <w:rPr>
          <w:rFonts w:ascii="Times New Roman" w:hAnsi="Times New Roman"/>
          <w:bCs/>
          <w:sz w:val="24"/>
          <w:szCs w:val="24"/>
        </w:rPr>
        <w:t xml:space="preserve"> This is a matter of discretion for a court other than one of final instance. </w:t>
      </w:r>
      <w:r w:rsidR="00C70877" w:rsidRPr="000E0CA0">
        <w:rPr>
          <w:rFonts w:ascii="Times New Roman" w:hAnsi="Times New Roman"/>
          <w:bCs/>
          <w:sz w:val="24"/>
          <w:szCs w:val="24"/>
        </w:rPr>
        <w:t xml:space="preserve">  It seems to me that if such a situation arose</w:t>
      </w:r>
      <w:r w:rsidR="00F57134" w:rsidRPr="000E0CA0">
        <w:rPr>
          <w:rFonts w:ascii="Times New Roman" w:hAnsi="Times New Roman"/>
          <w:bCs/>
          <w:sz w:val="24"/>
          <w:szCs w:val="24"/>
        </w:rPr>
        <w:t xml:space="preserve"> and the court concluded that a serious argument about illegality </w:t>
      </w:r>
      <w:r w:rsidR="002B21BD" w:rsidRPr="000E0CA0">
        <w:rPr>
          <w:rFonts w:ascii="Times New Roman" w:hAnsi="Times New Roman"/>
          <w:bCs/>
          <w:sz w:val="24"/>
          <w:szCs w:val="24"/>
        </w:rPr>
        <w:t>h</w:t>
      </w:r>
      <w:r w:rsidR="00F57134" w:rsidRPr="000E0CA0">
        <w:rPr>
          <w:rFonts w:ascii="Times New Roman" w:hAnsi="Times New Roman"/>
          <w:bCs/>
          <w:sz w:val="24"/>
          <w:szCs w:val="24"/>
        </w:rPr>
        <w:t xml:space="preserve">ad been raised </w:t>
      </w:r>
      <w:r w:rsidR="00422685" w:rsidRPr="000E0CA0">
        <w:rPr>
          <w:rFonts w:ascii="Times New Roman" w:hAnsi="Times New Roman"/>
          <w:bCs/>
          <w:sz w:val="24"/>
          <w:szCs w:val="24"/>
        </w:rPr>
        <w:t xml:space="preserve">requiring </w:t>
      </w:r>
      <w:r w:rsidR="00F57134" w:rsidRPr="000E0CA0">
        <w:rPr>
          <w:rFonts w:ascii="Times New Roman" w:hAnsi="Times New Roman"/>
          <w:bCs/>
          <w:sz w:val="24"/>
          <w:szCs w:val="24"/>
        </w:rPr>
        <w:t>resol</w:t>
      </w:r>
      <w:r w:rsidR="00422685" w:rsidRPr="000E0CA0">
        <w:rPr>
          <w:rFonts w:ascii="Times New Roman" w:hAnsi="Times New Roman"/>
          <w:bCs/>
          <w:sz w:val="24"/>
          <w:szCs w:val="24"/>
        </w:rPr>
        <w:t xml:space="preserve">ution, </w:t>
      </w:r>
      <w:r w:rsidR="000F57B2" w:rsidRPr="000E0CA0">
        <w:rPr>
          <w:rFonts w:ascii="Times New Roman" w:hAnsi="Times New Roman"/>
          <w:bCs/>
          <w:sz w:val="24"/>
          <w:szCs w:val="24"/>
        </w:rPr>
        <w:t xml:space="preserve">then </w:t>
      </w:r>
      <w:r w:rsidR="00422685" w:rsidRPr="000E0CA0">
        <w:rPr>
          <w:rFonts w:ascii="Times New Roman" w:hAnsi="Times New Roman"/>
          <w:bCs/>
          <w:sz w:val="24"/>
          <w:szCs w:val="24"/>
        </w:rPr>
        <w:t xml:space="preserve">the likely and optimal course </w:t>
      </w:r>
      <w:r w:rsidR="00C70877" w:rsidRPr="000E0CA0">
        <w:rPr>
          <w:rFonts w:ascii="Times New Roman" w:hAnsi="Times New Roman"/>
          <w:bCs/>
          <w:sz w:val="24"/>
          <w:szCs w:val="24"/>
        </w:rPr>
        <w:t xml:space="preserve">would be to make a reference.  The Court of Justice can hear from </w:t>
      </w:r>
      <w:r w:rsidR="00C70877" w:rsidRPr="000E0CA0">
        <w:rPr>
          <w:rFonts w:ascii="Times New Roman" w:hAnsi="Times New Roman"/>
          <w:bCs/>
          <w:sz w:val="24"/>
          <w:szCs w:val="24"/>
          <w:u w:val="single"/>
        </w:rPr>
        <w:t>all</w:t>
      </w:r>
      <w:r w:rsidR="00C70877" w:rsidRPr="000E0CA0">
        <w:rPr>
          <w:rFonts w:ascii="Times New Roman" w:hAnsi="Times New Roman"/>
          <w:bCs/>
          <w:sz w:val="24"/>
          <w:szCs w:val="24"/>
        </w:rPr>
        <w:t xml:space="preserve"> the Member States</w:t>
      </w:r>
      <w:r w:rsidRPr="000E0CA0">
        <w:rPr>
          <w:rFonts w:ascii="Times New Roman" w:hAnsi="Times New Roman"/>
          <w:bCs/>
          <w:sz w:val="24"/>
          <w:szCs w:val="24"/>
        </w:rPr>
        <w:t xml:space="preserve">, from the </w:t>
      </w:r>
      <w:r w:rsidR="0042104F">
        <w:rPr>
          <w:rFonts w:ascii="Times New Roman" w:hAnsi="Times New Roman"/>
          <w:bCs/>
          <w:sz w:val="24"/>
          <w:szCs w:val="24"/>
        </w:rPr>
        <w:t>Union</w:t>
      </w:r>
      <w:r w:rsidRPr="000E0CA0">
        <w:rPr>
          <w:rFonts w:ascii="Times New Roman" w:hAnsi="Times New Roman"/>
          <w:bCs/>
          <w:sz w:val="24"/>
          <w:szCs w:val="24"/>
        </w:rPr>
        <w:t xml:space="preserve"> institutions (such as the Commission and Council) </w:t>
      </w:r>
      <w:r w:rsidR="00C70877" w:rsidRPr="000E0CA0">
        <w:rPr>
          <w:rFonts w:ascii="Times New Roman" w:hAnsi="Times New Roman"/>
          <w:bCs/>
          <w:sz w:val="24"/>
          <w:szCs w:val="24"/>
        </w:rPr>
        <w:t xml:space="preserve">and obtain relevant information from the state whose law </w:t>
      </w:r>
      <w:r w:rsidRPr="000E0CA0">
        <w:rPr>
          <w:rFonts w:ascii="Times New Roman" w:hAnsi="Times New Roman"/>
          <w:bCs/>
          <w:sz w:val="24"/>
          <w:szCs w:val="24"/>
        </w:rPr>
        <w:t xml:space="preserve">is </w:t>
      </w:r>
      <w:r w:rsidR="00C70877" w:rsidRPr="000E0CA0">
        <w:rPr>
          <w:rFonts w:ascii="Times New Roman" w:hAnsi="Times New Roman"/>
          <w:bCs/>
          <w:sz w:val="24"/>
          <w:szCs w:val="24"/>
        </w:rPr>
        <w:t>being challenged</w:t>
      </w:r>
      <w:r w:rsidR="00422685" w:rsidRPr="000E0CA0">
        <w:rPr>
          <w:rFonts w:ascii="Times New Roman" w:hAnsi="Times New Roman"/>
          <w:bCs/>
          <w:sz w:val="24"/>
          <w:szCs w:val="24"/>
        </w:rPr>
        <w:t>. The Court c</w:t>
      </w:r>
      <w:r w:rsidR="000F57B2" w:rsidRPr="000E0CA0">
        <w:rPr>
          <w:rFonts w:ascii="Times New Roman" w:hAnsi="Times New Roman"/>
          <w:bCs/>
          <w:sz w:val="24"/>
          <w:szCs w:val="24"/>
        </w:rPr>
        <w:t xml:space="preserve">an </w:t>
      </w:r>
      <w:r w:rsidR="00422685" w:rsidRPr="000E0CA0">
        <w:rPr>
          <w:rFonts w:ascii="Times New Roman" w:hAnsi="Times New Roman"/>
          <w:bCs/>
          <w:sz w:val="24"/>
          <w:szCs w:val="24"/>
        </w:rPr>
        <w:t>t</w:t>
      </w:r>
      <w:r w:rsidR="00C70877" w:rsidRPr="000E0CA0">
        <w:rPr>
          <w:rFonts w:ascii="Times New Roman" w:hAnsi="Times New Roman"/>
          <w:bCs/>
          <w:sz w:val="24"/>
          <w:szCs w:val="24"/>
        </w:rPr>
        <w:t xml:space="preserve">ake </w:t>
      </w:r>
      <w:r w:rsidR="00422685" w:rsidRPr="000E0CA0">
        <w:rPr>
          <w:rFonts w:ascii="Times New Roman" w:hAnsi="Times New Roman"/>
          <w:bCs/>
          <w:sz w:val="24"/>
          <w:szCs w:val="24"/>
        </w:rPr>
        <w:t xml:space="preserve">a </w:t>
      </w:r>
      <w:r w:rsidR="00C70877" w:rsidRPr="000E0CA0">
        <w:rPr>
          <w:rFonts w:ascii="Times New Roman" w:hAnsi="Times New Roman"/>
          <w:bCs/>
          <w:sz w:val="24"/>
          <w:szCs w:val="24"/>
        </w:rPr>
        <w:t xml:space="preserve">more rounded and well informed view of the issue, than could the domestic court. </w:t>
      </w:r>
      <w:r w:rsidRPr="000E0CA0">
        <w:rPr>
          <w:rFonts w:ascii="Times New Roman" w:hAnsi="Times New Roman"/>
          <w:bCs/>
          <w:sz w:val="24"/>
          <w:szCs w:val="24"/>
        </w:rPr>
        <w:t>True it is that ultimately all th</w:t>
      </w:r>
      <w:r w:rsidR="00F57134" w:rsidRPr="000E0CA0">
        <w:rPr>
          <w:rFonts w:ascii="Times New Roman" w:hAnsi="Times New Roman"/>
          <w:bCs/>
          <w:sz w:val="24"/>
          <w:szCs w:val="24"/>
        </w:rPr>
        <w:t>a</w:t>
      </w:r>
      <w:r w:rsidRPr="000E0CA0">
        <w:rPr>
          <w:rFonts w:ascii="Times New Roman" w:hAnsi="Times New Roman"/>
          <w:bCs/>
          <w:sz w:val="24"/>
          <w:szCs w:val="24"/>
        </w:rPr>
        <w:t>t the Court of Justice can do is to answer questions posed by the referring court</w:t>
      </w:r>
      <w:r w:rsidR="00422685" w:rsidRPr="000E0CA0">
        <w:rPr>
          <w:rFonts w:ascii="Times New Roman" w:hAnsi="Times New Roman"/>
          <w:bCs/>
          <w:sz w:val="24"/>
          <w:szCs w:val="24"/>
        </w:rPr>
        <w:t xml:space="preserve"> but the case law is replete with </w:t>
      </w:r>
      <w:r w:rsidR="00E165EB" w:rsidRPr="000E0CA0">
        <w:rPr>
          <w:rFonts w:ascii="Times New Roman" w:hAnsi="Times New Roman"/>
          <w:bCs/>
          <w:sz w:val="24"/>
          <w:szCs w:val="24"/>
        </w:rPr>
        <w:t xml:space="preserve">examples of the </w:t>
      </w:r>
      <w:r w:rsidR="00422685" w:rsidRPr="000E0CA0">
        <w:rPr>
          <w:rFonts w:ascii="Times New Roman" w:hAnsi="Times New Roman"/>
          <w:bCs/>
          <w:sz w:val="24"/>
          <w:szCs w:val="24"/>
        </w:rPr>
        <w:t xml:space="preserve">Court framing its answers to the national court in such a way as to make the position of the Court of Justice on the ultimate issue </w:t>
      </w:r>
      <w:r w:rsidR="00E13C54" w:rsidRPr="000E0CA0">
        <w:rPr>
          <w:rFonts w:ascii="Times New Roman" w:hAnsi="Times New Roman"/>
          <w:bCs/>
          <w:sz w:val="24"/>
          <w:szCs w:val="24"/>
        </w:rPr>
        <w:t>of law</w:t>
      </w:r>
      <w:r w:rsidR="00E165EB" w:rsidRPr="000E0CA0">
        <w:rPr>
          <w:rFonts w:ascii="Times New Roman" w:hAnsi="Times New Roman"/>
          <w:bCs/>
          <w:sz w:val="24"/>
          <w:szCs w:val="24"/>
        </w:rPr>
        <w:t xml:space="preserve"> transparently </w:t>
      </w:r>
      <w:r w:rsidR="00422685" w:rsidRPr="000E0CA0">
        <w:rPr>
          <w:rFonts w:ascii="Times New Roman" w:hAnsi="Times New Roman"/>
          <w:bCs/>
          <w:sz w:val="24"/>
          <w:szCs w:val="24"/>
        </w:rPr>
        <w:t>clear. Moreover, a</w:t>
      </w:r>
      <w:r w:rsidR="00F57134" w:rsidRPr="000E0CA0">
        <w:rPr>
          <w:rFonts w:ascii="Times New Roman" w:hAnsi="Times New Roman"/>
          <w:bCs/>
          <w:sz w:val="24"/>
          <w:szCs w:val="24"/>
        </w:rPr>
        <w:t>nswers given by the Court to reference</w:t>
      </w:r>
      <w:r w:rsidR="00D92AB1">
        <w:rPr>
          <w:rFonts w:ascii="Times New Roman" w:hAnsi="Times New Roman"/>
          <w:bCs/>
          <w:sz w:val="24"/>
          <w:szCs w:val="24"/>
        </w:rPr>
        <w:t>s</w:t>
      </w:r>
      <w:r w:rsidR="00F57134" w:rsidRPr="000E0CA0">
        <w:rPr>
          <w:rFonts w:ascii="Times New Roman" w:hAnsi="Times New Roman"/>
          <w:bCs/>
          <w:sz w:val="24"/>
          <w:szCs w:val="24"/>
        </w:rPr>
        <w:t xml:space="preserve"> from national courts do not just bind the referring court, they apply </w:t>
      </w:r>
      <w:r w:rsidR="00F57134" w:rsidRPr="000E0CA0">
        <w:rPr>
          <w:rFonts w:ascii="Times New Roman" w:hAnsi="Times New Roman"/>
          <w:bCs/>
          <w:i/>
          <w:iCs/>
          <w:sz w:val="24"/>
          <w:szCs w:val="24"/>
        </w:rPr>
        <w:t>erga omnes</w:t>
      </w:r>
      <w:r w:rsidR="00F57134" w:rsidRPr="000E0CA0">
        <w:rPr>
          <w:rFonts w:ascii="Times New Roman" w:hAnsi="Times New Roman"/>
          <w:bCs/>
          <w:sz w:val="24"/>
          <w:szCs w:val="24"/>
        </w:rPr>
        <w:t>, i</w:t>
      </w:r>
      <w:r w:rsidR="0007217B">
        <w:rPr>
          <w:rFonts w:ascii="Times New Roman" w:hAnsi="Times New Roman"/>
          <w:bCs/>
          <w:sz w:val="24"/>
          <w:szCs w:val="24"/>
        </w:rPr>
        <w:t>.</w:t>
      </w:r>
      <w:r w:rsidR="00F57134" w:rsidRPr="000E0CA0">
        <w:rPr>
          <w:rFonts w:ascii="Times New Roman" w:hAnsi="Times New Roman"/>
          <w:bCs/>
          <w:sz w:val="24"/>
          <w:szCs w:val="24"/>
        </w:rPr>
        <w:t>e</w:t>
      </w:r>
      <w:r w:rsidR="0007217B">
        <w:rPr>
          <w:rFonts w:ascii="Times New Roman" w:hAnsi="Times New Roman"/>
          <w:bCs/>
          <w:sz w:val="24"/>
          <w:szCs w:val="24"/>
        </w:rPr>
        <w:t>.</w:t>
      </w:r>
      <w:r w:rsidR="00F57134" w:rsidRPr="000E0CA0">
        <w:rPr>
          <w:rFonts w:ascii="Times New Roman" w:hAnsi="Times New Roman"/>
          <w:bCs/>
          <w:sz w:val="24"/>
          <w:szCs w:val="24"/>
        </w:rPr>
        <w:t xml:space="preserve"> they state the law generally. If the Court </w:t>
      </w:r>
      <w:r w:rsidR="00E165EB" w:rsidRPr="000E0CA0">
        <w:rPr>
          <w:rFonts w:ascii="Times New Roman" w:hAnsi="Times New Roman"/>
          <w:bCs/>
          <w:sz w:val="24"/>
          <w:szCs w:val="24"/>
        </w:rPr>
        <w:t>does consider</w:t>
      </w:r>
      <w:r w:rsidR="00F57134" w:rsidRPr="000E0CA0">
        <w:rPr>
          <w:rFonts w:ascii="Times New Roman" w:hAnsi="Times New Roman"/>
          <w:bCs/>
          <w:sz w:val="24"/>
          <w:szCs w:val="24"/>
        </w:rPr>
        <w:t xml:space="preserve"> that </w:t>
      </w:r>
      <w:r w:rsidR="00F57134" w:rsidRPr="000E0CA0">
        <w:rPr>
          <w:rFonts w:ascii="Times New Roman" w:hAnsi="Times New Roman"/>
          <w:bCs/>
          <w:sz w:val="24"/>
          <w:szCs w:val="24"/>
        </w:rPr>
        <w:lastRenderedPageBreak/>
        <w:t>the foreign law is in breach of superior EU norms</w:t>
      </w:r>
      <w:r w:rsidR="00E165EB" w:rsidRPr="000E0CA0">
        <w:rPr>
          <w:rFonts w:ascii="Times New Roman" w:hAnsi="Times New Roman"/>
          <w:bCs/>
          <w:sz w:val="24"/>
          <w:szCs w:val="24"/>
        </w:rPr>
        <w:t>,</w:t>
      </w:r>
      <w:r w:rsidR="00F57134" w:rsidRPr="000E0CA0">
        <w:rPr>
          <w:rFonts w:ascii="Times New Roman" w:hAnsi="Times New Roman"/>
          <w:bCs/>
          <w:sz w:val="24"/>
          <w:szCs w:val="24"/>
        </w:rPr>
        <w:t xml:space="preserve"> then the </w:t>
      </w:r>
      <w:r w:rsidRPr="000E0CA0">
        <w:rPr>
          <w:rFonts w:ascii="Times New Roman" w:hAnsi="Times New Roman"/>
          <w:bCs/>
          <w:sz w:val="24"/>
          <w:szCs w:val="24"/>
        </w:rPr>
        <w:t xml:space="preserve">foreign state can draw its own </w:t>
      </w:r>
      <w:r w:rsidR="00E7198A" w:rsidRPr="000E0CA0">
        <w:rPr>
          <w:rFonts w:ascii="Times New Roman" w:hAnsi="Times New Roman"/>
          <w:bCs/>
          <w:sz w:val="24"/>
          <w:szCs w:val="24"/>
        </w:rPr>
        <w:t>conclusions</w:t>
      </w:r>
      <w:r w:rsidRPr="000E0CA0">
        <w:rPr>
          <w:rFonts w:ascii="Times New Roman" w:hAnsi="Times New Roman"/>
          <w:bCs/>
          <w:sz w:val="24"/>
          <w:szCs w:val="24"/>
        </w:rPr>
        <w:t xml:space="preserve"> and the </w:t>
      </w:r>
      <w:r w:rsidR="00422685" w:rsidRPr="000E0CA0">
        <w:rPr>
          <w:rFonts w:ascii="Times New Roman" w:hAnsi="Times New Roman"/>
          <w:bCs/>
          <w:sz w:val="24"/>
          <w:szCs w:val="24"/>
        </w:rPr>
        <w:t xml:space="preserve">EU </w:t>
      </w:r>
      <w:r w:rsidRPr="000E0CA0">
        <w:rPr>
          <w:rFonts w:ascii="Times New Roman" w:hAnsi="Times New Roman"/>
          <w:bCs/>
          <w:sz w:val="24"/>
          <w:szCs w:val="24"/>
        </w:rPr>
        <w:t>Commission c</w:t>
      </w:r>
      <w:r w:rsidR="00422685" w:rsidRPr="000E0CA0">
        <w:rPr>
          <w:rFonts w:ascii="Times New Roman" w:hAnsi="Times New Roman"/>
          <w:bCs/>
          <w:sz w:val="24"/>
          <w:szCs w:val="24"/>
        </w:rPr>
        <w:t xml:space="preserve">an </w:t>
      </w:r>
      <w:r w:rsidRPr="000E0CA0">
        <w:rPr>
          <w:rFonts w:ascii="Times New Roman" w:hAnsi="Times New Roman"/>
          <w:bCs/>
          <w:sz w:val="24"/>
          <w:szCs w:val="24"/>
        </w:rPr>
        <w:t xml:space="preserve">commence infraction proceedings if the </w:t>
      </w:r>
      <w:r w:rsidR="00E7198A" w:rsidRPr="000E0CA0">
        <w:rPr>
          <w:rFonts w:ascii="Times New Roman" w:hAnsi="Times New Roman"/>
          <w:bCs/>
          <w:sz w:val="24"/>
          <w:szCs w:val="24"/>
        </w:rPr>
        <w:t>M</w:t>
      </w:r>
      <w:r w:rsidRPr="000E0CA0">
        <w:rPr>
          <w:rFonts w:ascii="Times New Roman" w:hAnsi="Times New Roman"/>
          <w:bCs/>
          <w:sz w:val="24"/>
          <w:szCs w:val="24"/>
        </w:rPr>
        <w:t xml:space="preserve">ember State </w:t>
      </w:r>
      <w:r w:rsidR="00422685" w:rsidRPr="000E0CA0">
        <w:rPr>
          <w:rFonts w:ascii="Times New Roman" w:hAnsi="Times New Roman"/>
          <w:bCs/>
          <w:sz w:val="24"/>
          <w:szCs w:val="24"/>
        </w:rPr>
        <w:t>in question declines to</w:t>
      </w:r>
      <w:r w:rsidRPr="000E0CA0">
        <w:rPr>
          <w:rFonts w:ascii="Times New Roman" w:hAnsi="Times New Roman"/>
          <w:bCs/>
          <w:sz w:val="24"/>
          <w:szCs w:val="24"/>
        </w:rPr>
        <w:t xml:space="preserve"> </w:t>
      </w:r>
      <w:r w:rsidR="00E7198A" w:rsidRPr="000E0CA0">
        <w:rPr>
          <w:rFonts w:ascii="Times New Roman" w:hAnsi="Times New Roman"/>
          <w:bCs/>
          <w:sz w:val="24"/>
          <w:szCs w:val="24"/>
        </w:rPr>
        <w:t>draw the necessary conclusions.</w:t>
      </w:r>
      <w:r w:rsidR="00F57134" w:rsidRPr="000E0CA0">
        <w:rPr>
          <w:rFonts w:ascii="Times New Roman" w:hAnsi="Times New Roman"/>
          <w:bCs/>
          <w:sz w:val="24"/>
          <w:szCs w:val="24"/>
        </w:rPr>
        <w:t xml:space="preserve"> </w:t>
      </w:r>
    </w:p>
    <w:p w14:paraId="6B311059" w14:textId="77777777" w:rsidR="00C70877" w:rsidRPr="000E0CA0" w:rsidRDefault="00C70877" w:rsidP="002D37BA">
      <w:pPr>
        <w:pStyle w:val="ListParagraph"/>
        <w:spacing w:line="240" w:lineRule="auto"/>
        <w:rPr>
          <w:rFonts w:ascii="Times New Roman" w:hAnsi="Times New Roman"/>
          <w:bCs/>
          <w:sz w:val="24"/>
          <w:szCs w:val="24"/>
        </w:rPr>
      </w:pPr>
    </w:p>
    <w:p w14:paraId="446B5409" w14:textId="311CFB18" w:rsidR="00337F77" w:rsidRDefault="00C70877" w:rsidP="002D37BA">
      <w:pPr>
        <w:pStyle w:val="ListParagraph"/>
        <w:numPr>
          <w:ilvl w:val="0"/>
          <w:numId w:val="13"/>
        </w:numPr>
        <w:spacing w:after="0" w:line="240" w:lineRule="auto"/>
        <w:ind w:left="567" w:hanging="567"/>
        <w:jc w:val="both"/>
        <w:rPr>
          <w:rFonts w:ascii="Times New Roman" w:hAnsi="Times New Roman"/>
          <w:bCs/>
          <w:sz w:val="24"/>
          <w:szCs w:val="24"/>
        </w:rPr>
      </w:pPr>
      <w:r w:rsidRPr="000E0CA0">
        <w:rPr>
          <w:rFonts w:ascii="Times New Roman" w:hAnsi="Times New Roman"/>
          <w:bCs/>
          <w:sz w:val="24"/>
          <w:szCs w:val="24"/>
        </w:rPr>
        <w:t>I</w:t>
      </w:r>
      <w:r w:rsidR="00422685" w:rsidRPr="000E0CA0">
        <w:rPr>
          <w:rFonts w:ascii="Times New Roman" w:hAnsi="Times New Roman"/>
          <w:bCs/>
          <w:sz w:val="24"/>
          <w:szCs w:val="24"/>
        </w:rPr>
        <w:t>n conclusion this court can rule on the incompatibility of the Italian law.  If the Appellant</w:t>
      </w:r>
      <w:r w:rsidR="00147676" w:rsidRPr="000E0CA0">
        <w:rPr>
          <w:rFonts w:ascii="Times New Roman" w:hAnsi="Times New Roman"/>
          <w:bCs/>
          <w:sz w:val="24"/>
          <w:szCs w:val="24"/>
        </w:rPr>
        <w:t>’</w:t>
      </w:r>
      <w:r w:rsidR="00422685" w:rsidRPr="000E0CA0">
        <w:rPr>
          <w:rFonts w:ascii="Times New Roman" w:hAnsi="Times New Roman"/>
          <w:bCs/>
          <w:sz w:val="24"/>
          <w:szCs w:val="24"/>
        </w:rPr>
        <w:t xml:space="preserve">s arguments are seriously arguable, we have the power to make a reference raising the issue. I turn now to the merits of the argument and whether in the light of that assessment a reference should be made. </w:t>
      </w:r>
      <w:r w:rsidR="006529D6" w:rsidRPr="000E0CA0">
        <w:rPr>
          <w:rFonts w:ascii="Times New Roman" w:hAnsi="Times New Roman"/>
          <w:bCs/>
          <w:sz w:val="24"/>
          <w:szCs w:val="24"/>
        </w:rPr>
        <w:t xml:space="preserve"> </w:t>
      </w:r>
    </w:p>
    <w:p w14:paraId="3FD98768" w14:textId="77777777" w:rsidR="00337F77" w:rsidRPr="00337F77" w:rsidRDefault="00337F77" w:rsidP="002D37BA">
      <w:pPr>
        <w:jc w:val="both"/>
        <w:rPr>
          <w:bCs/>
        </w:rPr>
      </w:pPr>
    </w:p>
    <w:p w14:paraId="577A5A4F" w14:textId="77777777" w:rsidR="00C104D6" w:rsidRPr="000E0CA0" w:rsidRDefault="009D2C1C" w:rsidP="002D37BA">
      <w:pPr>
        <w:pStyle w:val="ListParagraph"/>
        <w:numPr>
          <w:ilvl w:val="0"/>
          <w:numId w:val="26"/>
        </w:numPr>
        <w:spacing w:after="0" w:line="240" w:lineRule="auto"/>
        <w:ind w:hanging="513"/>
        <w:jc w:val="both"/>
        <w:rPr>
          <w:rFonts w:ascii="Times New Roman" w:hAnsi="Times New Roman"/>
          <w:b/>
          <w:bCs/>
          <w:i/>
          <w:iCs/>
          <w:sz w:val="24"/>
          <w:szCs w:val="24"/>
        </w:rPr>
      </w:pPr>
      <w:r>
        <w:rPr>
          <w:rFonts w:ascii="Times New Roman" w:hAnsi="Times New Roman"/>
          <w:b/>
          <w:bCs/>
          <w:i/>
          <w:iCs/>
          <w:sz w:val="24"/>
          <w:szCs w:val="24"/>
        </w:rPr>
        <w:t xml:space="preserve">Analysis - </w:t>
      </w:r>
      <w:r w:rsidR="00E13C54" w:rsidRPr="000E0CA0">
        <w:rPr>
          <w:rFonts w:ascii="Times New Roman" w:hAnsi="Times New Roman"/>
          <w:b/>
          <w:bCs/>
          <w:i/>
          <w:iCs/>
          <w:sz w:val="24"/>
          <w:szCs w:val="24"/>
        </w:rPr>
        <w:t>C</w:t>
      </w:r>
      <w:r w:rsidR="008E13EB" w:rsidRPr="000E0CA0">
        <w:rPr>
          <w:rFonts w:ascii="Times New Roman" w:hAnsi="Times New Roman"/>
          <w:b/>
          <w:bCs/>
          <w:i/>
          <w:iCs/>
          <w:sz w:val="24"/>
          <w:szCs w:val="24"/>
        </w:rPr>
        <w:t xml:space="preserve">ompatibility of Italian law </w:t>
      </w:r>
      <w:r w:rsidR="00124D24" w:rsidRPr="000E0CA0">
        <w:rPr>
          <w:rFonts w:ascii="Times New Roman" w:hAnsi="Times New Roman"/>
          <w:b/>
          <w:bCs/>
          <w:i/>
          <w:iCs/>
          <w:sz w:val="24"/>
          <w:szCs w:val="24"/>
        </w:rPr>
        <w:t>with Articles</w:t>
      </w:r>
      <w:r w:rsidR="00C104D6" w:rsidRPr="000E0CA0">
        <w:rPr>
          <w:rFonts w:ascii="Times New Roman" w:hAnsi="Times New Roman"/>
          <w:b/>
          <w:bCs/>
          <w:i/>
          <w:iCs/>
          <w:sz w:val="24"/>
          <w:szCs w:val="24"/>
        </w:rPr>
        <w:t xml:space="preserve"> 3</w:t>
      </w:r>
      <w:r w:rsidR="000F57B2" w:rsidRPr="000E0CA0">
        <w:rPr>
          <w:rFonts w:ascii="Times New Roman" w:hAnsi="Times New Roman"/>
          <w:b/>
          <w:bCs/>
          <w:i/>
          <w:iCs/>
          <w:sz w:val="24"/>
          <w:szCs w:val="24"/>
        </w:rPr>
        <w:t>5</w:t>
      </w:r>
      <w:r w:rsidR="00C104D6" w:rsidRPr="000E0CA0">
        <w:rPr>
          <w:rFonts w:ascii="Times New Roman" w:hAnsi="Times New Roman"/>
          <w:b/>
          <w:bCs/>
          <w:i/>
          <w:iCs/>
          <w:sz w:val="24"/>
          <w:szCs w:val="24"/>
        </w:rPr>
        <w:t xml:space="preserve"> and 3</w:t>
      </w:r>
      <w:r w:rsidR="000F57B2" w:rsidRPr="000E0CA0">
        <w:rPr>
          <w:rFonts w:ascii="Times New Roman" w:hAnsi="Times New Roman"/>
          <w:b/>
          <w:bCs/>
          <w:i/>
          <w:iCs/>
          <w:sz w:val="24"/>
          <w:szCs w:val="24"/>
        </w:rPr>
        <w:t>6</w:t>
      </w:r>
      <w:r w:rsidR="00C104D6" w:rsidRPr="000E0CA0">
        <w:rPr>
          <w:rFonts w:ascii="Times New Roman" w:hAnsi="Times New Roman"/>
          <w:b/>
          <w:bCs/>
          <w:i/>
          <w:iCs/>
          <w:sz w:val="24"/>
          <w:szCs w:val="24"/>
        </w:rPr>
        <w:t xml:space="preserve"> TFEU</w:t>
      </w:r>
      <w:r>
        <w:rPr>
          <w:rFonts w:ascii="Times New Roman" w:hAnsi="Times New Roman"/>
          <w:b/>
          <w:bCs/>
          <w:i/>
          <w:iCs/>
          <w:sz w:val="24"/>
          <w:szCs w:val="24"/>
        </w:rPr>
        <w:t xml:space="preserve"> and the state’s burden of proof</w:t>
      </w:r>
    </w:p>
    <w:p w14:paraId="1DA4FB9C" w14:textId="77777777" w:rsidR="009A22EB" w:rsidRDefault="009A22EB" w:rsidP="009A22EB">
      <w:pPr>
        <w:pStyle w:val="ListParagraph"/>
        <w:spacing w:after="0" w:line="240" w:lineRule="auto"/>
        <w:ind w:left="567"/>
        <w:jc w:val="both"/>
        <w:rPr>
          <w:rFonts w:ascii="Times New Roman" w:hAnsi="Times New Roman"/>
          <w:bCs/>
          <w:sz w:val="24"/>
          <w:szCs w:val="24"/>
        </w:rPr>
      </w:pPr>
    </w:p>
    <w:p w14:paraId="46885C22" w14:textId="3DE53813" w:rsidR="00BE3587" w:rsidRPr="009D2C1C" w:rsidRDefault="00C104D6" w:rsidP="002D37BA">
      <w:pPr>
        <w:pStyle w:val="ListParagraph"/>
        <w:numPr>
          <w:ilvl w:val="0"/>
          <w:numId w:val="13"/>
        </w:numPr>
        <w:spacing w:after="0" w:line="240" w:lineRule="auto"/>
        <w:ind w:left="567" w:hanging="425"/>
        <w:jc w:val="both"/>
        <w:rPr>
          <w:rFonts w:ascii="Times New Roman" w:hAnsi="Times New Roman"/>
          <w:bCs/>
          <w:sz w:val="24"/>
          <w:szCs w:val="24"/>
        </w:rPr>
      </w:pPr>
      <w:r w:rsidRPr="000E0CA0">
        <w:rPr>
          <w:rFonts w:ascii="Times New Roman" w:hAnsi="Times New Roman"/>
          <w:bCs/>
          <w:sz w:val="24"/>
          <w:szCs w:val="24"/>
        </w:rPr>
        <w:t xml:space="preserve">I turn now to </w:t>
      </w:r>
      <w:r w:rsidR="00422685" w:rsidRPr="000E0CA0">
        <w:rPr>
          <w:rFonts w:ascii="Times New Roman" w:hAnsi="Times New Roman"/>
          <w:bCs/>
          <w:sz w:val="24"/>
          <w:szCs w:val="24"/>
        </w:rPr>
        <w:t>consider whether Italian law is in breach of superior EU law</w:t>
      </w:r>
      <w:r w:rsidR="00147676" w:rsidRPr="000E0CA0">
        <w:rPr>
          <w:rFonts w:ascii="Times New Roman" w:hAnsi="Times New Roman"/>
          <w:bCs/>
          <w:sz w:val="24"/>
          <w:szCs w:val="24"/>
        </w:rPr>
        <w:t xml:space="preserve">, namely </w:t>
      </w:r>
      <w:r w:rsidR="00422685" w:rsidRPr="000E0CA0">
        <w:rPr>
          <w:rFonts w:ascii="Times New Roman" w:hAnsi="Times New Roman"/>
          <w:bCs/>
          <w:sz w:val="24"/>
          <w:szCs w:val="24"/>
        </w:rPr>
        <w:t>Article</w:t>
      </w:r>
      <w:r w:rsidR="00147676" w:rsidRPr="000E0CA0">
        <w:rPr>
          <w:rFonts w:ascii="Times New Roman" w:hAnsi="Times New Roman"/>
          <w:bCs/>
          <w:sz w:val="24"/>
          <w:szCs w:val="24"/>
        </w:rPr>
        <w:t>s</w:t>
      </w:r>
      <w:r w:rsidR="00422685" w:rsidRPr="000E0CA0">
        <w:rPr>
          <w:rFonts w:ascii="Times New Roman" w:hAnsi="Times New Roman"/>
          <w:bCs/>
          <w:sz w:val="24"/>
          <w:szCs w:val="24"/>
        </w:rPr>
        <w:t xml:space="preserve"> 3</w:t>
      </w:r>
      <w:r w:rsidR="00147676" w:rsidRPr="000E0CA0">
        <w:rPr>
          <w:rFonts w:ascii="Times New Roman" w:hAnsi="Times New Roman"/>
          <w:bCs/>
          <w:sz w:val="24"/>
          <w:szCs w:val="24"/>
        </w:rPr>
        <w:t>5</w:t>
      </w:r>
      <w:r w:rsidR="00422685" w:rsidRPr="000E0CA0">
        <w:rPr>
          <w:rFonts w:ascii="Times New Roman" w:hAnsi="Times New Roman"/>
          <w:bCs/>
          <w:sz w:val="24"/>
          <w:szCs w:val="24"/>
        </w:rPr>
        <w:t xml:space="preserve"> and 36 TFEU and Article 52 of the </w:t>
      </w:r>
      <w:r w:rsidR="008B24CE" w:rsidRPr="000E0CA0">
        <w:rPr>
          <w:rFonts w:ascii="Times New Roman" w:hAnsi="Times New Roman"/>
          <w:bCs/>
          <w:sz w:val="24"/>
          <w:szCs w:val="24"/>
        </w:rPr>
        <w:t xml:space="preserve">Charter </w:t>
      </w:r>
      <w:r w:rsidR="008B24CE">
        <w:rPr>
          <w:rFonts w:ascii="Times New Roman" w:hAnsi="Times New Roman"/>
          <w:bCs/>
          <w:sz w:val="24"/>
          <w:szCs w:val="24"/>
        </w:rPr>
        <w:t xml:space="preserve">of </w:t>
      </w:r>
      <w:r w:rsidR="00422685" w:rsidRPr="000E0CA0">
        <w:rPr>
          <w:rFonts w:ascii="Times New Roman" w:hAnsi="Times New Roman"/>
          <w:bCs/>
          <w:sz w:val="24"/>
          <w:szCs w:val="24"/>
        </w:rPr>
        <w:t>Fundamental</w:t>
      </w:r>
      <w:r w:rsidR="008B24CE">
        <w:rPr>
          <w:rFonts w:ascii="Times New Roman" w:hAnsi="Times New Roman"/>
          <w:bCs/>
          <w:sz w:val="24"/>
          <w:szCs w:val="24"/>
        </w:rPr>
        <w:t xml:space="preserve"> Rights</w:t>
      </w:r>
      <w:r w:rsidR="00422685" w:rsidRPr="000E0CA0">
        <w:rPr>
          <w:rFonts w:ascii="Times New Roman" w:hAnsi="Times New Roman"/>
          <w:bCs/>
          <w:sz w:val="24"/>
          <w:szCs w:val="24"/>
        </w:rPr>
        <w:t>. For the reasons</w:t>
      </w:r>
      <w:r w:rsidR="00147676" w:rsidRPr="000E0CA0">
        <w:rPr>
          <w:rFonts w:ascii="Times New Roman" w:hAnsi="Times New Roman"/>
          <w:bCs/>
          <w:sz w:val="24"/>
          <w:szCs w:val="24"/>
        </w:rPr>
        <w:t xml:space="preserve"> </w:t>
      </w:r>
      <w:r w:rsidR="00422685" w:rsidRPr="000E0CA0">
        <w:rPr>
          <w:rFonts w:ascii="Times New Roman" w:hAnsi="Times New Roman"/>
          <w:bCs/>
          <w:sz w:val="24"/>
          <w:szCs w:val="24"/>
        </w:rPr>
        <w:t>set out below I do not consider that this challenge is arguable or comes close to a threshold whereby I would consider that a reference was appropriate.  In any event even if I had done so I would not, on discretionary grounds, have made a reference.  I first address the application of Article 3</w:t>
      </w:r>
      <w:r w:rsidR="00147676" w:rsidRPr="000E0CA0">
        <w:rPr>
          <w:rFonts w:ascii="Times New Roman" w:hAnsi="Times New Roman"/>
          <w:bCs/>
          <w:sz w:val="24"/>
          <w:szCs w:val="24"/>
        </w:rPr>
        <w:t>5</w:t>
      </w:r>
      <w:r w:rsidR="00422685" w:rsidRPr="000E0CA0">
        <w:rPr>
          <w:rFonts w:ascii="Times New Roman" w:hAnsi="Times New Roman"/>
          <w:bCs/>
          <w:sz w:val="24"/>
          <w:szCs w:val="24"/>
        </w:rPr>
        <w:t xml:space="preserve"> and 36</w:t>
      </w:r>
      <w:r w:rsidR="009C772F">
        <w:rPr>
          <w:rFonts w:ascii="Times New Roman" w:hAnsi="Times New Roman"/>
          <w:bCs/>
          <w:sz w:val="24"/>
          <w:szCs w:val="24"/>
        </w:rPr>
        <w:t xml:space="preserve"> </w:t>
      </w:r>
      <w:r w:rsidR="00422685" w:rsidRPr="000E0CA0">
        <w:rPr>
          <w:rFonts w:ascii="Times New Roman" w:hAnsi="Times New Roman"/>
          <w:bCs/>
          <w:sz w:val="24"/>
          <w:szCs w:val="24"/>
        </w:rPr>
        <w:t>TFEU</w:t>
      </w:r>
      <w:r w:rsidR="00BE3587" w:rsidRPr="000E0CA0">
        <w:rPr>
          <w:rFonts w:ascii="Times New Roman" w:hAnsi="Times New Roman"/>
          <w:bCs/>
          <w:sz w:val="24"/>
          <w:szCs w:val="24"/>
        </w:rPr>
        <w:t xml:space="preserve">.  This </w:t>
      </w:r>
      <w:r w:rsidR="00147676" w:rsidRPr="000E0CA0">
        <w:rPr>
          <w:rFonts w:ascii="Times New Roman" w:hAnsi="Times New Roman"/>
          <w:bCs/>
          <w:sz w:val="24"/>
          <w:szCs w:val="24"/>
        </w:rPr>
        <w:t>bring</w:t>
      </w:r>
      <w:r w:rsidR="000F57B2" w:rsidRPr="000E0CA0">
        <w:rPr>
          <w:rFonts w:ascii="Times New Roman" w:hAnsi="Times New Roman"/>
          <w:bCs/>
          <w:sz w:val="24"/>
          <w:szCs w:val="24"/>
        </w:rPr>
        <w:t>s</w:t>
      </w:r>
      <w:r w:rsidR="00147676" w:rsidRPr="000E0CA0">
        <w:rPr>
          <w:rFonts w:ascii="Times New Roman" w:hAnsi="Times New Roman"/>
          <w:bCs/>
          <w:sz w:val="24"/>
          <w:szCs w:val="24"/>
        </w:rPr>
        <w:t xml:space="preserve"> in </w:t>
      </w:r>
      <w:r w:rsidR="00422685" w:rsidRPr="000E0CA0">
        <w:rPr>
          <w:rFonts w:ascii="Times New Roman" w:hAnsi="Times New Roman"/>
          <w:bCs/>
          <w:sz w:val="24"/>
          <w:szCs w:val="24"/>
        </w:rPr>
        <w:t xml:space="preserve">Article 52 of the </w:t>
      </w:r>
      <w:r w:rsidR="008B24CE" w:rsidRPr="000E0CA0">
        <w:rPr>
          <w:rFonts w:ascii="Times New Roman" w:hAnsi="Times New Roman"/>
          <w:bCs/>
          <w:sz w:val="24"/>
          <w:szCs w:val="24"/>
        </w:rPr>
        <w:t xml:space="preserve">Charter </w:t>
      </w:r>
      <w:r w:rsidR="008B24CE">
        <w:rPr>
          <w:rFonts w:ascii="Times New Roman" w:hAnsi="Times New Roman"/>
          <w:bCs/>
          <w:sz w:val="24"/>
          <w:szCs w:val="24"/>
        </w:rPr>
        <w:t xml:space="preserve">of </w:t>
      </w:r>
      <w:r w:rsidR="008B24CE" w:rsidRPr="000E0CA0">
        <w:rPr>
          <w:rFonts w:ascii="Times New Roman" w:hAnsi="Times New Roman"/>
          <w:bCs/>
          <w:sz w:val="24"/>
          <w:szCs w:val="24"/>
        </w:rPr>
        <w:t>Fundamental</w:t>
      </w:r>
      <w:r w:rsidR="008B24CE">
        <w:rPr>
          <w:rFonts w:ascii="Times New Roman" w:hAnsi="Times New Roman"/>
          <w:bCs/>
          <w:sz w:val="24"/>
          <w:szCs w:val="24"/>
        </w:rPr>
        <w:t xml:space="preserve"> Rights</w:t>
      </w:r>
      <w:r w:rsidR="00422685" w:rsidRPr="000E0CA0">
        <w:rPr>
          <w:rFonts w:ascii="Times New Roman" w:hAnsi="Times New Roman"/>
          <w:bCs/>
          <w:sz w:val="24"/>
          <w:szCs w:val="24"/>
        </w:rPr>
        <w:t xml:space="preserve">.  </w:t>
      </w:r>
    </w:p>
    <w:p w14:paraId="78435B31" w14:textId="77777777" w:rsidR="00EA7DB0" w:rsidRPr="000E0CA0" w:rsidRDefault="00EA7DB0" w:rsidP="002D37BA">
      <w:pPr>
        <w:pStyle w:val="ListParagraph"/>
        <w:spacing w:after="0" w:line="240" w:lineRule="auto"/>
        <w:jc w:val="both"/>
        <w:rPr>
          <w:rFonts w:ascii="Times New Roman" w:hAnsi="Times New Roman"/>
          <w:bCs/>
          <w:sz w:val="24"/>
          <w:szCs w:val="24"/>
        </w:rPr>
      </w:pPr>
    </w:p>
    <w:p w14:paraId="4B0E54A5" w14:textId="77777777" w:rsidR="00BE3587" w:rsidRPr="000E0CA0" w:rsidRDefault="00BE3587" w:rsidP="002D37BA">
      <w:pPr>
        <w:pStyle w:val="ListParagraph"/>
        <w:numPr>
          <w:ilvl w:val="0"/>
          <w:numId w:val="13"/>
        </w:numPr>
        <w:spacing w:after="0" w:line="240" w:lineRule="auto"/>
        <w:ind w:left="567" w:hanging="567"/>
        <w:jc w:val="both"/>
        <w:rPr>
          <w:rFonts w:ascii="Times New Roman" w:hAnsi="Times New Roman"/>
          <w:bCs/>
          <w:sz w:val="24"/>
          <w:szCs w:val="24"/>
        </w:rPr>
      </w:pPr>
      <w:r w:rsidRPr="000E0CA0">
        <w:rPr>
          <w:rFonts w:ascii="Times New Roman" w:hAnsi="Times New Roman"/>
          <w:bCs/>
          <w:sz w:val="24"/>
          <w:szCs w:val="24"/>
        </w:rPr>
        <w:t>It is common ground that the Italian licensing regime engages Article 3</w:t>
      </w:r>
      <w:r w:rsidR="000F57B2" w:rsidRPr="000E0CA0">
        <w:rPr>
          <w:rFonts w:ascii="Times New Roman" w:hAnsi="Times New Roman"/>
          <w:bCs/>
          <w:sz w:val="24"/>
          <w:szCs w:val="24"/>
        </w:rPr>
        <w:t>5</w:t>
      </w:r>
      <w:r w:rsidRPr="000E0CA0">
        <w:rPr>
          <w:rFonts w:ascii="Times New Roman" w:hAnsi="Times New Roman"/>
          <w:bCs/>
          <w:sz w:val="24"/>
          <w:szCs w:val="24"/>
        </w:rPr>
        <w:t xml:space="preserve"> TFEU.  Mr O’Neill QC, for the Appellant, argues that this conclusion suffices and that there is no further burden upon his client. The burden now shifts to the </w:t>
      </w:r>
      <w:r w:rsidR="000F57B2" w:rsidRPr="000E0CA0">
        <w:rPr>
          <w:rFonts w:ascii="Times New Roman" w:hAnsi="Times New Roman"/>
          <w:bCs/>
          <w:sz w:val="24"/>
          <w:szCs w:val="24"/>
        </w:rPr>
        <w:t>R</w:t>
      </w:r>
      <w:r w:rsidRPr="000E0CA0">
        <w:rPr>
          <w:rFonts w:ascii="Times New Roman" w:hAnsi="Times New Roman"/>
          <w:bCs/>
          <w:sz w:val="24"/>
          <w:szCs w:val="24"/>
        </w:rPr>
        <w:t>espondent to justify the restriction with full and comprehensive evidence.  In this regard Mr O’Neill QC was insistent that there was no duty on his client to spell out, with full particulars, the exact provisions of Italian law that were being objected to</w:t>
      </w:r>
      <w:r w:rsidR="000F57B2" w:rsidRPr="000E0CA0">
        <w:rPr>
          <w:rFonts w:ascii="Times New Roman" w:hAnsi="Times New Roman"/>
          <w:bCs/>
          <w:sz w:val="24"/>
          <w:szCs w:val="24"/>
        </w:rPr>
        <w:t xml:space="preserve"> - </w:t>
      </w:r>
      <w:r w:rsidRPr="000E0CA0">
        <w:rPr>
          <w:rFonts w:ascii="Times New Roman" w:hAnsi="Times New Roman"/>
          <w:bCs/>
          <w:sz w:val="24"/>
          <w:szCs w:val="24"/>
        </w:rPr>
        <w:t>that task fell to the state seeking to justify the restriction a</w:t>
      </w:r>
      <w:r w:rsidR="00E13C54" w:rsidRPr="000E0CA0">
        <w:rPr>
          <w:rFonts w:ascii="Times New Roman" w:hAnsi="Times New Roman"/>
          <w:bCs/>
          <w:sz w:val="24"/>
          <w:szCs w:val="24"/>
        </w:rPr>
        <w:t>s</w:t>
      </w:r>
      <w:r w:rsidRPr="000E0CA0">
        <w:rPr>
          <w:rFonts w:ascii="Times New Roman" w:hAnsi="Times New Roman"/>
          <w:bCs/>
          <w:sz w:val="24"/>
          <w:szCs w:val="24"/>
        </w:rPr>
        <w:t xml:space="preserve"> part of its burden and standard of proof. I do not agree with this analysis.  It is a point of some </w:t>
      </w:r>
      <w:r w:rsidR="00537D1C" w:rsidRPr="000E0CA0">
        <w:rPr>
          <w:rFonts w:ascii="Times New Roman" w:hAnsi="Times New Roman"/>
          <w:bCs/>
          <w:sz w:val="24"/>
          <w:szCs w:val="24"/>
        </w:rPr>
        <w:t>significance</w:t>
      </w:r>
      <w:r w:rsidRPr="000E0CA0">
        <w:rPr>
          <w:rFonts w:ascii="Times New Roman" w:hAnsi="Times New Roman"/>
          <w:bCs/>
          <w:sz w:val="24"/>
          <w:szCs w:val="24"/>
        </w:rPr>
        <w:t xml:space="preserve"> because </w:t>
      </w:r>
      <w:r w:rsidR="00537D1C" w:rsidRPr="000E0CA0">
        <w:rPr>
          <w:rFonts w:ascii="Times New Roman" w:hAnsi="Times New Roman"/>
          <w:bCs/>
          <w:sz w:val="24"/>
          <w:szCs w:val="24"/>
        </w:rPr>
        <w:t xml:space="preserve">specification of the </w:t>
      </w:r>
      <w:r w:rsidRPr="000E0CA0">
        <w:rPr>
          <w:rFonts w:ascii="Times New Roman" w:hAnsi="Times New Roman"/>
          <w:bCs/>
          <w:sz w:val="24"/>
          <w:szCs w:val="24"/>
        </w:rPr>
        <w:t xml:space="preserve">restrictive measure in question </w:t>
      </w:r>
      <w:r w:rsidR="00E13C54" w:rsidRPr="000E0CA0">
        <w:rPr>
          <w:rFonts w:ascii="Times New Roman" w:hAnsi="Times New Roman"/>
          <w:bCs/>
          <w:sz w:val="24"/>
          <w:szCs w:val="24"/>
        </w:rPr>
        <w:t>is central to the R</w:t>
      </w:r>
      <w:r w:rsidR="00537D1C" w:rsidRPr="000E0CA0">
        <w:rPr>
          <w:rFonts w:ascii="Times New Roman" w:hAnsi="Times New Roman"/>
          <w:bCs/>
          <w:sz w:val="24"/>
          <w:szCs w:val="24"/>
        </w:rPr>
        <w:t xml:space="preserve">espondent state knowing </w:t>
      </w:r>
      <w:r w:rsidR="00E13C54" w:rsidRPr="000E0CA0">
        <w:rPr>
          <w:rFonts w:ascii="Times New Roman" w:hAnsi="Times New Roman"/>
          <w:bCs/>
          <w:sz w:val="24"/>
          <w:szCs w:val="24"/>
        </w:rPr>
        <w:t xml:space="preserve">exactly </w:t>
      </w:r>
      <w:r w:rsidR="00537D1C" w:rsidRPr="000E0CA0">
        <w:rPr>
          <w:rFonts w:ascii="Times New Roman" w:hAnsi="Times New Roman"/>
          <w:bCs/>
          <w:sz w:val="24"/>
          <w:szCs w:val="24"/>
        </w:rPr>
        <w:t>what it must defend.  In this case it is relevant that the Appellant does not challenge the basic Italian law on export control.  It is acknowledged th</w:t>
      </w:r>
      <w:r w:rsidR="000F57B2" w:rsidRPr="000E0CA0">
        <w:rPr>
          <w:rFonts w:ascii="Times New Roman" w:hAnsi="Times New Roman"/>
          <w:bCs/>
          <w:sz w:val="24"/>
          <w:szCs w:val="24"/>
        </w:rPr>
        <w:t>a</w:t>
      </w:r>
      <w:r w:rsidR="00537D1C" w:rsidRPr="000E0CA0">
        <w:rPr>
          <w:rFonts w:ascii="Times New Roman" w:hAnsi="Times New Roman"/>
          <w:bCs/>
          <w:sz w:val="24"/>
          <w:szCs w:val="24"/>
        </w:rPr>
        <w:t xml:space="preserve">t there needs to be a system of export controls to protect the artistic and cultural heritage of the Italian state. So, there is </w:t>
      </w:r>
      <w:r w:rsidR="00537D1C" w:rsidRPr="000E0CA0">
        <w:rPr>
          <w:rFonts w:ascii="Times New Roman" w:hAnsi="Times New Roman"/>
          <w:bCs/>
          <w:sz w:val="24"/>
          <w:szCs w:val="24"/>
          <w:u w:val="single"/>
        </w:rPr>
        <w:t>no</w:t>
      </w:r>
      <w:r w:rsidR="00537D1C" w:rsidRPr="000E0CA0">
        <w:rPr>
          <w:rFonts w:ascii="Times New Roman" w:hAnsi="Times New Roman"/>
          <w:bCs/>
          <w:sz w:val="24"/>
          <w:szCs w:val="24"/>
        </w:rPr>
        <w:t xml:space="preserve"> challenge to the system as a whole and the </w:t>
      </w:r>
      <w:r w:rsidR="000F57B2" w:rsidRPr="000E0CA0">
        <w:rPr>
          <w:rFonts w:ascii="Times New Roman" w:hAnsi="Times New Roman"/>
          <w:bCs/>
          <w:sz w:val="24"/>
          <w:szCs w:val="24"/>
        </w:rPr>
        <w:t>R</w:t>
      </w:r>
      <w:r w:rsidR="00537D1C" w:rsidRPr="000E0CA0">
        <w:rPr>
          <w:rFonts w:ascii="Times New Roman" w:hAnsi="Times New Roman"/>
          <w:bCs/>
          <w:sz w:val="24"/>
          <w:szCs w:val="24"/>
        </w:rPr>
        <w:t>espondent does not have to adduce evidence to meet that challenge.  Equally</w:t>
      </w:r>
      <w:r w:rsidR="009D2C1C">
        <w:rPr>
          <w:rFonts w:ascii="Times New Roman" w:hAnsi="Times New Roman"/>
          <w:bCs/>
          <w:sz w:val="24"/>
          <w:szCs w:val="24"/>
        </w:rPr>
        <w:t>,</w:t>
      </w:r>
      <w:r w:rsidR="00537D1C" w:rsidRPr="000E0CA0">
        <w:rPr>
          <w:rFonts w:ascii="Times New Roman" w:hAnsi="Times New Roman"/>
          <w:bCs/>
          <w:sz w:val="24"/>
          <w:szCs w:val="24"/>
        </w:rPr>
        <w:t xml:space="preserve"> there is no challenge to the modalities of the licence application system.  For instance, it is not said that the process of applying for an export licence is unduly protracted or expensive or complicated.  And so the </w:t>
      </w:r>
      <w:r w:rsidR="000F57B2" w:rsidRPr="000E0CA0">
        <w:rPr>
          <w:rFonts w:ascii="Times New Roman" w:hAnsi="Times New Roman"/>
          <w:bCs/>
          <w:sz w:val="24"/>
          <w:szCs w:val="24"/>
        </w:rPr>
        <w:t>R</w:t>
      </w:r>
      <w:r w:rsidR="00537D1C" w:rsidRPr="000E0CA0">
        <w:rPr>
          <w:rFonts w:ascii="Times New Roman" w:hAnsi="Times New Roman"/>
          <w:bCs/>
          <w:sz w:val="24"/>
          <w:szCs w:val="24"/>
        </w:rPr>
        <w:t xml:space="preserve">espondent does not have to meet that challenge either.   </w:t>
      </w:r>
    </w:p>
    <w:p w14:paraId="7FD222DE" w14:textId="77777777" w:rsidR="00A25217" w:rsidRPr="000E0CA0" w:rsidRDefault="00A25217" w:rsidP="002D37BA">
      <w:pPr>
        <w:pStyle w:val="ListParagraph"/>
        <w:spacing w:after="0" w:line="240" w:lineRule="auto"/>
        <w:jc w:val="both"/>
        <w:rPr>
          <w:rFonts w:ascii="Times New Roman" w:hAnsi="Times New Roman"/>
          <w:bCs/>
          <w:sz w:val="24"/>
          <w:szCs w:val="24"/>
        </w:rPr>
      </w:pPr>
    </w:p>
    <w:p w14:paraId="3B909230" w14:textId="77777777" w:rsidR="00537D1C" w:rsidRPr="000E0CA0" w:rsidRDefault="00537D1C" w:rsidP="002D37BA">
      <w:pPr>
        <w:pStyle w:val="ListParagraph"/>
        <w:numPr>
          <w:ilvl w:val="0"/>
          <w:numId w:val="13"/>
        </w:numPr>
        <w:spacing w:after="0" w:line="240" w:lineRule="auto"/>
        <w:ind w:left="567" w:hanging="578"/>
        <w:jc w:val="both"/>
        <w:rPr>
          <w:rFonts w:ascii="Times New Roman" w:hAnsi="Times New Roman"/>
          <w:bCs/>
          <w:sz w:val="24"/>
          <w:szCs w:val="24"/>
        </w:rPr>
      </w:pPr>
      <w:r w:rsidRPr="000E0CA0">
        <w:rPr>
          <w:rFonts w:ascii="Times New Roman" w:hAnsi="Times New Roman"/>
          <w:bCs/>
          <w:sz w:val="24"/>
          <w:szCs w:val="24"/>
        </w:rPr>
        <w:t xml:space="preserve">In the course of oral argument, and after some considerable pressing from the court, the Appellant clarified that all that was being challenged was: (i) the application of the licensing regime to the Appellant herself in the very particular circumstances of this case; </w:t>
      </w:r>
      <w:r w:rsidR="00E13C54" w:rsidRPr="000E0CA0">
        <w:rPr>
          <w:rFonts w:ascii="Times New Roman" w:hAnsi="Times New Roman"/>
          <w:bCs/>
          <w:sz w:val="24"/>
          <w:szCs w:val="24"/>
        </w:rPr>
        <w:t xml:space="preserve">and specifically </w:t>
      </w:r>
      <w:r w:rsidRPr="000E0CA0">
        <w:rPr>
          <w:rFonts w:ascii="Times New Roman" w:hAnsi="Times New Roman"/>
          <w:bCs/>
          <w:sz w:val="24"/>
          <w:szCs w:val="24"/>
        </w:rPr>
        <w:t>(ii)</w:t>
      </w:r>
      <w:r w:rsidR="00E13C54" w:rsidRPr="000E0CA0">
        <w:rPr>
          <w:rFonts w:ascii="Times New Roman" w:hAnsi="Times New Roman"/>
          <w:bCs/>
          <w:sz w:val="24"/>
          <w:szCs w:val="24"/>
        </w:rPr>
        <w:t>,</w:t>
      </w:r>
      <w:r w:rsidRPr="000E0CA0">
        <w:rPr>
          <w:rFonts w:ascii="Times New Roman" w:hAnsi="Times New Roman"/>
          <w:bCs/>
          <w:sz w:val="24"/>
          <w:szCs w:val="24"/>
        </w:rPr>
        <w:t xml:space="preserve"> those provisions of the licensing regime which imposed upon Mr</w:t>
      </w:r>
      <w:r w:rsidR="000F57B2" w:rsidRPr="000E0CA0">
        <w:rPr>
          <w:rFonts w:ascii="Times New Roman" w:hAnsi="Times New Roman"/>
          <w:bCs/>
          <w:sz w:val="24"/>
          <w:szCs w:val="24"/>
        </w:rPr>
        <w:t>s</w:t>
      </w:r>
      <w:r w:rsidRPr="000E0CA0">
        <w:rPr>
          <w:rFonts w:ascii="Times New Roman" w:hAnsi="Times New Roman"/>
          <w:bCs/>
          <w:sz w:val="24"/>
          <w:szCs w:val="24"/>
        </w:rPr>
        <w:t xml:space="preserve"> Simonis the duty to apply </w:t>
      </w:r>
      <w:r w:rsidR="000F57B2" w:rsidRPr="000E0CA0">
        <w:rPr>
          <w:rFonts w:ascii="Times New Roman" w:hAnsi="Times New Roman"/>
          <w:bCs/>
          <w:sz w:val="24"/>
          <w:szCs w:val="24"/>
        </w:rPr>
        <w:t xml:space="preserve">for a licence </w:t>
      </w:r>
      <w:r w:rsidRPr="000E0CA0">
        <w:rPr>
          <w:rFonts w:ascii="Times New Roman" w:hAnsi="Times New Roman"/>
          <w:bCs/>
          <w:sz w:val="24"/>
          <w:szCs w:val="24"/>
        </w:rPr>
        <w:t xml:space="preserve">and thereby give </w:t>
      </w:r>
      <w:r w:rsidR="00E13C54" w:rsidRPr="000E0CA0">
        <w:rPr>
          <w:rFonts w:ascii="Times New Roman" w:hAnsi="Times New Roman"/>
          <w:bCs/>
          <w:sz w:val="24"/>
          <w:szCs w:val="24"/>
        </w:rPr>
        <w:t xml:space="preserve">advance </w:t>
      </w:r>
      <w:r w:rsidRPr="000E0CA0">
        <w:rPr>
          <w:rFonts w:ascii="Times New Roman" w:hAnsi="Times New Roman"/>
          <w:bCs/>
          <w:sz w:val="24"/>
          <w:szCs w:val="24"/>
        </w:rPr>
        <w:t xml:space="preserve">notice to the Italian authorities that she intended to remove the painting from Italy.  </w:t>
      </w:r>
    </w:p>
    <w:p w14:paraId="344518E0" w14:textId="77777777" w:rsidR="00A25217" w:rsidRPr="000E0CA0" w:rsidRDefault="00A25217" w:rsidP="002D37BA">
      <w:pPr>
        <w:pStyle w:val="ListParagraph"/>
        <w:spacing w:after="0" w:line="240" w:lineRule="auto"/>
        <w:ind w:left="0"/>
        <w:jc w:val="both"/>
        <w:rPr>
          <w:rFonts w:ascii="Times New Roman" w:hAnsi="Times New Roman"/>
          <w:bCs/>
          <w:sz w:val="24"/>
          <w:szCs w:val="24"/>
        </w:rPr>
      </w:pPr>
    </w:p>
    <w:p w14:paraId="59D81042" w14:textId="5D5546D1" w:rsidR="005734F1" w:rsidRPr="000E0CA0" w:rsidRDefault="00537D1C" w:rsidP="002D37BA">
      <w:pPr>
        <w:pStyle w:val="ListParagraph"/>
        <w:numPr>
          <w:ilvl w:val="0"/>
          <w:numId w:val="13"/>
        </w:numPr>
        <w:spacing w:after="0" w:line="240" w:lineRule="auto"/>
        <w:ind w:left="567" w:hanging="567"/>
        <w:jc w:val="both"/>
        <w:rPr>
          <w:rFonts w:ascii="Times New Roman" w:hAnsi="Times New Roman"/>
          <w:bCs/>
          <w:i/>
          <w:iCs/>
          <w:sz w:val="24"/>
          <w:szCs w:val="24"/>
        </w:rPr>
      </w:pPr>
      <w:r w:rsidRPr="000E0CA0">
        <w:rPr>
          <w:rFonts w:ascii="Times New Roman" w:hAnsi="Times New Roman"/>
          <w:bCs/>
          <w:sz w:val="24"/>
          <w:szCs w:val="24"/>
        </w:rPr>
        <w:t xml:space="preserve">But even in this reduced form Mr O’Neill QC still launched a vigorous attack upon the </w:t>
      </w:r>
      <w:r w:rsidR="000F57B2" w:rsidRPr="000E0CA0">
        <w:rPr>
          <w:rFonts w:ascii="Times New Roman" w:hAnsi="Times New Roman"/>
          <w:bCs/>
          <w:sz w:val="24"/>
          <w:szCs w:val="24"/>
        </w:rPr>
        <w:t>R</w:t>
      </w:r>
      <w:r w:rsidRPr="000E0CA0">
        <w:rPr>
          <w:rFonts w:ascii="Times New Roman" w:hAnsi="Times New Roman"/>
          <w:bCs/>
          <w:sz w:val="24"/>
          <w:szCs w:val="24"/>
        </w:rPr>
        <w:t xml:space="preserve">espondent for failing, he said, to provide details of the relevant provisions of the Italian law.  </w:t>
      </w:r>
      <w:r w:rsidR="00A25217" w:rsidRPr="000E0CA0">
        <w:rPr>
          <w:rFonts w:ascii="Times New Roman" w:hAnsi="Times New Roman"/>
          <w:bCs/>
          <w:sz w:val="24"/>
          <w:szCs w:val="24"/>
        </w:rPr>
        <w:t xml:space="preserve">It was in this connection that Mr O’Neill QC relied upon Article 52(1) of the </w:t>
      </w:r>
      <w:r w:rsidR="009C772F" w:rsidRPr="000E0CA0">
        <w:rPr>
          <w:rFonts w:ascii="Times New Roman" w:hAnsi="Times New Roman"/>
          <w:bCs/>
          <w:sz w:val="24"/>
          <w:szCs w:val="24"/>
        </w:rPr>
        <w:t xml:space="preserve">Charter </w:t>
      </w:r>
      <w:r w:rsidR="009C772F">
        <w:rPr>
          <w:rFonts w:ascii="Times New Roman" w:hAnsi="Times New Roman"/>
          <w:bCs/>
          <w:sz w:val="24"/>
          <w:szCs w:val="24"/>
        </w:rPr>
        <w:t xml:space="preserve">of </w:t>
      </w:r>
      <w:r w:rsidR="009C772F" w:rsidRPr="000E0CA0">
        <w:rPr>
          <w:rFonts w:ascii="Times New Roman" w:hAnsi="Times New Roman"/>
          <w:bCs/>
          <w:sz w:val="24"/>
          <w:szCs w:val="24"/>
        </w:rPr>
        <w:t>Fundamental</w:t>
      </w:r>
      <w:r w:rsidR="009C772F">
        <w:rPr>
          <w:rFonts w:ascii="Times New Roman" w:hAnsi="Times New Roman"/>
          <w:bCs/>
          <w:sz w:val="24"/>
          <w:szCs w:val="24"/>
        </w:rPr>
        <w:t xml:space="preserve"> Rights</w:t>
      </w:r>
      <w:r w:rsidR="005734F1" w:rsidRPr="000E0CA0">
        <w:rPr>
          <w:rFonts w:ascii="Times New Roman" w:hAnsi="Times New Roman"/>
          <w:i/>
          <w:iCs/>
          <w:sz w:val="24"/>
          <w:szCs w:val="24"/>
        </w:rPr>
        <w:t xml:space="preserve"> </w:t>
      </w:r>
      <w:r w:rsidR="005734F1" w:rsidRPr="000E0CA0">
        <w:rPr>
          <w:rFonts w:ascii="Times New Roman" w:hAnsi="Times New Roman"/>
          <w:sz w:val="24"/>
          <w:szCs w:val="24"/>
        </w:rPr>
        <w:t>concerning the “</w:t>
      </w:r>
      <w:r w:rsidR="005734F1" w:rsidRPr="009D2C1C">
        <w:rPr>
          <w:rFonts w:ascii="Times New Roman" w:hAnsi="Times New Roman"/>
          <w:i/>
          <w:iCs/>
          <w:sz w:val="24"/>
          <w:szCs w:val="24"/>
        </w:rPr>
        <w:t>Scope of guaranteed rights</w:t>
      </w:r>
      <w:r w:rsidR="005734F1" w:rsidRPr="000E0CA0">
        <w:rPr>
          <w:rFonts w:ascii="Times New Roman" w:hAnsi="Times New Roman"/>
          <w:sz w:val="24"/>
          <w:szCs w:val="24"/>
        </w:rPr>
        <w:t>”</w:t>
      </w:r>
      <w:r w:rsidR="00A25217" w:rsidRPr="000E0CA0">
        <w:rPr>
          <w:rFonts w:ascii="Times New Roman" w:hAnsi="Times New Roman"/>
          <w:bCs/>
          <w:sz w:val="24"/>
          <w:szCs w:val="24"/>
        </w:rPr>
        <w:t xml:space="preserve">: </w:t>
      </w:r>
    </w:p>
    <w:p w14:paraId="50F4875F" w14:textId="77777777" w:rsidR="005734F1" w:rsidRPr="000E0CA0" w:rsidRDefault="005734F1" w:rsidP="002D37BA">
      <w:pPr>
        <w:pStyle w:val="ListParagraph"/>
        <w:spacing w:line="240" w:lineRule="auto"/>
        <w:rPr>
          <w:rFonts w:ascii="Times New Roman" w:hAnsi="Times New Roman"/>
          <w:bCs/>
          <w:sz w:val="24"/>
          <w:szCs w:val="24"/>
        </w:rPr>
      </w:pPr>
    </w:p>
    <w:p w14:paraId="4FFA27B8" w14:textId="77777777" w:rsidR="005734F1" w:rsidRPr="000E0CA0" w:rsidRDefault="00A25217" w:rsidP="002D37BA">
      <w:pPr>
        <w:pStyle w:val="ListParagraph"/>
        <w:spacing w:after="0" w:line="240" w:lineRule="auto"/>
        <w:ind w:left="1701"/>
        <w:jc w:val="both"/>
        <w:rPr>
          <w:rFonts w:ascii="Times New Roman" w:hAnsi="Times New Roman"/>
          <w:i/>
          <w:iCs/>
          <w:sz w:val="24"/>
          <w:szCs w:val="24"/>
        </w:rPr>
      </w:pPr>
      <w:r w:rsidRPr="000E0CA0">
        <w:rPr>
          <w:rFonts w:ascii="Times New Roman" w:hAnsi="Times New Roman"/>
          <w:bCs/>
          <w:sz w:val="24"/>
          <w:szCs w:val="24"/>
        </w:rPr>
        <w:lastRenderedPageBreak/>
        <w:t>“Any limitation on the exercise of the rights and freedoms recognised by this Charter must be provided for by law and respect the essence of those rights and freedoms</w:t>
      </w:r>
      <w:r w:rsidR="005734F1" w:rsidRPr="000E0CA0">
        <w:rPr>
          <w:rFonts w:ascii="Times New Roman" w:hAnsi="Times New Roman"/>
          <w:sz w:val="24"/>
          <w:szCs w:val="24"/>
        </w:rPr>
        <w:t>. Subject to the principle of proportionality, limitations may be made only if they are necessary and genuinely meet objectives of general interest recognised by the Union or the need to protect the rights and freedoms of others</w:t>
      </w:r>
      <w:r w:rsidR="005734F1" w:rsidRPr="000E0CA0">
        <w:rPr>
          <w:rFonts w:ascii="Times New Roman" w:hAnsi="Times New Roman"/>
          <w:i/>
          <w:iCs/>
          <w:sz w:val="24"/>
          <w:szCs w:val="24"/>
        </w:rPr>
        <w:t>.”</w:t>
      </w:r>
    </w:p>
    <w:p w14:paraId="4AD2A060" w14:textId="77777777" w:rsidR="005734F1" w:rsidRPr="000E0CA0" w:rsidRDefault="005734F1" w:rsidP="002D37BA">
      <w:pPr>
        <w:pStyle w:val="ListParagraph"/>
        <w:spacing w:after="0" w:line="240" w:lineRule="auto"/>
        <w:ind w:left="1701"/>
        <w:jc w:val="both"/>
        <w:rPr>
          <w:rFonts w:ascii="Times New Roman" w:hAnsi="Times New Roman"/>
          <w:i/>
          <w:iCs/>
          <w:sz w:val="24"/>
          <w:szCs w:val="24"/>
        </w:rPr>
      </w:pPr>
    </w:p>
    <w:p w14:paraId="0D5F573F" w14:textId="2B8AB424" w:rsidR="00077A61" w:rsidRPr="000E0CA0" w:rsidRDefault="00A25217" w:rsidP="002D37BA">
      <w:pPr>
        <w:pStyle w:val="ListParagraph"/>
        <w:spacing w:after="0" w:line="240" w:lineRule="auto"/>
        <w:ind w:left="567"/>
        <w:jc w:val="both"/>
        <w:rPr>
          <w:rFonts w:ascii="Times New Roman" w:hAnsi="Times New Roman"/>
          <w:bCs/>
          <w:i/>
          <w:iCs/>
          <w:sz w:val="24"/>
          <w:szCs w:val="24"/>
        </w:rPr>
      </w:pPr>
      <w:r w:rsidRPr="000E0CA0">
        <w:rPr>
          <w:rFonts w:ascii="Times New Roman" w:hAnsi="Times New Roman"/>
          <w:bCs/>
          <w:sz w:val="24"/>
          <w:szCs w:val="24"/>
        </w:rPr>
        <w:t xml:space="preserve">It was argued that </w:t>
      </w:r>
      <w:r w:rsidR="005734F1" w:rsidRPr="000E0CA0">
        <w:rPr>
          <w:rFonts w:ascii="Times New Roman" w:hAnsi="Times New Roman"/>
          <w:bCs/>
          <w:sz w:val="24"/>
          <w:szCs w:val="24"/>
        </w:rPr>
        <w:t xml:space="preserve">this meant that it was the burden of the state </w:t>
      </w:r>
      <w:r w:rsidRPr="000E0CA0">
        <w:rPr>
          <w:rFonts w:ascii="Times New Roman" w:hAnsi="Times New Roman"/>
          <w:bCs/>
          <w:sz w:val="24"/>
          <w:szCs w:val="24"/>
        </w:rPr>
        <w:t xml:space="preserve">to establish </w:t>
      </w:r>
      <w:r w:rsidR="005734F1" w:rsidRPr="000E0CA0">
        <w:rPr>
          <w:rFonts w:ascii="Times New Roman" w:hAnsi="Times New Roman"/>
          <w:bCs/>
          <w:sz w:val="24"/>
          <w:szCs w:val="24"/>
        </w:rPr>
        <w:t>that the restriction was “</w:t>
      </w:r>
      <w:r w:rsidR="005734F1" w:rsidRPr="000E0CA0">
        <w:rPr>
          <w:rFonts w:ascii="Times New Roman" w:hAnsi="Times New Roman"/>
          <w:bCs/>
          <w:i/>
          <w:iCs/>
          <w:sz w:val="24"/>
          <w:szCs w:val="24"/>
        </w:rPr>
        <w:t>provided for by law</w:t>
      </w:r>
      <w:r w:rsidR="005734F1" w:rsidRPr="000E0CA0">
        <w:rPr>
          <w:rFonts w:ascii="Times New Roman" w:hAnsi="Times New Roman"/>
          <w:bCs/>
          <w:sz w:val="24"/>
          <w:szCs w:val="24"/>
        </w:rPr>
        <w:t>” and they had not been able to do this.</w:t>
      </w:r>
      <w:r w:rsidRPr="000E0CA0">
        <w:rPr>
          <w:rFonts w:ascii="Times New Roman" w:hAnsi="Times New Roman"/>
          <w:bCs/>
          <w:sz w:val="24"/>
          <w:szCs w:val="24"/>
        </w:rPr>
        <w:t xml:space="preserve"> </w:t>
      </w:r>
      <w:r w:rsidR="00537D1C" w:rsidRPr="000E0CA0">
        <w:rPr>
          <w:rFonts w:ascii="Times New Roman" w:hAnsi="Times New Roman"/>
          <w:bCs/>
          <w:sz w:val="24"/>
          <w:szCs w:val="24"/>
        </w:rPr>
        <w:t>In particular</w:t>
      </w:r>
      <w:r w:rsidR="00077A61" w:rsidRPr="000E0CA0">
        <w:rPr>
          <w:rFonts w:ascii="Times New Roman" w:hAnsi="Times New Roman"/>
          <w:bCs/>
          <w:sz w:val="24"/>
          <w:szCs w:val="24"/>
        </w:rPr>
        <w:t>,</w:t>
      </w:r>
      <w:r w:rsidR="00537D1C" w:rsidRPr="000E0CA0">
        <w:rPr>
          <w:rFonts w:ascii="Times New Roman" w:hAnsi="Times New Roman"/>
          <w:bCs/>
          <w:sz w:val="24"/>
          <w:szCs w:val="24"/>
        </w:rPr>
        <w:t xml:space="preserve"> </w:t>
      </w:r>
      <w:r w:rsidR="005734F1" w:rsidRPr="000E0CA0">
        <w:rPr>
          <w:rFonts w:ascii="Times New Roman" w:hAnsi="Times New Roman"/>
          <w:bCs/>
          <w:sz w:val="24"/>
          <w:szCs w:val="24"/>
        </w:rPr>
        <w:t>t</w:t>
      </w:r>
      <w:r w:rsidR="00537D1C" w:rsidRPr="000E0CA0">
        <w:rPr>
          <w:rFonts w:ascii="Times New Roman" w:hAnsi="Times New Roman"/>
          <w:bCs/>
          <w:sz w:val="24"/>
          <w:szCs w:val="24"/>
        </w:rPr>
        <w:t xml:space="preserve">he </w:t>
      </w:r>
      <w:r w:rsidR="000F57B2" w:rsidRPr="000E0CA0">
        <w:rPr>
          <w:rFonts w:ascii="Times New Roman" w:hAnsi="Times New Roman"/>
          <w:bCs/>
          <w:sz w:val="24"/>
          <w:szCs w:val="24"/>
        </w:rPr>
        <w:t>R</w:t>
      </w:r>
      <w:r w:rsidR="00537D1C" w:rsidRPr="000E0CA0">
        <w:rPr>
          <w:rFonts w:ascii="Times New Roman" w:hAnsi="Times New Roman"/>
          <w:bCs/>
          <w:sz w:val="24"/>
          <w:szCs w:val="24"/>
        </w:rPr>
        <w:t>espondent</w:t>
      </w:r>
      <w:r w:rsidR="00077A61" w:rsidRPr="000E0CA0">
        <w:rPr>
          <w:rFonts w:ascii="Times New Roman" w:hAnsi="Times New Roman"/>
          <w:bCs/>
          <w:sz w:val="24"/>
          <w:szCs w:val="24"/>
        </w:rPr>
        <w:t>’</w:t>
      </w:r>
      <w:r w:rsidR="00537D1C" w:rsidRPr="000E0CA0">
        <w:rPr>
          <w:rFonts w:ascii="Times New Roman" w:hAnsi="Times New Roman"/>
          <w:bCs/>
          <w:sz w:val="24"/>
          <w:szCs w:val="24"/>
        </w:rPr>
        <w:t xml:space="preserve">s case focused upon the </w:t>
      </w:r>
      <w:r w:rsidR="005734F1" w:rsidRPr="000E0CA0">
        <w:rPr>
          <w:rFonts w:ascii="Times New Roman" w:hAnsi="Times New Roman"/>
          <w:bCs/>
          <w:sz w:val="24"/>
          <w:szCs w:val="24"/>
        </w:rPr>
        <w:t xml:space="preserve">notice obligation in the </w:t>
      </w:r>
      <w:r w:rsidR="00537D1C" w:rsidRPr="000E0CA0">
        <w:rPr>
          <w:rFonts w:ascii="Times New Roman" w:hAnsi="Times New Roman"/>
          <w:bCs/>
          <w:sz w:val="24"/>
          <w:szCs w:val="24"/>
        </w:rPr>
        <w:t xml:space="preserve">1939 law but not the new law which came into operation in </w:t>
      </w:r>
      <w:r w:rsidR="000F57B2" w:rsidRPr="000E0CA0">
        <w:rPr>
          <w:rFonts w:ascii="Times New Roman" w:hAnsi="Times New Roman"/>
          <w:bCs/>
          <w:sz w:val="24"/>
          <w:szCs w:val="24"/>
        </w:rPr>
        <w:t xml:space="preserve">the </w:t>
      </w:r>
      <w:r w:rsidR="00537D1C" w:rsidRPr="000E0CA0">
        <w:rPr>
          <w:rFonts w:ascii="Times New Roman" w:hAnsi="Times New Roman"/>
          <w:bCs/>
          <w:sz w:val="24"/>
          <w:szCs w:val="24"/>
        </w:rPr>
        <w:t>2004</w:t>
      </w:r>
      <w:r w:rsidR="000F57B2" w:rsidRPr="000E0CA0">
        <w:rPr>
          <w:rFonts w:ascii="Times New Roman" w:hAnsi="Times New Roman"/>
          <w:bCs/>
          <w:sz w:val="24"/>
          <w:szCs w:val="24"/>
        </w:rPr>
        <w:t xml:space="preserve"> Code</w:t>
      </w:r>
      <w:r w:rsidR="00537D1C" w:rsidRPr="000E0CA0">
        <w:rPr>
          <w:rFonts w:ascii="Times New Roman" w:hAnsi="Times New Roman"/>
          <w:bCs/>
          <w:sz w:val="24"/>
          <w:szCs w:val="24"/>
        </w:rPr>
        <w:t xml:space="preserve">. </w:t>
      </w:r>
      <w:r w:rsidR="005734F1" w:rsidRPr="000E0CA0">
        <w:rPr>
          <w:rFonts w:ascii="Times New Roman" w:hAnsi="Times New Roman"/>
          <w:bCs/>
          <w:sz w:val="24"/>
          <w:szCs w:val="24"/>
        </w:rPr>
        <w:t>It w</w:t>
      </w:r>
      <w:r w:rsidR="00537D1C" w:rsidRPr="000E0CA0">
        <w:rPr>
          <w:rFonts w:ascii="Times New Roman" w:hAnsi="Times New Roman"/>
          <w:bCs/>
          <w:sz w:val="24"/>
          <w:szCs w:val="24"/>
        </w:rPr>
        <w:t xml:space="preserve">as incumbent </w:t>
      </w:r>
      <w:r w:rsidR="00077A61" w:rsidRPr="000E0CA0">
        <w:rPr>
          <w:rFonts w:ascii="Times New Roman" w:hAnsi="Times New Roman"/>
          <w:bCs/>
          <w:sz w:val="24"/>
          <w:szCs w:val="24"/>
        </w:rPr>
        <w:t>up</w:t>
      </w:r>
      <w:r w:rsidR="00537D1C" w:rsidRPr="000E0CA0">
        <w:rPr>
          <w:rFonts w:ascii="Times New Roman" w:hAnsi="Times New Roman"/>
          <w:bCs/>
          <w:sz w:val="24"/>
          <w:szCs w:val="24"/>
        </w:rPr>
        <w:t xml:space="preserve">on the </w:t>
      </w:r>
      <w:r w:rsidR="000F57B2" w:rsidRPr="000E0CA0">
        <w:rPr>
          <w:rFonts w:ascii="Times New Roman" w:hAnsi="Times New Roman"/>
          <w:bCs/>
          <w:sz w:val="24"/>
          <w:szCs w:val="24"/>
        </w:rPr>
        <w:t>R</w:t>
      </w:r>
      <w:r w:rsidR="00537D1C" w:rsidRPr="000E0CA0">
        <w:rPr>
          <w:rFonts w:ascii="Times New Roman" w:hAnsi="Times New Roman"/>
          <w:bCs/>
          <w:sz w:val="24"/>
          <w:szCs w:val="24"/>
        </w:rPr>
        <w:t xml:space="preserve">espondent as part of its duty </w:t>
      </w:r>
      <w:r w:rsidRPr="000E0CA0">
        <w:rPr>
          <w:rFonts w:ascii="Times New Roman" w:hAnsi="Times New Roman"/>
          <w:bCs/>
          <w:sz w:val="24"/>
          <w:szCs w:val="24"/>
        </w:rPr>
        <w:t>under Article 36 and</w:t>
      </w:r>
      <w:r w:rsidR="005734F1" w:rsidRPr="000E0CA0">
        <w:rPr>
          <w:rFonts w:ascii="Times New Roman" w:hAnsi="Times New Roman"/>
          <w:bCs/>
          <w:sz w:val="24"/>
          <w:szCs w:val="24"/>
        </w:rPr>
        <w:t xml:space="preserve"> Article 52 </w:t>
      </w:r>
      <w:r w:rsidR="00537D1C" w:rsidRPr="000E0CA0">
        <w:rPr>
          <w:rFonts w:ascii="Times New Roman" w:hAnsi="Times New Roman"/>
          <w:bCs/>
          <w:sz w:val="24"/>
          <w:szCs w:val="24"/>
        </w:rPr>
        <w:t>to spell out exactly what it was that they said Mr Simonis had done unlawfully</w:t>
      </w:r>
      <w:r w:rsidR="005734F1" w:rsidRPr="000E0CA0">
        <w:rPr>
          <w:rFonts w:ascii="Times New Roman" w:hAnsi="Times New Roman"/>
          <w:bCs/>
          <w:sz w:val="24"/>
          <w:szCs w:val="24"/>
        </w:rPr>
        <w:t xml:space="preserve">, and the </w:t>
      </w:r>
      <w:r w:rsidR="000F57B2" w:rsidRPr="000E0CA0">
        <w:rPr>
          <w:rFonts w:ascii="Times New Roman" w:hAnsi="Times New Roman"/>
          <w:bCs/>
          <w:sz w:val="24"/>
          <w:szCs w:val="24"/>
        </w:rPr>
        <w:t>R</w:t>
      </w:r>
      <w:r w:rsidR="005734F1" w:rsidRPr="000E0CA0">
        <w:rPr>
          <w:rFonts w:ascii="Times New Roman" w:hAnsi="Times New Roman"/>
          <w:bCs/>
          <w:sz w:val="24"/>
          <w:szCs w:val="24"/>
        </w:rPr>
        <w:t>espondent had not done this</w:t>
      </w:r>
      <w:r w:rsidR="002E1EC5">
        <w:rPr>
          <w:rFonts w:ascii="Times New Roman" w:hAnsi="Times New Roman"/>
          <w:bCs/>
          <w:sz w:val="24"/>
          <w:szCs w:val="24"/>
        </w:rPr>
        <w:t>.</w:t>
      </w:r>
      <w:r w:rsidR="005734F1" w:rsidRPr="000E0CA0">
        <w:rPr>
          <w:rFonts w:ascii="Times New Roman" w:hAnsi="Times New Roman"/>
          <w:bCs/>
          <w:sz w:val="24"/>
          <w:szCs w:val="24"/>
        </w:rPr>
        <w:t xml:space="preserve"> </w:t>
      </w:r>
      <w:r w:rsidR="00537D1C" w:rsidRPr="000E0CA0">
        <w:rPr>
          <w:rFonts w:ascii="Times New Roman" w:hAnsi="Times New Roman"/>
          <w:bCs/>
          <w:sz w:val="24"/>
          <w:szCs w:val="24"/>
        </w:rPr>
        <w:t xml:space="preserve"> </w:t>
      </w:r>
    </w:p>
    <w:p w14:paraId="1DA2D398" w14:textId="77777777" w:rsidR="00A25217" w:rsidRPr="000E0CA0" w:rsidRDefault="00A25217" w:rsidP="002D37BA">
      <w:pPr>
        <w:pStyle w:val="ListParagraph"/>
        <w:spacing w:after="0" w:line="240" w:lineRule="auto"/>
        <w:jc w:val="both"/>
        <w:rPr>
          <w:rFonts w:ascii="Times New Roman" w:hAnsi="Times New Roman"/>
          <w:bCs/>
          <w:sz w:val="24"/>
          <w:szCs w:val="24"/>
        </w:rPr>
      </w:pPr>
    </w:p>
    <w:p w14:paraId="0A9C418B" w14:textId="4BD7328E" w:rsidR="00A25217" w:rsidRPr="000E0CA0" w:rsidRDefault="00537D1C" w:rsidP="002D37BA">
      <w:pPr>
        <w:pStyle w:val="ListParagraph"/>
        <w:numPr>
          <w:ilvl w:val="0"/>
          <w:numId w:val="13"/>
        </w:numPr>
        <w:spacing w:after="0" w:line="240" w:lineRule="auto"/>
        <w:ind w:left="567" w:hanging="567"/>
        <w:jc w:val="both"/>
        <w:rPr>
          <w:rFonts w:ascii="Times New Roman" w:hAnsi="Times New Roman"/>
          <w:bCs/>
          <w:sz w:val="24"/>
          <w:szCs w:val="24"/>
        </w:rPr>
      </w:pPr>
      <w:r w:rsidRPr="000E0CA0">
        <w:rPr>
          <w:rFonts w:ascii="Times New Roman" w:hAnsi="Times New Roman"/>
          <w:bCs/>
          <w:sz w:val="24"/>
          <w:szCs w:val="24"/>
        </w:rPr>
        <w:t>With respect</w:t>
      </w:r>
      <w:r w:rsidR="002E1EC5">
        <w:rPr>
          <w:rFonts w:ascii="Times New Roman" w:hAnsi="Times New Roman"/>
          <w:bCs/>
          <w:sz w:val="24"/>
          <w:szCs w:val="24"/>
        </w:rPr>
        <w:t>,</w:t>
      </w:r>
      <w:r w:rsidRPr="000E0CA0">
        <w:rPr>
          <w:rFonts w:ascii="Times New Roman" w:hAnsi="Times New Roman"/>
          <w:bCs/>
          <w:sz w:val="24"/>
          <w:szCs w:val="24"/>
        </w:rPr>
        <w:t xml:space="preserve"> there was more than an air of artificiality about this argument. </w:t>
      </w:r>
      <w:r w:rsidR="00A25217" w:rsidRPr="000E0CA0">
        <w:rPr>
          <w:rFonts w:ascii="Times New Roman" w:hAnsi="Times New Roman"/>
          <w:bCs/>
          <w:sz w:val="24"/>
          <w:szCs w:val="24"/>
        </w:rPr>
        <w:t xml:space="preserve">There can be no real or sensible dispute as to the source of the duty on Mrs Simonis to provide notice to the Italian authorities of her intention to remove the painting from Italy. </w:t>
      </w:r>
      <w:r w:rsidRPr="000E0CA0">
        <w:rPr>
          <w:rFonts w:ascii="Times New Roman" w:hAnsi="Times New Roman"/>
          <w:bCs/>
          <w:sz w:val="24"/>
          <w:szCs w:val="24"/>
        </w:rPr>
        <w:t xml:space="preserve"> </w:t>
      </w:r>
      <w:r w:rsidR="00A25217" w:rsidRPr="000E0CA0">
        <w:rPr>
          <w:rFonts w:ascii="Times New Roman" w:hAnsi="Times New Roman"/>
          <w:bCs/>
          <w:sz w:val="24"/>
          <w:szCs w:val="24"/>
        </w:rPr>
        <w:t>It is not in dispute that such a duty arose under the 1939 Law.  T</w:t>
      </w:r>
      <w:r w:rsidRPr="000E0CA0">
        <w:rPr>
          <w:rFonts w:ascii="Times New Roman" w:hAnsi="Times New Roman"/>
          <w:bCs/>
          <w:sz w:val="24"/>
          <w:szCs w:val="24"/>
        </w:rPr>
        <w:t xml:space="preserve">he 1939 law and the 2004 </w:t>
      </w:r>
      <w:r w:rsidR="000F57B2" w:rsidRPr="000E0CA0">
        <w:rPr>
          <w:rFonts w:ascii="Times New Roman" w:hAnsi="Times New Roman"/>
          <w:bCs/>
          <w:sz w:val="24"/>
          <w:szCs w:val="24"/>
        </w:rPr>
        <w:t xml:space="preserve">Code </w:t>
      </w:r>
      <w:r w:rsidRPr="000E0CA0">
        <w:rPr>
          <w:rFonts w:ascii="Times New Roman" w:hAnsi="Times New Roman"/>
          <w:bCs/>
          <w:sz w:val="24"/>
          <w:szCs w:val="24"/>
        </w:rPr>
        <w:t xml:space="preserve">were in the bundles before the High Court and the Court of Appeal. The Judge below pointed out that the case </w:t>
      </w:r>
      <w:r w:rsidR="00077A61" w:rsidRPr="000E0CA0">
        <w:rPr>
          <w:rFonts w:ascii="Times New Roman" w:hAnsi="Times New Roman"/>
          <w:bCs/>
          <w:sz w:val="24"/>
          <w:szCs w:val="24"/>
        </w:rPr>
        <w:t>advanced</w:t>
      </w:r>
      <w:r w:rsidRPr="000E0CA0">
        <w:rPr>
          <w:rFonts w:ascii="Times New Roman" w:hAnsi="Times New Roman"/>
          <w:bCs/>
          <w:sz w:val="24"/>
          <w:szCs w:val="24"/>
        </w:rPr>
        <w:t xml:space="preserve"> by the Appellant was</w:t>
      </w:r>
      <w:r w:rsidR="004B5974">
        <w:rPr>
          <w:rFonts w:ascii="Times New Roman" w:hAnsi="Times New Roman"/>
          <w:bCs/>
          <w:sz w:val="24"/>
          <w:szCs w:val="24"/>
        </w:rPr>
        <w:t xml:space="preserve"> based </w:t>
      </w:r>
      <w:r w:rsidRPr="000E0CA0">
        <w:rPr>
          <w:rFonts w:ascii="Times New Roman" w:hAnsi="Times New Roman"/>
          <w:bCs/>
          <w:i/>
          <w:iCs/>
          <w:sz w:val="24"/>
          <w:szCs w:val="24"/>
        </w:rPr>
        <w:t>expressly</w:t>
      </w:r>
      <w:r w:rsidRPr="000E0CA0">
        <w:rPr>
          <w:rFonts w:ascii="Times New Roman" w:hAnsi="Times New Roman"/>
          <w:bCs/>
          <w:sz w:val="24"/>
          <w:szCs w:val="24"/>
        </w:rPr>
        <w:t xml:space="preserve"> upon the 1939 Law an</w:t>
      </w:r>
      <w:r w:rsidR="00077A61" w:rsidRPr="000E0CA0">
        <w:rPr>
          <w:rFonts w:ascii="Times New Roman" w:hAnsi="Times New Roman"/>
          <w:bCs/>
          <w:sz w:val="24"/>
          <w:szCs w:val="24"/>
        </w:rPr>
        <w:t xml:space="preserve">d the </w:t>
      </w:r>
      <w:r w:rsidRPr="000E0CA0">
        <w:rPr>
          <w:rFonts w:ascii="Times New Roman" w:hAnsi="Times New Roman"/>
          <w:bCs/>
          <w:sz w:val="24"/>
          <w:szCs w:val="24"/>
        </w:rPr>
        <w:t>duty ther</w:t>
      </w:r>
      <w:r w:rsidR="00077A61" w:rsidRPr="000E0CA0">
        <w:rPr>
          <w:rFonts w:ascii="Times New Roman" w:hAnsi="Times New Roman"/>
          <w:bCs/>
          <w:sz w:val="24"/>
          <w:szCs w:val="24"/>
        </w:rPr>
        <w:t>e</w:t>
      </w:r>
      <w:r w:rsidRPr="000E0CA0">
        <w:rPr>
          <w:rFonts w:ascii="Times New Roman" w:hAnsi="Times New Roman"/>
          <w:bCs/>
          <w:sz w:val="24"/>
          <w:szCs w:val="24"/>
        </w:rPr>
        <w:t xml:space="preserve">in to apply for a </w:t>
      </w:r>
      <w:r w:rsidR="00077A61" w:rsidRPr="000E0CA0">
        <w:rPr>
          <w:rFonts w:ascii="Times New Roman" w:hAnsi="Times New Roman"/>
          <w:bCs/>
          <w:sz w:val="24"/>
          <w:szCs w:val="24"/>
        </w:rPr>
        <w:t>licence</w:t>
      </w:r>
      <w:r w:rsidRPr="000E0CA0">
        <w:rPr>
          <w:rFonts w:ascii="Times New Roman" w:hAnsi="Times New Roman"/>
          <w:bCs/>
          <w:sz w:val="24"/>
          <w:szCs w:val="24"/>
        </w:rPr>
        <w:t xml:space="preserve"> and </w:t>
      </w:r>
      <w:r w:rsidR="00077A61" w:rsidRPr="000E0CA0">
        <w:rPr>
          <w:rFonts w:ascii="Times New Roman" w:hAnsi="Times New Roman"/>
          <w:bCs/>
          <w:sz w:val="24"/>
          <w:szCs w:val="24"/>
        </w:rPr>
        <w:t>thereby</w:t>
      </w:r>
      <w:r w:rsidRPr="000E0CA0">
        <w:rPr>
          <w:rFonts w:ascii="Times New Roman" w:hAnsi="Times New Roman"/>
          <w:bCs/>
          <w:sz w:val="24"/>
          <w:szCs w:val="24"/>
        </w:rPr>
        <w:t xml:space="preserve"> afford notice to the authorities.  No one argued</w:t>
      </w:r>
      <w:r w:rsidR="00077A61" w:rsidRPr="000E0CA0">
        <w:rPr>
          <w:rFonts w:ascii="Times New Roman" w:hAnsi="Times New Roman"/>
          <w:bCs/>
          <w:sz w:val="24"/>
          <w:szCs w:val="24"/>
        </w:rPr>
        <w:t xml:space="preserve"> before her </w:t>
      </w:r>
      <w:r w:rsidRPr="000E0CA0">
        <w:rPr>
          <w:rFonts w:ascii="Times New Roman" w:hAnsi="Times New Roman"/>
          <w:bCs/>
          <w:sz w:val="24"/>
          <w:szCs w:val="24"/>
        </w:rPr>
        <w:t xml:space="preserve">that there was no equivalent provision in the 2004 </w:t>
      </w:r>
      <w:r w:rsidR="00077A61" w:rsidRPr="000E0CA0">
        <w:rPr>
          <w:rFonts w:ascii="Times New Roman" w:hAnsi="Times New Roman"/>
          <w:bCs/>
          <w:sz w:val="24"/>
          <w:szCs w:val="24"/>
        </w:rPr>
        <w:t>Cod</w:t>
      </w:r>
      <w:r w:rsidR="000F57B2" w:rsidRPr="000E0CA0">
        <w:rPr>
          <w:rFonts w:ascii="Times New Roman" w:hAnsi="Times New Roman"/>
          <w:bCs/>
          <w:sz w:val="24"/>
          <w:szCs w:val="24"/>
        </w:rPr>
        <w:t xml:space="preserve">e </w:t>
      </w:r>
      <w:r w:rsidR="0084281C" w:rsidRPr="000E0CA0">
        <w:rPr>
          <w:rFonts w:ascii="Times New Roman" w:hAnsi="Times New Roman"/>
          <w:bCs/>
          <w:sz w:val="24"/>
          <w:szCs w:val="24"/>
        </w:rPr>
        <w:t xml:space="preserve">or that </w:t>
      </w:r>
      <w:r w:rsidR="000F57B2" w:rsidRPr="000E0CA0">
        <w:rPr>
          <w:rFonts w:ascii="Times New Roman" w:hAnsi="Times New Roman"/>
          <w:bCs/>
          <w:sz w:val="24"/>
          <w:szCs w:val="24"/>
        </w:rPr>
        <w:t xml:space="preserve">otherwise </w:t>
      </w:r>
      <w:r w:rsidR="0084281C" w:rsidRPr="000E0CA0">
        <w:rPr>
          <w:rFonts w:ascii="Times New Roman" w:hAnsi="Times New Roman"/>
          <w:bCs/>
          <w:sz w:val="24"/>
          <w:szCs w:val="24"/>
        </w:rPr>
        <w:t xml:space="preserve">there was no obligation upon her imposed by Italian law to apply for a licence and thereby provide the authorities with notice. The </w:t>
      </w:r>
      <w:r w:rsidR="000F57B2" w:rsidRPr="000E0CA0">
        <w:rPr>
          <w:rFonts w:ascii="Times New Roman" w:hAnsi="Times New Roman"/>
          <w:bCs/>
          <w:sz w:val="24"/>
          <w:szCs w:val="24"/>
        </w:rPr>
        <w:t>J</w:t>
      </w:r>
      <w:r w:rsidR="0084281C" w:rsidRPr="000E0CA0">
        <w:rPr>
          <w:rFonts w:ascii="Times New Roman" w:hAnsi="Times New Roman"/>
          <w:bCs/>
          <w:sz w:val="24"/>
          <w:szCs w:val="24"/>
        </w:rPr>
        <w:t xml:space="preserve">udge </w:t>
      </w:r>
      <w:r w:rsidR="00077A61" w:rsidRPr="000E0CA0">
        <w:rPr>
          <w:rFonts w:ascii="Times New Roman" w:hAnsi="Times New Roman"/>
          <w:bCs/>
          <w:sz w:val="24"/>
          <w:szCs w:val="24"/>
        </w:rPr>
        <w:t>did record a dispute about whether the 15 day waiting period had been codified (it had)</w:t>
      </w:r>
      <w:r w:rsidR="000F57B2" w:rsidRPr="000E0CA0">
        <w:rPr>
          <w:rFonts w:ascii="Times New Roman" w:hAnsi="Times New Roman"/>
          <w:bCs/>
          <w:sz w:val="24"/>
          <w:szCs w:val="24"/>
        </w:rPr>
        <w:t>.</w:t>
      </w:r>
      <w:r w:rsidR="00077A61" w:rsidRPr="000E0CA0">
        <w:rPr>
          <w:rFonts w:ascii="Times New Roman" w:hAnsi="Times New Roman"/>
          <w:bCs/>
          <w:sz w:val="24"/>
          <w:szCs w:val="24"/>
        </w:rPr>
        <w:t xml:space="preserve"> </w:t>
      </w:r>
      <w:r w:rsidR="0084281C" w:rsidRPr="000E0CA0">
        <w:rPr>
          <w:rFonts w:ascii="Times New Roman" w:hAnsi="Times New Roman"/>
          <w:bCs/>
          <w:sz w:val="24"/>
          <w:szCs w:val="24"/>
        </w:rPr>
        <w:t>The j</w:t>
      </w:r>
      <w:r w:rsidR="00077A61" w:rsidRPr="000E0CA0">
        <w:rPr>
          <w:rFonts w:ascii="Times New Roman" w:hAnsi="Times New Roman"/>
          <w:bCs/>
          <w:sz w:val="24"/>
          <w:szCs w:val="24"/>
        </w:rPr>
        <w:t>udge identif</w:t>
      </w:r>
      <w:r w:rsidR="0084281C" w:rsidRPr="000E0CA0">
        <w:rPr>
          <w:rFonts w:ascii="Times New Roman" w:hAnsi="Times New Roman"/>
          <w:bCs/>
          <w:sz w:val="24"/>
          <w:szCs w:val="24"/>
        </w:rPr>
        <w:t xml:space="preserve">ied </w:t>
      </w:r>
      <w:r w:rsidR="00077A61" w:rsidRPr="000E0CA0">
        <w:rPr>
          <w:rFonts w:ascii="Times New Roman" w:hAnsi="Times New Roman"/>
          <w:bCs/>
          <w:sz w:val="24"/>
          <w:szCs w:val="24"/>
        </w:rPr>
        <w:t xml:space="preserve">the restriction at the heart of the challenge as being a duty to give notice. </w:t>
      </w:r>
      <w:r w:rsidR="0084281C" w:rsidRPr="000E0CA0">
        <w:rPr>
          <w:rFonts w:ascii="Times New Roman" w:hAnsi="Times New Roman"/>
          <w:bCs/>
          <w:sz w:val="24"/>
          <w:szCs w:val="24"/>
        </w:rPr>
        <w:t xml:space="preserve">There is no challenge to her conclusion on this. </w:t>
      </w:r>
      <w:r w:rsidR="00077A61" w:rsidRPr="000E0CA0">
        <w:rPr>
          <w:rFonts w:ascii="Times New Roman" w:hAnsi="Times New Roman"/>
          <w:bCs/>
          <w:sz w:val="24"/>
          <w:szCs w:val="24"/>
        </w:rPr>
        <w:t xml:space="preserve"> </w:t>
      </w:r>
      <w:r w:rsidR="0084281C" w:rsidRPr="000E0CA0">
        <w:rPr>
          <w:rFonts w:ascii="Times New Roman" w:hAnsi="Times New Roman"/>
          <w:bCs/>
          <w:sz w:val="24"/>
          <w:szCs w:val="24"/>
        </w:rPr>
        <w:t xml:space="preserve">If the Appellant </w:t>
      </w:r>
      <w:r w:rsidR="000F57B2" w:rsidRPr="000E0CA0">
        <w:rPr>
          <w:rFonts w:ascii="Times New Roman" w:hAnsi="Times New Roman"/>
          <w:bCs/>
          <w:sz w:val="24"/>
          <w:szCs w:val="24"/>
        </w:rPr>
        <w:t xml:space="preserve">was </w:t>
      </w:r>
      <w:r w:rsidR="0084281C" w:rsidRPr="000E0CA0">
        <w:rPr>
          <w:rFonts w:ascii="Times New Roman" w:hAnsi="Times New Roman"/>
          <w:bCs/>
          <w:sz w:val="24"/>
          <w:szCs w:val="24"/>
        </w:rPr>
        <w:t xml:space="preserve">seriously </w:t>
      </w:r>
      <w:r w:rsidR="000F57B2" w:rsidRPr="000E0CA0">
        <w:rPr>
          <w:rFonts w:ascii="Times New Roman" w:hAnsi="Times New Roman"/>
          <w:bCs/>
          <w:sz w:val="24"/>
          <w:szCs w:val="24"/>
        </w:rPr>
        <w:t>in doubt as to the source of her duties under Italian law</w:t>
      </w:r>
      <w:r w:rsidR="0084281C" w:rsidRPr="000E0CA0">
        <w:rPr>
          <w:rFonts w:ascii="Times New Roman" w:hAnsi="Times New Roman"/>
          <w:bCs/>
          <w:sz w:val="24"/>
          <w:szCs w:val="24"/>
        </w:rPr>
        <w:t xml:space="preserve"> then it was well within the ability of her legal advisers to prove such an assertion by reference to the law.  She has </w:t>
      </w:r>
      <w:r w:rsidR="0061167B" w:rsidRPr="000E0CA0">
        <w:rPr>
          <w:rFonts w:ascii="Times New Roman" w:hAnsi="Times New Roman"/>
          <w:bCs/>
          <w:sz w:val="24"/>
          <w:szCs w:val="24"/>
        </w:rPr>
        <w:t xml:space="preserve">after all </w:t>
      </w:r>
      <w:r w:rsidR="0084281C" w:rsidRPr="000E0CA0">
        <w:rPr>
          <w:rFonts w:ascii="Times New Roman" w:hAnsi="Times New Roman"/>
          <w:bCs/>
          <w:sz w:val="24"/>
          <w:szCs w:val="24"/>
        </w:rPr>
        <w:t xml:space="preserve">been advised throughout by Italian lawyers and she was embroiled in litigation with the Italian authorities in 2004 when the new </w:t>
      </w:r>
      <w:r w:rsidR="000F57B2" w:rsidRPr="000E0CA0">
        <w:rPr>
          <w:rFonts w:ascii="Times New Roman" w:hAnsi="Times New Roman"/>
          <w:bCs/>
          <w:sz w:val="24"/>
          <w:szCs w:val="24"/>
        </w:rPr>
        <w:t xml:space="preserve">Code </w:t>
      </w:r>
      <w:r w:rsidR="0084281C" w:rsidRPr="000E0CA0">
        <w:rPr>
          <w:rFonts w:ascii="Times New Roman" w:hAnsi="Times New Roman"/>
          <w:bCs/>
          <w:sz w:val="24"/>
          <w:szCs w:val="24"/>
        </w:rPr>
        <w:t xml:space="preserve">came into being. </w:t>
      </w:r>
      <w:r w:rsidR="00077A61" w:rsidRPr="000E0CA0">
        <w:rPr>
          <w:rFonts w:ascii="Times New Roman" w:hAnsi="Times New Roman"/>
          <w:bCs/>
          <w:sz w:val="24"/>
          <w:szCs w:val="24"/>
        </w:rPr>
        <w:t xml:space="preserve">To suggest that her legal team is unable to identify the target of their challenge </w:t>
      </w:r>
      <w:r w:rsidR="0084281C" w:rsidRPr="000E0CA0">
        <w:rPr>
          <w:rFonts w:ascii="Times New Roman" w:hAnsi="Times New Roman"/>
          <w:bCs/>
          <w:sz w:val="24"/>
          <w:szCs w:val="24"/>
        </w:rPr>
        <w:t>and that the burden of identifying the restriction l</w:t>
      </w:r>
      <w:r w:rsidR="0061167B" w:rsidRPr="000E0CA0">
        <w:rPr>
          <w:rFonts w:ascii="Times New Roman" w:hAnsi="Times New Roman"/>
          <w:bCs/>
          <w:sz w:val="24"/>
          <w:szCs w:val="24"/>
        </w:rPr>
        <w:t xml:space="preserve">ay </w:t>
      </w:r>
      <w:r w:rsidR="0084281C" w:rsidRPr="000E0CA0">
        <w:rPr>
          <w:rFonts w:ascii="Times New Roman" w:hAnsi="Times New Roman"/>
          <w:bCs/>
          <w:sz w:val="24"/>
          <w:szCs w:val="24"/>
        </w:rPr>
        <w:t xml:space="preserve">with the </w:t>
      </w:r>
      <w:r w:rsidR="000F57B2" w:rsidRPr="000E0CA0">
        <w:rPr>
          <w:rFonts w:ascii="Times New Roman" w:hAnsi="Times New Roman"/>
          <w:bCs/>
          <w:sz w:val="24"/>
          <w:szCs w:val="24"/>
        </w:rPr>
        <w:t>R</w:t>
      </w:r>
      <w:r w:rsidR="0084281C" w:rsidRPr="000E0CA0">
        <w:rPr>
          <w:rFonts w:ascii="Times New Roman" w:hAnsi="Times New Roman"/>
          <w:bCs/>
          <w:sz w:val="24"/>
          <w:szCs w:val="24"/>
        </w:rPr>
        <w:t xml:space="preserve">espondent </w:t>
      </w:r>
      <w:r w:rsidR="00077A61" w:rsidRPr="000E0CA0">
        <w:rPr>
          <w:rFonts w:ascii="Times New Roman" w:hAnsi="Times New Roman"/>
          <w:bCs/>
          <w:sz w:val="24"/>
          <w:szCs w:val="24"/>
        </w:rPr>
        <w:t xml:space="preserve">is </w:t>
      </w:r>
      <w:r w:rsidR="0084281C" w:rsidRPr="000E0CA0">
        <w:rPr>
          <w:rFonts w:ascii="Times New Roman" w:hAnsi="Times New Roman"/>
          <w:bCs/>
          <w:sz w:val="24"/>
          <w:szCs w:val="24"/>
        </w:rPr>
        <w:t xml:space="preserve">artificial and </w:t>
      </w:r>
      <w:r w:rsidR="00077A61" w:rsidRPr="000E0CA0">
        <w:rPr>
          <w:rFonts w:ascii="Times New Roman" w:hAnsi="Times New Roman"/>
          <w:bCs/>
          <w:sz w:val="24"/>
          <w:szCs w:val="24"/>
        </w:rPr>
        <w:t xml:space="preserve">unsustainable.  </w:t>
      </w:r>
    </w:p>
    <w:p w14:paraId="278B2460" w14:textId="77777777" w:rsidR="0084281C" w:rsidRPr="000E0CA0" w:rsidRDefault="0084281C" w:rsidP="002D37BA">
      <w:pPr>
        <w:pStyle w:val="ListParagraph"/>
        <w:spacing w:after="0" w:line="240" w:lineRule="auto"/>
        <w:jc w:val="both"/>
        <w:rPr>
          <w:rFonts w:ascii="Times New Roman" w:hAnsi="Times New Roman"/>
          <w:bCs/>
          <w:sz w:val="24"/>
          <w:szCs w:val="24"/>
        </w:rPr>
      </w:pPr>
    </w:p>
    <w:p w14:paraId="1FFF372A" w14:textId="4E12BB00" w:rsidR="00BE3587" w:rsidRPr="000E0CA0" w:rsidRDefault="00077A61" w:rsidP="002D37BA">
      <w:pPr>
        <w:pStyle w:val="ListParagraph"/>
        <w:numPr>
          <w:ilvl w:val="0"/>
          <w:numId w:val="13"/>
        </w:numPr>
        <w:spacing w:after="0" w:line="240" w:lineRule="auto"/>
        <w:ind w:left="567" w:hanging="567"/>
        <w:jc w:val="both"/>
        <w:rPr>
          <w:rFonts w:ascii="Times New Roman" w:hAnsi="Times New Roman"/>
          <w:bCs/>
          <w:sz w:val="24"/>
          <w:szCs w:val="24"/>
        </w:rPr>
      </w:pPr>
      <w:r w:rsidRPr="000E0CA0">
        <w:rPr>
          <w:rFonts w:ascii="Times New Roman" w:hAnsi="Times New Roman"/>
          <w:bCs/>
          <w:sz w:val="24"/>
          <w:szCs w:val="24"/>
        </w:rPr>
        <w:t xml:space="preserve">In </w:t>
      </w:r>
      <w:r w:rsidR="00A25217" w:rsidRPr="000E0CA0">
        <w:rPr>
          <w:rFonts w:ascii="Times New Roman" w:hAnsi="Times New Roman"/>
          <w:bCs/>
          <w:sz w:val="24"/>
          <w:szCs w:val="24"/>
        </w:rPr>
        <w:t xml:space="preserve">short, there is </w:t>
      </w:r>
      <w:r w:rsidRPr="000E0CA0">
        <w:rPr>
          <w:rFonts w:ascii="Times New Roman" w:hAnsi="Times New Roman"/>
          <w:bCs/>
          <w:sz w:val="24"/>
          <w:szCs w:val="24"/>
        </w:rPr>
        <w:t xml:space="preserve">an evidential burden on a claimant to show </w:t>
      </w:r>
      <w:r w:rsidRPr="009D2C1C">
        <w:rPr>
          <w:rFonts w:ascii="Times New Roman" w:hAnsi="Times New Roman"/>
          <w:bCs/>
          <w:sz w:val="24"/>
          <w:szCs w:val="24"/>
        </w:rPr>
        <w:t>that</w:t>
      </w:r>
      <w:r w:rsidRPr="000E0CA0">
        <w:rPr>
          <w:rFonts w:ascii="Times New Roman" w:hAnsi="Times New Roman"/>
          <w:bCs/>
          <w:i/>
          <w:iCs/>
          <w:sz w:val="24"/>
          <w:szCs w:val="24"/>
        </w:rPr>
        <w:t xml:space="preserve"> prima facie</w:t>
      </w:r>
      <w:r w:rsidRPr="000E0CA0">
        <w:rPr>
          <w:rFonts w:ascii="Times New Roman" w:hAnsi="Times New Roman"/>
          <w:bCs/>
          <w:sz w:val="24"/>
          <w:szCs w:val="24"/>
        </w:rPr>
        <w:t xml:space="preserve"> a measure falls within Article 3</w:t>
      </w:r>
      <w:r w:rsidR="000F57B2" w:rsidRPr="000E0CA0">
        <w:rPr>
          <w:rFonts w:ascii="Times New Roman" w:hAnsi="Times New Roman"/>
          <w:bCs/>
          <w:sz w:val="24"/>
          <w:szCs w:val="24"/>
        </w:rPr>
        <w:t>5</w:t>
      </w:r>
      <w:r w:rsidRPr="000E0CA0">
        <w:rPr>
          <w:rFonts w:ascii="Times New Roman" w:hAnsi="Times New Roman"/>
          <w:bCs/>
          <w:sz w:val="24"/>
          <w:szCs w:val="24"/>
        </w:rPr>
        <w:t xml:space="preserve"> TFEU.  This includes doing the very best that can be done to identify </w:t>
      </w:r>
      <w:r w:rsidRPr="000E0CA0">
        <w:rPr>
          <w:rFonts w:ascii="Times New Roman" w:hAnsi="Times New Roman"/>
          <w:bCs/>
          <w:i/>
          <w:iCs/>
          <w:sz w:val="24"/>
          <w:szCs w:val="24"/>
        </w:rPr>
        <w:t>with precision</w:t>
      </w:r>
      <w:r w:rsidRPr="000E0CA0">
        <w:rPr>
          <w:rFonts w:ascii="Times New Roman" w:hAnsi="Times New Roman"/>
          <w:bCs/>
          <w:sz w:val="24"/>
          <w:szCs w:val="24"/>
        </w:rPr>
        <w:t xml:space="preserve"> the actual measure in dispute so that, then, the state can marshal its arguments and evidence in as focused a way as it can in order to meet its burden of proof. In my view the analysis of the </w:t>
      </w:r>
      <w:r w:rsidR="000F57B2" w:rsidRPr="000E0CA0">
        <w:rPr>
          <w:rFonts w:ascii="Times New Roman" w:hAnsi="Times New Roman"/>
          <w:bCs/>
          <w:sz w:val="24"/>
          <w:szCs w:val="24"/>
        </w:rPr>
        <w:t>J</w:t>
      </w:r>
      <w:r w:rsidRPr="000E0CA0">
        <w:rPr>
          <w:rFonts w:ascii="Times New Roman" w:hAnsi="Times New Roman"/>
          <w:bCs/>
          <w:sz w:val="24"/>
          <w:szCs w:val="24"/>
        </w:rPr>
        <w:t xml:space="preserve">udge was correct. </w:t>
      </w:r>
      <w:r w:rsidR="00A25217" w:rsidRPr="000E0CA0">
        <w:rPr>
          <w:rFonts w:ascii="Times New Roman" w:hAnsi="Times New Roman"/>
          <w:bCs/>
          <w:sz w:val="24"/>
          <w:szCs w:val="24"/>
        </w:rPr>
        <w:t xml:space="preserve">In this case the gravamen of the Appellant’s objection is that she was subjected to a duty to provide advance notice of her intention to remove the painting.  </w:t>
      </w:r>
      <w:r w:rsidR="0084281C" w:rsidRPr="000E0CA0">
        <w:rPr>
          <w:rFonts w:ascii="Times New Roman" w:hAnsi="Times New Roman"/>
          <w:bCs/>
          <w:sz w:val="24"/>
          <w:szCs w:val="24"/>
        </w:rPr>
        <w:t xml:space="preserve">The </w:t>
      </w:r>
      <w:r w:rsidR="000F57B2" w:rsidRPr="000E0CA0">
        <w:rPr>
          <w:rFonts w:ascii="Times New Roman" w:hAnsi="Times New Roman"/>
          <w:bCs/>
          <w:sz w:val="24"/>
          <w:szCs w:val="24"/>
        </w:rPr>
        <w:t>J</w:t>
      </w:r>
      <w:r w:rsidR="0084281C" w:rsidRPr="000E0CA0">
        <w:rPr>
          <w:rFonts w:ascii="Times New Roman" w:hAnsi="Times New Roman"/>
          <w:bCs/>
          <w:sz w:val="24"/>
          <w:szCs w:val="24"/>
        </w:rPr>
        <w:t>udge found that such an obligation existed under Italian law. There is no serious basis upon which that finding can be challenged and</w:t>
      </w:r>
      <w:r w:rsidR="009D2C1C">
        <w:rPr>
          <w:rFonts w:ascii="Times New Roman" w:hAnsi="Times New Roman"/>
          <w:bCs/>
          <w:sz w:val="24"/>
          <w:szCs w:val="24"/>
        </w:rPr>
        <w:t>,</w:t>
      </w:r>
      <w:r w:rsidR="0084281C" w:rsidRPr="000E0CA0">
        <w:rPr>
          <w:rFonts w:ascii="Times New Roman" w:hAnsi="Times New Roman"/>
          <w:bCs/>
          <w:sz w:val="24"/>
          <w:szCs w:val="24"/>
        </w:rPr>
        <w:t xml:space="preserve"> in truth, the Appellant does not say that such an obligation does not exist</w:t>
      </w:r>
      <w:r w:rsidR="00292389" w:rsidRPr="000E0CA0">
        <w:rPr>
          <w:rFonts w:ascii="Times New Roman" w:hAnsi="Times New Roman"/>
          <w:bCs/>
          <w:sz w:val="24"/>
          <w:szCs w:val="24"/>
        </w:rPr>
        <w:t>, and indeed it is the nub of her case that it does exist</w:t>
      </w:r>
      <w:r w:rsidR="0084281C" w:rsidRPr="000E0CA0">
        <w:rPr>
          <w:rFonts w:ascii="Times New Roman" w:hAnsi="Times New Roman"/>
          <w:bCs/>
          <w:sz w:val="24"/>
          <w:szCs w:val="24"/>
        </w:rPr>
        <w:t xml:space="preserve">.  </w:t>
      </w:r>
      <w:r w:rsidR="00804633" w:rsidRPr="000E0CA0">
        <w:rPr>
          <w:rFonts w:ascii="Times New Roman" w:hAnsi="Times New Roman"/>
          <w:bCs/>
          <w:sz w:val="24"/>
          <w:szCs w:val="24"/>
        </w:rPr>
        <w:t xml:space="preserve">Such an obligation does, </w:t>
      </w:r>
      <w:r w:rsidR="00804633" w:rsidRPr="000E0CA0">
        <w:rPr>
          <w:rFonts w:ascii="Times New Roman" w:hAnsi="Times New Roman"/>
          <w:bCs/>
          <w:i/>
          <w:iCs/>
          <w:sz w:val="24"/>
          <w:szCs w:val="24"/>
        </w:rPr>
        <w:t>prima facie</w:t>
      </w:r>
      <w:r w:rsidR="00804633" w:rsidRPr="000E0CA0">
        <w:rPr>
          <w:rFonts w:ascii="Times New Roman" w:hAnsi="Times New Roman"/>
          <w:bCs/>
          <w:sz w:val="24"/>
          <w:szCs w:val="24"/>
        </w:rPr>
        <w:t>, fall within Article 3</w:t>
      </w:r>
      <w:r w:rsidR="000F57B2" w:rsidRPr="000E0CA0">
        <w:rPr>
          <w:rFonts w:ascii="Times New Roman" w:hAnsi="Times New Roman"/>
          <w:bCs/>
          <w:sz w:val="24"/>
          <w:szCs w:val="24"/>
        </w:rPr>
        <w:t>5</w:t>
      </w:r>
      <w:r w:rsidR="00804633" w:rsidRPr="000E0CA0">
        <w:rPr>
          <w:rFonts w:ascii="Times New Roman" w:hAnsi="Times New Roman"/>
          <w:bCs/>
          <w:sz w:val="24"/>
          <w:szCs w:val="24"/>
        </w:rPr>
        <w:t xml:space="preserve"> TFEU.  It is that notice requirement (and not any wider part of the system) </w:t>
      </w:r>
      <w:r w:rsidR="00A25217" w:rsidRPr="000E0CA0">
        <w:rPr>
          <w:rFonts w:ascii="Times New Roman" w:hAnsi="Times New Roman"/>
          <w:bCs/>
          <w:sz w:val="24"/>
          <w:szCs w:val="24"/>
        </w:rPr>
        <w:t>which therefore requires justification under Article 36 TFEU.</w:t>
      </w:r>
      <w:r w:rsidR="00804633" w:rsidRPr="000E0CA0">
        <w:rPr>
          <w:rFonts w:ascii="Times New Roman" w:hAnsi="Times New Roman"/>
          <w:bCs/>
          <w:sz w:val="24"/>
          <w:szCs w:val="24"/>
        </w:rPr>
        <w:t xml:space="preserve"> In </w:t>
      </w:r>
      <w:r w:rsidR="0084281C" w:rsidRPr="000E0CA0">
        <w:rPr>
          <w:rFonts w:ascii="Times New Roman" w:hAnsi="Times New Roman"/>
          <w:bCs/>
          <w:sz w:val="24"/>
          <w:szCs w:val="24"/>
        </w:rPr>
        <w:t>particular –</w:t>
      </w:r>
      <w:r w:rsidR="00804633" w:rsidRPr="000E0CA0">
        <w:rPr>
          <w:rFonts w:ascii="Times New Roman" w:hAnsi="Times New Roman"/>
          <w:bCs/>
          <w:sz w:val="24"/>
          <w:szCs w:val="24"/>
        </w:rPr>
        <w:t xml:space="preserve"> since she does not challenge the system as a whole but only its application to her – it is the applicability of the notice obligation </w:t>
      </w:r>
      <w:r w:rsidR="0061167B" w:rsidRPr="000E0CA0">
        <w:rPr>
          <w:rFonts w:ascii="Times New Roman" w:hAnsi="Times New Roman"/>
          <w:bCs/>
          <w:sz w:val="24"/>
          <w:szCs w:val="24"/>
        </w:rPr>
        <w:t xml:space="preserve">to her </w:t>
      </w:r>
      <w:r w:rsidR="00804633" w:rsidRPr="000E0CA0">
        <w:rPr>
          <w:rFonts w:ascii="Times New Roman" w:hAnsi="Times New Roman"/>
          <w:bCs/>
          <w:sz w:val="24"/>
          <w:szCs w:val="24"/>
        </w:rPr>
        <w:t xml:space="preserve">on the present facts which has to </w:t>
      </w:r>
      <w:r w:rsidR="00292389" w:rsidRPr="000E0CA0">
        <w:rPr>
          <w:rFonts w:ascii="Times New Roman" w:hAnsi="Times New Roman"/>
          <w:bCs/>
          <w:sz w:val="24"/>
          <w:szCs w:val="24"/>
        </w:rPr>
        <w:t>be justified</w:t>
      </w:r>
      <w:r w:rsidR="00804633" w:rsidRPr="000E0CA0">
        <w:rPr>
          <w:rFonts w:ascii="Times New Roman" w:hAnsi="Times New Roman"/>
          <w:bCs/>
          <w:sz w:val="24"/>
          <w:szCs w:val="24"/>
        </w:rPr>
        <w:t>.</w:t>
      </w:r>
    </w:p>
    <w:p w14:paraId="1CF41A41" w14:textId="77777777" w:rsidR="00A25217" w:rsidRPr="000E0CA0" w:rsidRDefault="00A25217" w:rsidP="002D37BA">
      <w:pPr>
        <w:pStyle w:val="ListParagraph"/>
        <w:spacing w:line="240" w:lineRule="auto"/>
        <w:ind w:left="567"/>
        <w:rPr>
          <w:rFonts w:ascii="Times New Roman" w:hAnsi="Times New Roman"/>
          <w:bCs/>
          <w:sz w:val="24"/>
          <w:szCs w:val="24"/>
        </w:rPr>
      </w:pPr>
    </w:p>
    <w:p w14:paraId="5B9FFAD7" w14:textId="77777777" w:rsidR="00BE3587" w:rsidRPr="000E0CA0" w:rsidRDefault="009D2C1C" w:rsidP="002D37BA">
      <w:pPr>
        <w:pStyle w:val="ListParagraph"/>
        <w:numPr>
          <w:ilvl w:val="0"/>
          <w:numId w:val="25"/>
        </w:numPr>
        <w:spacing w:after="0" w:line="240" w:lineRule="auto"/>
        <w:ind w:hanging="513"/>
        <w:jc w:val="both"/>
        <w:rPr>
          <w:rFonts w:ascii="Times New Roman" w:hAnsi="Times New Roman"/>
          <w:b/>
          <w:bCs/>
          <w:i/>
          <w:iCs/>
          <w:sz w:val="24"/>
          <w:szCs w:val="24"/>
        </w:rPr>
      </w:pPr>
      <w:r>
        <w:rPr>
          <w:rFonts w:ascii="Times New Roman" w:hAnsi="Times New Roman"/>
          <w:b/>
          <w:bCs/>
          <w:i/>
          <w:iCs/>
          <w:sz w:val="24"/>
          <w:szCs w:val="24"/>
        </w:rPr>
        <w:lastRenderedPageBreak/>
        <w:t xml:space="preserve">Analysis: The need for evidence </w:t>
      </w:r>
      <w:r w:rsidR="006D0E3C">
        <w:rPr>
          <w:rFonts w:ascii="Times New Roman" w:hAnsi="Times New Roman"/>
          <w:b/>
          <w:bCs/>
          <w:i/>
          <w:iCs/>
          <w:sz w:val="24"/>
          <w:szCs w:val="24"/>
        </w:rPr>
        <w:t xml:space="preserve">to </w:t>
      </w:r>
      <w:r w:rsidR="00A25217" w:rsidRPr="000E0CA0">
        <w:rPr>
          <w:rFonts w:ascii="Times New Roman" w:hAnsi="Times New Roman"/>
          <w:b/>
          <w:bCs/>
          <w:i/>
          <w:iCs/>
          <w:sz w:val="24"/>
          <w:szCs w:val="24"/>
        </w:rPr>
        <w:t>justif</w:t>
      </w:r>
      <w:r w:rsidR="006D0E3C">
        <w:rPr>
          <w:rFonts w:ascii="Times New Roman" w:hAnsi="Times New Roman"/>
          <w:b/>
          <w:bCs/>
          <w:i/>
          <w:iCs/>
          <w:sz w:val="24"/>
          <w:szCs w:val="24"/>
        </w:rPr>
        <w:t xml:space="preserve">y </w:t>
      </w:r>
      <w:r w:rsidR="00A25217" w:rsidRPr="000E0CA0">
        <w:rPr>
          <w:rFonts w:ascii="Times New Roman" w:hAnsi="Times New Roman"/>
          <w:b/>
          <w:bCs/>
          <w:i/>
          <w:iCs/>
          <w:sz w:val="24"/>
          <w:szCs w:val="24"/>
        </w:rPr>
        <w:t>a duty of prior notice as part of an export licensing regime</w:t>
      </w:r>
    </w:p>
    <w:p w14:paraId="2366F208" w14:textId="77777777" w:rsidR="00A25217" w:rsidRPr="000E0CA0" w:rsidRDefault="00A25217" w:rsidP="002D37BA">
      <w:pPr>
        <w:pStyle w:val="ListParagraph"/>
        <w:spacing w:after="0" w:line="240" w:lineRule="auto"/>
        <w:ind w:left="1080"/>
        <w:jc w:val="both"/>
        <w:rPr>
          <w:rFonts w:ascii="Times New Roman" w:hAnsi="Times New Roman"/>
          <w:bCs/>
          <w:i/>
          <w:iCs/>
          <w:sz w:val="24"/>
          <w:szCs w:val="24"/>
        </w:rPr>
      </w:pPr>
    </w:p>
    <w:p w14:paraId="3F5FF446" w14:textId="77777777" w:rsidR="00243E70" w:rsidRPr="009D2C1C" w:rsidRDefault="00292389" w:rsidP="002D37BA">
      <w:pPr>
        <w:pStyle w:val="ListParagraph"/>
        <w:numPr>
          <w:ilvl w:val="0"/>
          <w:numId w:val="13"/>
        </w:numPr>
        <w:spacing w:after="0" w:line="240" w:lineRule="auto"/>
        <w:ind w:left="567" w:hanging="567"/>
        <w:jc w:val="both"/>
        <w:rPr>
          <w:rFonts w:ascii="Times New Roman" w:hAnsi="Times New Roman"/>
          <w:bCs/>
          <w:sz w:val="24"/>
          <w:szCs w:val="24"/>
        </w:rPr>
      </w:pPr>
      <w:r w:rsidRPr="000E0CA0">
        <w:rPr>
          <w:rFonts w:ascii="Times New Roman" w:hAnsi="Times New Roman"/>
          <w:bCs/>
          <w:sz w:val="24"/>
          <w:szCs w:val="24"/>
        </w:rPr>
        <w:t xml:space="preserve">I turn to the justification found by the judge for the obligation in dispute. </w:t>
      </w:r>
      <w:r w:rsidR="00C104D6" w:rsidRPr="000E0CA0">
        <w:rPr>
          <w:rFonts w:ascii="Times New Roman" w:hAnsi="Times New Roman"/>
          <w:bCs/>
          <w:sz w:val="24"/>
          <w:szCs w:val="24"/>
        </w:rPr>
        <w:t xml:space="preserve">There </w:t>
      </w:r>
      <w:r w:rsidR="001662BB" w:rsidRPr="000E0CA0">
        <w:rPr>
          <w:rFonts w:ascii="Times New Roman" w:hAnsi="Times New Roman"/>
          <w:bCs/>
          <w:sz w:val="24"/>
          <w:szCs w:val="24"/>
        </w:rPr>
        <w:t xml:space="preserve">are </w:t>
      </w:r>
      <w:r w:rsidR="00804633" w:rsidRPr="000E0CA0">
        <w:rPr>
          <w:rFonts w:ascii="Times New Roman" w:hAnsi="Times New Roman"/>
          <w:bCs/>
          <w:sz w:val="24"/>
          <w:szCs w:val="24"/>
        </w:rPr>
        <w:t xml:space="preserve">two </w:t>
      </w:r>
      <w:r w:rsidR="00C104D6" w:rsidRPr="000E0CA0">
        <w:rPr>
          <w:rFonts w:ascii="Times New Roman" w:hAnsi="Times New Roman"/>
          <w:bCs/>
          <w:sz w:val="24"/>
          <w:szCs w:val="24"/>
        </w:rPr>
        <w:t>issues to address</w:t>
      </w:r>
      <w:r w:rsidR="00804633" w:rsidRPr="000E0CA0">
        <w:rPr>
          <w:rFonts w:ascii="Times New Roman" w:hAnsi="Times New Roman"/>
          <w:bCs/>
          <w:sz w:val="24"/>
          <w:szCs w:val="24"/>
        </w:rPr>
        <w:t xml:space="preserve">: </w:t>
      </w:r>
      <w:r w:rsidR="00C104D6" w:rsidRPr="000E0CA0">
        <w:rPr>
          <w:rFonts w:ascii="Times New Roman" w:hAnsi="Times New Roman"/>
          <w:bCs/>
          <w:sz w:val="24"/>
          <w:szCs w:val="24"/>
        </w:rPr>
        <w:t>(i) whether</w:t>
      </w:r>
      <w:r w:rsidR="00804633" w:rsidRPr="000E0CA0">
        <w:rPr>
          <w:rFonts w:ascii="Times New Roman" w:hAnsi="Times New Roman"/>
          <w:bCs/>
          <w:sz w:val="24"/>
          <w:szCs w:val="24"/>
        </w:rPr>
        <w:t xml:space="preserve"> the justification of the obligation to give notice</w:t>
      </w:r>
      <w:r w:rsidR="00C104D6" w:rsidRPr="000E0CA0">
        <w:rPr>
          <w:rFonts w:ascii="Times New Roman" w:hAnsi="Times New Roman"/>
          <w:bCs/>
          <w:sz w:val="24"/>
          <w:szCs w:val="24"/>
        </w:rPr>
        <w:t xml:space="preserve"> can be decided without evidence</w:t>
      </w:r>
      <w:r w:rsidR="006529D6" w:rsidRPr="000E0CA0">
        <w:rPr>
          <w:rFonts w:ascii="Times New Roman" w:hAnsi="Times New Roman"/>
          <w:bCs/>
          <w:sz w:val="24"/>
          <w:szCs w:val="24"/>
        </w:rPr>
        <w:t>;</w:t>
      </w:r>
      <w:r w:rsidR="00C104D6" w:rsidRPr="000E0CA0">
        <w:rPr>
          <w:rFonts w:ascii="Times New Roman" w:hAnsi="Times New Roman"/>
          <w:bCs/>
          <w:sz w:val="24"/>
          <w:szCs w:val="24"/>
        </w:rPr>
        <w:t xml:space="preserve"> (ii) whether in any event </w:t>
      </w:r>
      <w:r w:rsidR="00804633" w:rsidRPr="000E0CA0">
        <w:rPr>
          <w:rFonts w:ascii="Times New Roman" w:hAnsi="Times New Roman"/>
          <w:bCs/>
          <w:sz w:val="24"/>
          <w:szCs w:val="24"/>
        </w:rPr>
        <w:t xml:space="preserve">the notice obligation is justified under Article 36. </w:t>
      </w:r>
    </w:p>
    <w:p w14:paraId="5F2AF353" w14:textId="77777777" w:rsidR="00D034B4" w:rsidRPr="000E0CA0" w:rsidRDefault="00D034B4" w:rsidP="002D37BA">
      <w:pPr>
        <w:pStyle w:val="ListParagraph"/>
        <w:spacing w:after="0" w:line="240" w:lineRule="auto"/>
        <w:ind w:left="1080"/>
        <w:jc w:val="both"/>
        <w:rPr>
          <w:rFonts w:ascii="Times New Roman" w:hAnsi="Times New Roman"/>
          <w:bCs/>
          <w:i/>
          <w:iCs/>
          <w:sz w:val="24"/>
          <w:szCs w:val="24"/>
        </w:rPr>
      </w:pPr>
    </w:p>
    <w:p w14:paraId="0DC5A573" w14:textId="5BFD3A95" w:rsidR="00292389" w:rsidRPr="000E0CA0" w:rsidRDefault="00804633" w:rsidP="002D37BA">
      <w:pPr>
        <w:pStyle w:val="ListParagraph"/>
        <w:numPr>
          <w:ilvl w:val="0"/>
          <w:numId w:val="13"/>
        </w:numPr>
        <w:spacing w:after="0" w:line="240" w:lineRule="auto"/>
        <w:ind w:left="567" w:hanging="567"/>
        <w:jc w:val="both"/>
        <w:rPr>
          <w:rFonts w:ascii="Times New Roman" w:hAnsi="Times New Roman"/>
          <w:bCs/>
          <w:sz w:val="24"/>
          <w:szCs w:val="24"/>
        </w:rPr>
      </w:pPr>
      <w:r w:rsidRPr="000E0CA0">
        <w:rPr>
          <w:rFonts w:ascii="Times New Roman" w:hAnsi="Times New Roman"/>
          <w:bCs/>
          <w:sz w:val="24"/>
          <w:szCs w:val="24"/>
        </w:rPr>
        <w:t xml:space="preserve">The Appellant argues that </w:t>
      </w:r>
      <w:r w:rsidR="000F57B2" w:rsidRPr="000E0CA0">
        <w:rPr>
          <w:rFonts w:ascii="Times New Roman" w:hAnsi="Times New Roman"/>
          <w:bCs/>
          <w:sz w:val="24"/>
          <w:szCs w:val="24"/>
        </w:rPr>
        <w:t xml:space="preserve">the Judge erred in concluding </w:t>
      </w:r>
      <w:r w:rsidRPr="000E0CA0">
        <w:rPr>
          <w:rFonts w:ascii="Times New Roman" w:hAnsi="Times New Roman"/>
          <w:bCs/>
          <w:sz w:val="24"/>
          <w:szCs w:val="24"/>
        </w:rPr>
        <w:t>that the justification for the notice requirement was a matter of intuitive common sense</w:t>
      </w:r>
      <w:r w:rsidR="00292389" w:rsidRPr="000E0CA0">
        <w:rPr>
          <w:rFonts w:ascii="Times New Roman" w:hAnsi="Times New Roman"/>
          <w:bCs/>
          <w:sz w:val="24"/>
          <w:szCs w:val="24"/>
        </w:rPr>
        <w:t xml:space="preserve"> not requiring evidence</w:t>
      </w:r>
      <w:r w:rsidRPr="000E0CA0">
        <w:rPr>
          <w:rFonts w:ascii="Times New Roman" w:hAnsi="Times New Roman"/>
          <w:bCs/>
          <w:sz w:val="24"/>
          <w:szCs w:val="24"/>
        </w:rPr>
        <w:t>. The Appellant cites a series of cases, predominantly con</w:t>
      </w:r>
      <w:r w:rsidR="00B16C34">
        <w:rPr>
          <w:rFonts w:ascii="Times New Roman" w:hAnsi="Times New Roman"/>
          <w:bCs/>
          <w:sz w:val="24"/>
          <w:szCs w:val="24"/>
        </w:rPr>
        <w:t>cerned</w:t>
      </w:r>
      <w:r w:rsidRPr="000E0CA0">
        <w:rPr>
          <w:rFonts w:ascii="Times New Roman" w:hAnsi="Times New Roman"/>
          <w:bCs/>
          <w:sz w:val="24"/>
          <w:szCs w:val="24"/>
        </w:rPr>
        <w:t xml:space="preserve"> with national restrictions imposed in the gambling market, which led to reference</w:t>
      </w:r>
      <w:r w:rsidR="00292389" w:rsidRPr="000E0CA0">
        <w:rPr>
          <w:rFonts w:ascii="Times New Roman" w:hAnsi="Times New Roman"/>
          <w:bCs/>
          <w:sz w:val="24"/>
          <w:szCs w:val="24"/>
        </w:rPr>
        <w:t>s</w:t>
      </w:r>
      <w:r w:rsidRPr="000E0CA0">
        <w:rPr>
          <w:rFonts w:ascii="Times New Roman" w:hAnsi="Times New Roman"/>
          <w:bCs/>
          <w:sz w:val="24"/>
          <w:szCs w:val="24"/>
        </w:rPr>
        <w:t xml:space="preserve"> to the Court of Justice raising questions about the legality of those national measures with EU rules in particular on the analogous treaty provisions relating to free </w:t>
      </w:r>
      <w:r w:rsidR="00C62A8D" w:rsidRPr="000E0CA0">
        <w:rPr>
          <w:rFonts w:ascii="Times New Roman" w:hAnsi="Times New Roman"/>
          <w:bCs/>
          <w:sz w:val="24"/>
          <w:szCs w:val="24"/>
        </w:rPr>
        <w:t>movement</w:t>
      </w:r>
      <w:r w:rsidRPr="000E0CA0">
        <w:rPr>
          <w:rFonts w:ascii="Times New Roman" w:hAnsi="Times New Roman"/>
          <w:bCs/>
          <w:sz w:val="24"/>
          <w:szCs w:val="24"/>
        </w:rPr>
        <w:t xml:space="preserve"> of ser</w:t>
      </w:r>
      <w:r w:rsidR="0061167B" w:rsidRPr="000E0CA0">
        <w:rPr>
          <w:rFonts w:ascii="Times New Roman" w:hAnsi="Times New Roman"/>
          <w:bCs/>
          <w:sz w:val="24"/>
          <w:szCs w:val="24"/>
        </w:rPr>
        <w:t>vices</w:t>
      </w:r>
      <w:r w:rsidR="00292389" w:rsidRPr="000E0CA0">
        <w:rPr>
          <w:rFonts w:ascii="Times New Roman" w:hAnsi="Times New Roman"/>
          <w:bCs/>
          <w:sz w:val="24"/>
          <w:szCs w:val="24"/>
        </w:rPr>
        <w:t xml:space="preserve">: </w:t>
      </w:r>
      <w:r w:rsidR="000F57B2" w:rsidRPr="000E0CA0">
        <w:rPr>
          <w:rFonts w:ascii="Times New Roman" w:hAnsi="Times New Roman"/>
          <w:bCs/>
          <w:sz w:val="24"/>
          <w:szCs w:val="24"/>
        </w:rPr>
        <w:t>See e</w:t>
      </w:r>
      <w:r w:rsidR="00B16C34">
        <w:rPr>
          <w:rFonts w:ascii="Times New Roman" w:hAnsi="Times New Roman"/>
          <w:bCs/>
          <w:sz w:val="24"/>
          <w:szCs w:val="24"/>
        </w:rPr>
        <w:t>.</w:t>
      </w:r>
      <w:r w:rsidR="0061167B" w:rsidRPr="000E0CA0">
        <w:rPr>
          <w:rFonts w:ascii="Times New Roman" w:hAnsi="Times New Roman"/>
          <w:bCs/>
          <w:sz w:val="24"/>
          <w:szCs w:val="24"/>
        </w:rPr>
        <w:t>g</w:t>
      </w:r>
      <w:r w:rsidR="00B16C34">
        <w:rPr>
          <w:rFonts w:ascii="Times New Roman" w:hAnsi="Times New Roman"/>
          <w:bCs/>
          <w:sz w:val="24"/>
          <w:szCs w:val="24"/>
        </w:rPr>
        <w:t>.</w:t>
      </w:r>
      <w:r w:rsidR="000F57B2" w:rsidRPr="000E0CA0">
        <w:rPr>
          <w:rFonts w:ascii="Times New Roman" w:hAnsi="Times New Roman"/>
          <w:bCs/>
          <w:sz w:val="24"/>
          <w:szCs w:val="24"/>
        </w:rPr>
        <w:t xml:space="preserve"> Case C-390/12 </w:t>
      </w:r>
      <w:r w:rsidR="000F57B2" w:rsidRPr="000E0CA0">
        <w:rPr>
          <w:rFonts w:ascii="Times New Roman" w:hAnsi="Times New Roman"/>
          <w:bCs/>
          <w:i/>
          <w:iCs/>
          <w:sz w:val="24"/>
          <w:szCs w:val="24"/>
        </w:rPr>
        <w:t xml:space="preserve">Pfleger </w:t>
      </w:r>
      <w:r w:rsidR="000F57B2" w:rsidRPr="000E0CA0">
        <w:rPr>
          <w:rFonts w:ascii="Times New Roman" w:hAnsi="Times New Roman"/>
          <w:bCs/>
          <w:sz w:val="24"/>
          <w:szCs w:val="24"/>
        </w:rPr>
        <w:t>(</w:t>
      </w:r>
      <w:r w:rsidR="007D2305">
        <w:rPr>
          <w:rFonts w:ascii="Times New Roman" w:hAnsi="Times New Roman"/>
          <w:bCs/>
          <w:sz w:val="24"/>
          <w:szCs w:val="24"/>
        </w:rPr>
        <w:t>ECLI:EU:C2014:281</w:t>
      </w:r>
      <w:r w:rsidR="000F57B2" w:rsidRPr="000E0CA0">
        <w:rPr>
          <w:rFonts w:ascii="Times New Roman" w:hAnsi="Times New Roman"/>
          <w:bCs/>
          <w:sz w:val="24"/>
          <w:szCs w:val="24"/>
        </w:rPr>
        <w:t>)</w:t>
      </w:r>
      <w:r w:rsidR="0061167B" w:rsidRPr="000E0CA0">
        <w:rPr>
          <w:rFonts w:ascii="Times New Roman" w:hAnsi="Times New Roman"/>
          <w:bCs/>
          <w:sz w:val="24"/>
          <w:szCs w:val="24"/>
        </w:rPr>
        <w:t>;</w:t>
      </w:r>
      <w:r w:rsidR="000F57B2" w:rsidRPr="000E0CA0">
        <w:rPr>
          <w:rFonts w:ascii="Times New Roman" w:hAnsi="Times New Roman"/>
          <w:bCs/>
          <w:sz w:val="24"/>
          <w:szCs w:val="24"/>
        </w:rPr>
        <w:t xml:space="preserve"> </w:t>
      </w:r>
      <w:r w:rsidR="00A2580A" w:rsidRPr="000E0CA0">
        <w:rPr>
          <w:rFonts w:ascii="Times New Roman" w:hAnsi="Times New Roman"/>
          <w:bCs/>
          <w:sz w:val="24"/>
          <w:szCs w:val="24"/>
        </w:rPr>
        <w:t xml:space="preserve">Case C-685/15 </w:t>
      </w:r>
      <w:r w:rsidR="00A2580A" w:rsidRPr="000E0CA0">
        <w:rPr>
          <w:rFonts w:ascii="Times New Roman" w:hAnsi="Times New Roman"/>
          <w:bCs/>
          <w:i/>
          <w:iCs/>
          <w:sz w:val="24"/>
          <w:szCs w:val="24"/>
        </w:rPr>
        <w:t>Online Games</w:t>
      </w:r>
      <w:r w:rsidR="00A2580A" w:rsidRPr="000E0CA0">
        <w:rPr>
          <w:rFonts w:ascii="Times New Roman" w:hAnsi="Times New Roman"/>
          <w:bCs/>
          <w:sz w:val="24"/>
          <w:szCs w:val="24"/>
        </w:rPr>
        <w:t xml:space="preserve"> (</w:t>
      </w:r>
      <w:r w:rsidR="00E27FC8">
        <w:rPr>
          <w:rFonts w:ascii="Times New Roman" w:hAnsi="Times New Roman"/>
          <w:bCs/>
          <w:sz w:val="24"/>
          <w:szCs w:val="24"/>
        </w:rPr>
        <w:t>ECLI:EU:C:2017:452</w:t>
      </w:r>
      <w:r w:rsidR="00A2580A" w:rsidRPr="000E0CA0">
        <w:rPr>
          <w:rFonts w:ascii="Times New Roman" w:hAnsi="Times New Roman"/>
          <w:bCs/>
          <w:sz w:val="24"/>
          <w:szCs w:val="24"/>
        </w:rPr>
        <w:t>); (“</w:t>
      </w:r>
      <w:r w:rsidR="00A2580A" w:rsidRPr="000E0CA0">
        <w:rPr>
          <w:rFonts w:ascii="Times New Roman" w:hAnsi="Times New Roman"/>
          <w:bCs/>
          <w:i/>
          <w:iCs/>
          <w:sz w:val="24"/>
          <w:szCs w:val="24"/>
        </w:rPr>
        <w:t>Online Games</w:t>
      </w:r>
      <w:r w:rsidR="00A2580A" w:rsidRPr="000E0CA0">
        <w:rPr>
          <w:rFonts w:ascii="Times New Roman" w:hAnsi="Times New Roman"/>
          <w:bCs/>
          <w:sz w:val="24"/>
          <w:szCs w:val="24"/>
        </w:rPr>
        <w:t>”); and</w:t>
      </w:r>
      <w:r w:rsidR="0061167B" w:rsidRPr="000E0CA0">
        <w:rPr>
          <w:rFonts w:ascii="Times New Roman" w:hAnsi="Times New Roman"/>
          <w:bCs/>
          <w:sz w:val="24"/>
          <w:szCs w:val="24"/>
        </w:rPr>
        <w:t>,</w:t>
      </w:r>
      <w:r w:rsidR="00A2580A" w:rsidRPr="000E0CA0">
        <w:rPr>
          <w:rFonts w:ascii="Times New Roman" w:hAnsi="Times New Roman"/>
          <w:bCs/>
          <w:sz w:val="24"/>
          <w:szCs w:val="24"/>
        </w:rPr>
        <w:t xml:space="preserve"> Case C-3/17 </w:t>
      </w:r>
      <w:r w:rsidR="00A2580A" w:rsidRPr="000E0CA0">
        <w:rPr>
          <w:rFonts w:ascii="Times New Roman" w:hAnsi="Times New Roman"/>
          <w:bCs/>
          <w:i/>
          <w:iCs/>
          <w:sz w:val="24"/>
          <w:szCs w:val="24"/>
        </w:rPr>
        <w:t>Sporting Odds Ltd</w:t>
      </w:r>
      <w:r w:rsidR="00A2580A" w:rsidRPr="000E0CA0">
        <w:rPr>
          <w:rFonts w:ascii="Times New Roman" w:hAnsi="Times New Roman"/>
          <w:bCs/>
          <w:sz w:val="24"/>
          <w:szCs w:val="24"/>
        </w:rPr>
        <w:t xml:space="preserve"> (</w:t>
      </w:r>
      <w:r w:rsidR="00E27FC8">
        <w:rPr>
          <w:rFonts w:ascii="Times New Roman" w:hAnsi="Times New Roman"/>
          <w:bCs/>
          <w:sz w:val="24"/>
          <w:szCs w:val="24"/>
        </w:rPr>
        <w:t>ECLI:EU:C</w:t>
      </w:r>
      <w:r w:rsidR="00254941">
        <w:rPr>
          <w:rFonts w:ascii="Times New Roman" w:hAnsi="Times New Roman"/>
          <w:bCs/>
          <w:sz w:val="24"/>
          <w:szCs w:val="24"/>
        </w:rPr>
        <w:t>:2018:130</w:t>
      </w:r>
      <w:r w:rsidR="00A2580A" w:rsidRPr="000E0CA0">
        <w:rPr>
          <w:rFonts w:ascii="Times New Roman" w:hAnsi="Times New Roman"/>
          <w:bCs/>
          <w:sz w:val="24"/>
          <w:szCs w:val="24"/>
        </w:rPr>
        <w:t>) (“</w:t>
      </w:r>
      <w:r w:rsidR="00A2580A" w:rsidRPr="000E0CA0">
        <w:rPr>
          <w:rFonts w:ascii="Times New Roman" w:hAnsi="Times New Roman"/>
          <w:bCs/>
          <w:i/>
          <w:iCs/>
          <w:sz w:val="24"/>
          <w:szCs w:val="24"/>
        </w:rPr>
        <w:t>Sporting Odds</w:t>
      </w:r>
      <w:r w:rsidR="00A2580A" w:rsidRPr="000E0CA0">
        <w:rPr>
          <w:rFonts w:ascii="Times New Roman" w:hAnsi="Times New Roman"/>
          <w:bCs/>
          <w:sz w:val="24"/>
          <w:szCs w:val="24"/>
        </w:rPr>
        <w:t xml:space="preserve">”). </w:t>
      </w:r>
    </w:p>
    <w:p w14:paraId="7268EEA3" w14:textId="77777777" w:rsidR="00292389" w:rsidRPr="000E0CA0" w:rsidRDefault="00292389" w:rsidP="002D37BA">
      <w:pPr>
        <w:pStyle w:val="ListParagraph"/>
        <w:spacing w:after="0" w:line="240" w:lineRule="auto"/>
        <w:jc w:val="both"/>
        <w:rPr>
          <w:rFonts w:ascii="Times New Roman" w:hAnsi="Times New Roman"/>
          <w:bCs/>
          <w:sz w:val="24"/>
          <w:szCs w:val="24"/>
        </w:rPr>
      </w:pPr>
    </w:p>
    <w:p w14:paraId="3E97D674" w14:textId="1CBD3DA6" w:rsidR="00804633" w:rsidRPr="000E0CA0" w:rsidRDefault="00804633" w:rsidP="002D37BA">
      <w:pPr>
        <w:pStyle w:val="ListParagraph"/>
        <w:numPr>
          <w:ilvl w:val="0"/>
          <w:numId w:val="13"/>
        </w:numPr>
        <w:spacing w:after="0" w:line="240" w:lineRule="auto"/>
        <w:ind w:left="567" w:hanging="567"/>
        <w:jc w:val="both"/>
        <w:rPr>
          <w:rFonts w:ascii="Times New Roman" w:hAnsi="Times New Roman"/>
          <w:bCs/>
          <w:sz w:val="24"/>
          <w:szCs w:val="24"/>
        </w:rPr>
      </w:pPr>
      <w:r w:rsidRPr="000E0CA0">
        <w:rPr>
          <w:rFonts w:ascii="Times New Roman" w:hAnsi="Times New Roman"/>
          <w:bCs/>
          <w:sz w:val="24"/>
          <w:szCs w:val="24"/>
        </w:rPr>
        <w:t xml:space="preserve">In </w:t>
      </w:r>
      <w:r w:rsidR="00C62A8D" w:rsidRPr="000E0CA0">
        <w:rPr>
          <w:rFonts w:ascii="Times New Roman" w:hAnsi="Times New Roman"/>
          <w:bCs/>
          <w:sz w:val="24"/>
          <w:szCs w:val="24"/>
        </w:rPr>
        <w:t xml:space="preserve">a number of those cases the </w:t>
      </w:r>
      <w:r w:rsidRPr="000E0CA0">
        <w:rPr>
          <w:rFonts w:ascii="Times New Roman" w:hAnsi="Times New Roman"/>
          <w:bCs/>
          <w:sz w:val="24"/>
          <w:szCs w:val="24"/>
        </w:rPr>
        <w:t>Co</w:t>
      </w:r>
      <w:r w:rsidR="00C62A8D" w:rsidRPr="000E0CA0">
        <w:rPr>
          <w:rFonts w:ascii="Times New Roman" w:hAnsi="Times New Roman"/>
          <w:bCs/>
          <w:sz w:val="24"/>
          <w:szCs w:val="24"/>
        </w:rPr>
        <w:t xml:space="preserve">urt </w:t>
      </w:r>
      <w:r w:rsidRPr="000E0CA0">
        <w:rPr>
          <w:rFonts w:ascii="Times New Roman" w:hAnsi="Times New Roman"/>
          <w:bCs/>
          <w:sz w:val="24"/>
          <w:szCs w:val="24"/>
        </w:rPr>
        <w:t xml:space="preserve">has identified </w:t>
      </w:r>
      <w:r w:rsidR="00C62A8D" w:rsidRPr="000E0CA0">
        <w:rPr>
          <w:rFonts w:ascii="Times New Roman" w:hAnsi="Times New Roman"/>
          <w:bCs/>
          <w:sz w:val="24"/>
          <w:szCs w:val="24"/>
        </w:rPr>
        <w:t xml:space="preserve">the need for Member States to adduce evidence </w:t>
      </w:r>
      <w:r w:rsidR="00292389" w:rsidRPr="000E0CA0">
        <w:rPr>
          <w:rFonts w:ascii="Times New Roman" w:hAnsi="Times New Roman"/>
          <w:bCs/>
          <w:sz w:val="24"/>
          <w:szCs w:val="24"/>
        </w:rPr>
        <w:t xml:space="preserve">to </w:t>
      </w:r>
      <w:r w:rsidR="00C62A8D" w:rsidRPr="000E0CA0">
        <w:rPr>
          <w:rFonts w:ascii="Times New Roman" w:hAnsi="Times New Roman"/>
          <w:bCs/>
          <w:sz w:val="24"/>
          <w:szCs w:val="24"/>
        </w:rPr>
        <w:t>justify</w:t>
      </w:r>
      <w:r w:rsidRPr="000E0CA0">
        <w:rPr>
          <w:rFonts w:ascii="Times New Roman" w:hAnsi="Times New Roman"/>
          <w:bCs/>
          <w:sz w:val="24"/>
          <w:szCs w:val="24"/>
        </w:rPr>
        <w:t xml:space="preserve"> the restrictive measures in question</w:t>
      </w:r>
      <w:r w:rsidR="00C62A8D" w:rsidRPr="000E0CA0">
        <w:rPr>
          <w:rFonts w:ascii="Times New Roman" w:hAnsi="Times New Roman"/>
          <w:bCs/>
          <w:sz w:val="24"/>
          <w:szCs w:val="24"/>
        </w:rPr>
        <w:t xml:space="preserve">.  Mr O’Neill </w:t>
      </w:r>
      <w:r w:rsidR="00446DBB" w:rsidRPr="000E0CA0">
        <w:rPr>
          <w:rFonts w:ascii="Times New Roman" w:hAnsi="Times New Roman"/>
          <w:bCs/>
          <w:sz w:val="24"/>
          <w:szCs w:val="24"/>
        </w:rPr>
        <w:t xml:space="preserve">QC </w:t>
      </w:r>
      <w:r w:rsidR="00C62A8D" w:rsidRPr="000E0CA0">
        <w:rPr>
          <w:rFonts w:ascii="Times New Roman" w:hAnsi="Times New Roman"/>
          <w:bCs/>
          <w:sz w:val="24"/>
          <w:szCs w:val="24"/>
        </w:rPr>
        <w:t>drew ou</w:t>
      </w:r>
      <w:r w:rsidR="00446DBB" w:rsidRPr="000E0CA0">
        <w:rPr>
          <w:rFonts w:ascii="Times New Roman" w:hAnsi="Times New Roman"/>
          <w:bCs/>
          <w:sz w:val="24"/>
          <w:szCs w:val="24"/>
        </w:rPr>
        <w:t>r</w:t>
      </w:r>
      <w:r w:rsidR="00C62A8D" w:rsidRPr="000E0CA0">
        <w:rPr>
          <w:rFonts w:ascii="Times New Roman" w:hAnsi="Times New Roman"/>
          <w:bCs/>
          <w:sz w:val="24"/>
          <w:szCs w:val="24"/>
        </w:rPr>
        <w:t xml:space="preserve"> attention to various paragraphs which appear to make the adducing of evidence mandatory</w:t>
      </w:r>
      <w:r w:rsidR="00292389" w:rsidRPr="000E0CA0">
        <w:rPr>
          <w:rFonts w:ascii="Times New Roman" w:hAnsi="Times New Roman"/>
          <w:bCs/>
          <w:sz w:val="24"/>
          <w:szCs w:val="24"/>
        </w:rPr>
        <w:t xml:space="preserve"> and he deduces from these cases that it is mandatory in </w:t>
      </w:r>
      <w:r w:rsidR="00292389" w:rsidRPr="009D2C1C">
        <w:rPr>
          <w:rFonts w:ascii="Times New Roman" w:hAnsi="Times New Roman"/>
          <w:bCs/>
          <w:sz w:val="24"/>
          <w:szCs w:val="24"/>
          <w:u w:val="single"/>
        </w:rPr>
        <w:t>all</w:t>
      </w:r>
      <w:r w:rsidR="00292389" w:rsidRPr="000E0CA0">
        <w:rPr>
          <w:rFonts w:ascii="Times New Roman" w:hAnsi="Times New Roman"/>
          <w:bCs/>
          <w:sz w:val="24"/>
          <w:szCs w:val="24"/>
        </w:rPr>
        <w:t xml:space="preserve"> cases for Member States to defend restrictions with evidence, thereby excluding the possibility that a measure can be justified by reference to logic or common sense</w:t>
      </w:r>
      <w:r w:rsidR="00A2580A" w:rsidRPr="000E0CA0">
        <w:rPr>
          <w:rFonts w:ascii="Times New Roman" w:hAnsi="Times New Roman"/>
          <w:bCs/>
          <w:sz w:val="24"/>
          <w:szCs w:val="24"/>
        </w:rPr>
        <w:t xml:space="preserve">: See </w:t>
      </w:r>
      <w:r w:rsidR="00A2580A" w:rsidRPr="000E0CA0">
        <w:rPr>
          <w:rFonts w:ascii="Times New Roman" w:hAnsi="Times New Roman"/>
          <w:bCs/>
          <w:i/>
          <w:iCs/>
          <w:sz w:val="24"/>
          <w:szCs w:val="24"/>
        </w:rPr>
        <w:t>Pfleger</w:t>
      </w:r>
      <w:r w:rsidR="00A2580A" w:rsidRPr="000E0CA0">
        <w:rPr>
          <w:rFonts w:ascii="Times New Roman" w:hAnsi="Times New Roman"/>
          <w:bCs/>
          <w:sz w:val="24"/>
          <w:szCs w:val="24"/>
        </w:rPr>
        <w:t xml:space="preserve"> (ibid) paragraph [50]; </w:t>
      </w:r>
      <w:r w:rsidR="00A2580A" w:rsidRPr="000E0CA0">
        <w:rPr>
          <w:rFonts w:ascii="Times New Roman" w:hAnsi="Times New Roman"/>
          <w:bCs/>
          <w:i/>
          <w:iCs/>
          <w:sz w:val="24"/>
          <w:szCs w:val="24"/>
        </w:rPr>
        <w:t>Online Games</w:t>
      </w:r>
      <w:r w:rsidR="00A2580A" w:rsidRPr="000E0CA0">
        <w:rPr>
          <w:rFonts w:ascii="Times New Roman" w:hAnsi="Times New Roman"/>
          <w:bCs/>
          <w:sz w:val="24"/>
          <w:szCs w:val="24"/>
        </w:rPr>
        <w:t xml:space="preserve"> (ibid) paragraph [66]; and </w:t>
      </w:r>
      <w:r w:rsidR="00A2580A" w:rsidRPr="000E0CA0">
        <w:rPr>
          <w:rFonts w:ascii="Times New Roman" w:hAnsi="Times New Roman"/>
          <w:bCs/>
          <w:i/>
          <w:iCs/>
          <w:sz w:val="24"/>
          <w:szCs w:val="24"/>
        </w:rPr>
        <w:t>Sporting Odds</w:t>
      </w:r>
      <w:r w:rsidR="00A2580A" w:rsidRPr="000E0CA0">
        <w:rPr>
          <w:rFonts w:ascii="Times New Roman" w:hAnsi="Times New Roman"/>
          <w:bCs/>
          <w:sz w:val="24"/>
          <w:szCs w:val="24"/>
        </w:rPr>
        <w:t xml:space="preserve"> (ibid) paragraph [60].</w:t>
      </w:r>
    </w:p>
    <w:p w14:paraId="620B0810" w14:textId="77777777" w:rsidR="00021BE4" w:rsidRPr="000E0CA0" w:rsidRDefault="00021BE4" w:rsidP="002D37BA">
      <w:pPr>
        <w:pStyle w:val="ListParagraph"/>
        <w:spacing w:after="0" w:line="240" w:lineRule="auto"/>
        <w:jc w:val="both"/>
        <w:rPr>
          <w:rFonts w:ascii="Times New Roman" w:hAnsi="Times New Roman"/>
          <w:bCs/>
          <w:sz w:val="24"/>
          <w:szCs w:val="24"/>
        </w:rPr>
      </w:pPr>
    </w:p>
    <w:p w14:paraId="5C414B8A" w14:textId="77777777" w:rsidR="00021BE4" w:rsidRPr="000E0CA0" w:rsidRDefault="00AF078A" w:rsidP="002D37BA">
      <w:pPr>
        <w:pStyle w:val="ListParagraph"/>
        <w:numPr>
          <w:ilvl w:val="0"/>
          <w:numId w:val="13"/>
        </w:numPr>
        <w:spacing w:after="0" w:line="240" w:lineRule="auto"/>
        <w:ind w:left="567" w:hanging="567"/>
        <w:jc w:val="both"/>
        <w:rPr>
          <w:rFonts w:ascii="Times New Roman" w:hAnsi="Times New Roman"/>
          <w:bCs/>
          <w:sz w:val="24"/>
          <w:szCs w:val="24"/>
        </w:rPr>
      </w:pPr>
      <w:r w:rsidRPr="000E0CA0">
        <w:rPr>
          <w:rFonts w:ascii="Times New Roman" w:hAnsi="Times New Roman"/>
          <w:bCs/>
          <w:sz w:val="24"/>
          <w:szCs w:val="24"/>
        </w:rPr>
        <w:t xml:space="preserve">In my view this argument is unsustainable. </w:t>
      </w:r>
      <w:r w:rsidR="00021BE4" w:rsidRPr="000E0CA0">
        <w:rPr>
          <w:rFonts w:ascii="Times New Roman" w:hAnsi="Times New Roman"/>
          <w:bCs/>
          <w:sz w:val="24"/>
          <w:szCs w:val="24"/>
        </w:rPr>
        <w:t>There are three reasons for this.</w:t>
      </w:r>
    </w:p>
    <w:p w14:paraId="4FFBE564" w14:textId="77777777" w:rsidR="00021BE4" w:rsidRPr="000E0CA0" w:rsidRDefault="00021BE4" w:rsidP="002D37BA">
      <w:pPr>
        <w:pStyle w:val="ListParagraph"/>
        <w:spacing w:after="0" w:line="240" w:lineRule="auto"/>
        <w:jc w:val="both"/>
        <w:rPr>
          <w:rFonts w:ascii="Times New Roman" w:hAnsi="Times New Roman"/>
          <w:bCs/>
          <w:sz w:val="24"/>
          <w:szCs w:val="24"/>
        </w:rPr>
      </w:pPr>
    </w:p>
    <w:p w14:paraId="0D9C1BA0" w14:textId="11E553FF" w:rsidR="00446DBB" w:rsidRPr="000E0CA0" w:rsidRDefault="00021BE4" w:rsidP="002D37BA">
      <w:pPr>
        <w:pStyle w:val="ListParagraph"/>
        <w:numPr>
          <w:ilvl w:val="0"/>
          <w:numId w:val="13"/>
        </w:numPr>
        <w:spacing w:after="0" w:line="240" w:lineRule="auto"/>
        <w:ind w:left="567" w:hanging="567"/>
        <w:jc w:val="both"/>
        <w:rPr>
          <w:rFonts w:ascii="Times New Roman" w:hAnsi="Times New Roman"/>
          <w:bCs/>
          <w:sz w:val="24"/>
          <w:szCs w:val="24"/>
        </w:rPr>
      </w:pPr>
      <w:r w:rsidRPr="000E0CA0">
        <w:rPr>
          <w:rFonts w:ascii="Times New Roman" w:hAnsi="Times New Roman"/>
          <w:bCs/>
          <w:sz w:val="24"/>
          <w:szCs w:val="24"/>
        </w:rPr>
        <w:t xml:space="preserve">First, </w:t>
      </w:r>
      <w:r w:rsidR="00292389" w:rsidRPr="000E0CA0">
        <w:rPr>
          <w:rFonts w:ascii="Times New Roman" w:hAnsi="Times New Roman"/>
          <w:bCs/>
          <w:sz w:val="24"/>
          <w:szCs w:val="24"/>
        </w:rPr>
        <w:t>the absolute way in which the argument is advance</w:t>
      </w:r>
      <w:r w:rsidR="00952F13">
        <w:rPr>
          <w:rFonts w:ascii="Times New Roman" w:hAnsi="Times New Roman"/>
          <w:bCs/>
          <w:sz w:val="24"/>
          <w:szCs w:val="24"/>
        </w:rPr>
        <w:t>d</w:t>
      </w:r>
      <w:r w:rsidRPr="000E0CA0">
        <w:rPr>
          <w:rFonts w:ascii="Times New Roman" w:hAnsi="Times New Roman"/>
          <w:bCs/>
          <w:sz w:val="24"/>
          <w:szCs w:val="24"/>
        </w:rPr>
        <w:t xml:space="preserve"> makes no sense.  It </w:t>
      </w:r>
      <w:r w:rsidR="00AF078A" w:rsidRPr="000E0CA0">
        <w:rPr>
          <w:rFonts w:ascii="Times New Roman" w:hAnsi="Times New Roman"/>
          <w:bCs/>
          <w:sz w:val="24"/>
          <w:szCs w:val="24"/>
        </w:rPr>
        <w:t xml:space="preserve">amounts to the proposition that even where there is no doubt as to the justification behind a measure </w:t>
      </w:r>
      <w:r w:rsidR="00446DBB" w:rsidRPr="000E0CA0">
        <w:rPr>
          <w:rFonts w:ascii="Times New Roman" w:hAnsi="Times New Roman"/>
          <w:bCs/>
          <w:sz w:val="24"/>
          <w:szCs w:val="24"/>
        </w:rPr>
        <w:t xml:space="preserve">because it </w:t>
      </w:r>
      <w:r w:rsidR="00AF078A" w:rsidRPr="000E0CA0">
        <w:rPr>
          <w:rFonts w:ascii="Times New Roman" w:hAnsi="Times New Roman"/>
          <w:bCs/>
          <w:sz w:val="24"/>
          <w:szCs w:val="24"/>
        </w:rPr>
        <w:t xml:space="preserve">can be inferred or deduced as a matter of plain common sense </w:t>
      </w:r>
      <w:r w:rsidR="00292389" w:rsidRPr="000E0CA0">
        <w:rPr>
          <w:rFonts w:ascii="Times New Roman" w:hAnsi="Times New Roman"/>
          <w:bCs/>
          <w:sz w:val="24"/>
          <w:szCs w:val="24"/>
        </w:rPr>
        <w:t xml:space="preserve">or logic </w:t>
      </w:r>
      <w:r w:rsidR="00AF078A" w:rsidRPr="000E0CA0">
        <w:rPr>
          <w:rFonts w:ascii="Times New Roman" w:hAnsi="Times New Roman"/>
          <w:bCs/>
          <w:sz w:val="24"/>
          <w:szCs w:val="24"/>
        </w:rPr>
        <w:t xml:space="preserve">that the State must </w:t>
      </w:r>
      <w:r w:rsidR="00AF078A" w:rsidRPr="000E0CA0">
        <w:rPr>
          <w:rFonts w:ascii="Times New Roman" w:hAnsi="Times New Roman"/>
          <w:bCs/>
          <w:i/>
          <w:iCs/>
          <w:sz w:val="24"/>
          <w:szCs w:val="24"/>
        </w:rPr>
        <w:t>still</w:t>
      </w:r>
      <w:r w:rsidR="00AF078A" w:rsidRPr="000E0CA0">
        <w:rPr>
          <w:rFonts w:ascii="Times New Roman" w:hAnsi="Times New Roman"/>
          <w:bCs/>
          <w:sz w:val="24"/>
          <w:szCs w:val="24"/>
        </w:rPr>
        <w:t xml:space="preserve"> adduce evidence as to the justification, however superfluous that is.  And a failure to adduce that superfluous evidence w</w:t>
      </w:r>
      <w:r w:rsidR="00446DBB" w:rsidRPr="000E0CA0">
        <w:rPr>
          <w:rFonts w:ascii="Times New Roman" w:hAnsi="Times New Roman"/>
          <w:bCs/>
          <w:sz w:val="24"/>
          <w:szCs w:val="24"/>
        </w:rPr>
        <w:t xml:space="preserve">ould </w:t>
      </w:r>
      <w:r w:rsidR="00AF078A" w:rsidRPr="000E0CA0">
        <w:rPr>
          <w:rFonts w:ascii="Times New Roman" w:hAnsi="Times New Roman"/>
          <w:bCs/>
          <w:sz w:val="24"/>
          <w:szCs w:val="24"/>
        </w:rPr>
        <w:t xml:space="preserve">render the law in question unlawful. </w:t>
      </w:r>
      <w:r w:rsidR="00292389" w:rsidRPr="000E0CA0">
        <w:rPr>
          <w:rFonts w:ascii="Times New Roman" w:hAnsi="Times New Roman"/>
          <w:bCs/>
          <w:sz w:val="24"/>
          <w:szCs w:val="24"/>
        </w:rPr>
        <w:t xml:space="preserve">There is no magic </w:t>
      </w:r>
      <w:r w:rsidR="00292389" w:rsidRPr="000E0CA0">
        <w:rPr>
          <w:rFonts w:ascii="Times New Roman" w:hAnsi="Times New Roman"/>
          <w:bCs/>
          <w:i/>
          <w:sz w:val="24"/>
          <w:szCs w:val="24"/>
        </w:rPr>
        <w:t>per se</w:t>
      </w:r>
      <w:r w:rsidR="00292389" w:rsidRPr="000E0CA0">
        <w:rPr>
          <w:rFonts w:ascii="Times New Roman" w:hAnsi="Times New Roman"/>
          <w:bCs/>
          <w:sz w:val="24"/>
          <w:szCs w:val="24"/>
        </w:rPr>
        <w:t xml:space="preserve"> in the adducing of evidence.  What matters is that the Member State satisfies the court that the measure in issue is justified.  That might be through evidence, or submissions and argument</w:t>
      </w:r>
      <w:r w:rsidR="009D2C1C">
        <w:rPr>
          <w:rFonts w:ascii="Times New Roman" w:hAnsi="Times New Roman"/>
          <w:bCs/>
          <w:sz w:val="24"/>
          <w:szCs w:val="24"/>
        </w:rPr>
        <w:t>,</w:t>
      </w:r>
      <w:r w:rsidR="00292389" w:rsidRPr="000E0CA0">
        <w:rPr>
          <w:rFonts w:ascii="Times New Roman" w:hAnsi="Times New Roman"/>
          <w:bCs/>
          <w:sz w:val="24"/>
          <w:szCs w:val="24"/>
        </w:rPr>
        <w:t xml:space="preserve"> or a combination of both.  </w:t>
      </w:r>
      <w:r w:rsidR="00A2580A" w:rsidRPr="000E0CA0">
        <w:rPr>
          <w:rFonts w:ascii="Times New Roman" w:hAnsi="Times New Roman"/>
          <w:bCs/>
          <w:sz w:val="24"/>
          <w:szCs w:val="24"/>
        </w:rPr>
        <w:t>The Court in all of the cited case</w:t>
      </w:r>
      <w:r w:rsidR="00952F13">
        <w:rPr>
          <w:rFonts w:ascii="Times New Roman" w:hAnsi="Times New Roman"/>
          <w:bCs/>
          <w:sz w:val="24"/>
          <w:szCs w:val="24"/>
        </w:rPr>
        <w:t>s</w:t>
      </w:r>
      <w:r w:rsidR="00A2580A" w:rsidRPr="000E0CA0">
        <w:rPr>
          <w:rFonts w:ascii="Times New Roman" w:hAnsi="Times New Roman"/>
          <w:bCs/>
          <w:sz w:val="24"/>
          <w:szCs w:val="24"/>
        </w:rPr>
        <w:t xml:space="preserve"> was merely calibrating the requirement on a Member State to adduce evidence against the need of </w:t>
      </w:r>
      <w:r w:rsidR="009D2C1C">
        <w:rPr>
          <w:rFonts w:ascii="Times New Roman" w:hAnsi="Times New Roman"/>
          <w:bCs/>
          <w:sz w:val="24"/>
          <w:szCs w:val="24"/>
        </w:rPr>
        <w:t xml:space="preserve">the </w:t>
      </w:r>
      <w:r w:rsidR="00A2580A" w:rsidRPr="000E0CA0">
        <w:rPr>
          <w:rFonts w:ascii="Times New Roman" w:hAnsi="Times New Roman"/>
          <w:bCs/>
          <w:sz w:val="24"/>
          <w:szCs w:val="24"/>
        </w:rPr>
        <w:t xml:space="preserve">national court to satisfy itself that the justification being advanced </w:t>
      </w:r>
      <w:r w:rsidR="0061167B" w:rsidRPr="000E0CA0">
        <w:rPr>
          <w:rFonts w:ascii="Times New Roman" w:hAnsi="Times New Roman"/>
          <w:bCs/>
          <w:sz w:val="24"/>
          <w:szCs w:val="24"/>
        </w:rPr>
        <w:t>w</w:t>
      </w:r>
      <w:r w:rsidR="00A2580A" w:rsidRPr="000E0CA0">
        <w:rPr>
          <w:rFonts w:ascii="Times New Roman" w:hAnsi="Times New Roman"/>
          <w:bCs/>
          <w:sz w:val="24"/>
          <w:szCs w:val="24"/>
        </w:rPr>
        <w:t xml:space="preserve">as well made.  There is no absolute duty to adduce evidence.  There is a duty to adduce such </w:t>
      </w:r>
      <w:r w:rsidR="009D2C1C">
        <w:rPr>
          <w:rFonts w:ascii="Times New Roman" w:hAnsi="Times New Roman"/>
          <w:bCs/>
          <w:sz w:val="24"/>
          <w:szCs w:val="24"/>
        </w:rPr>
        <w:t xml:space="preserve">material </w:t>
      </w:r>
      <w:r w:rsidR="00A2580A" w:rsidRPr="000E0CA0">
        <w:rPr>
          <w:rFonts w:ascii="Times New Roman" w:hAnsi="Times New Roman"/>
          <w:bCs/>
          <w:sz w:val="24"/>
          <w:szCs w:val="24"/>
        </w:rPr>
        <w:t xml:space="preserve">as is needed to enable the Court to perform its task. But what that </w:t>
      </w:r>
      <w:r w:rsidR="0007217B">
        <w:rPr>
          <w:rFonts w:ascii="Times New Roman" w:hAnsi="Times New Roman"/>
          <w:bCs/>
          <w:sz w:val="24"/>
          <w:szCs w:val="24"/>
        </w:rPr>
        <w:t>material</w:t>
      </w:r>
      <w:r w:rsidR="00A2580A" w:rsidRPr="000E0CA0">
        <w:rPr>
          <w:rFonts w:ascii="Times New Roman" w:hAnsi="Times New Roman"/>
          <w:bCs/>
          <w:sz w:val="24"/>
          <w:szCs w:val="24"/>
        </w:rPr>
        <w:t xml:space="preserve"> will be will vary from case to case, from industry to industry</w:t>
      </w:r>
      <w:r w:rsidR="0061167B" w:rsidRPr="000E0CA0">
        <w:rPr>
          <w:rFonts w:ascii="Times New Roman" w:hAnsi="Times New Roman"/>
          <w:bCs/>
          <w:sz w:val="24"/>
          <w:szCs w:val="24"/>
        </w:rPr>
        <w:t>,</w:t>
      </w:r>
      <w:r w:rsidR="00A2580A" w:rsidRPr="000E0CA0">
        <w:rPr>
          <w:rFonts w:ascii="Times New Roman" w:hAnsi="Times New Roman"/>
          <w:bCs/>
          <w:sz w:val="24"/>
          <w:szCs w:val="24"/>
        </w:rPr>
        <w:t xml:space="preserve"> and from issue to issue. In an appropriate case it might be no more tha</w:t>
      </w:r>
      <w:r w:rsidR="00930A5F">
        <w:rPr>
          <w:rFonts w:ascii="Times New Roman" w:hAnsi="Times New Roman"/>
          <w:bCs/>
          <w:sz w:val="24"/>
          <w:szCs w:val="24"/>
        </w:rPr>
        <w:t>n</w:t>
      </w:r>
      <w:r w:rsidR="00A2580A" w:rsidRPr="000E0CA0">
        <w:rPr>
          <w:rFonts w:ascii="Times New Roman" w:hAnsi="Times New Roman"/>
          <w:bCs/>
          <w:sz w:val="24"/>
          <w:szCs w:val="24"/>
        </w:rPr>
        <w:t xml:space="preserve"> evidence of the restriction itself </w:t>
      </w:r>
      <w:r w:rsidR="0007217B">
        <w:rPr>
          <w:rFonts w:ascii="Times New Roman" w:hAnsi="Times New Roman"/>
          <w:bCs/>
          <w:sz w:val="24"/>
          <w:szCs w:val="24"/>
        </w:rPr>
        <w:t xml:space="preserve">(i.e. the act, instrument or measure comprising the measure complained of) </w:t>
      </w:r>
      <w:r w:rsidR="00A2580A" w:rsidRPr="000E0CA0">
        <w:rPr>
          <w:rFonts w:ascii="Times New Roman" w:hAnsi="Times New Roman"/>
          <w:bCs/>
          <w:sz w:val="24"/>
          <w:szCs w:val="24"/>
        </w:rPr>
        <w:t>which suffices to enable the court to draw an ineluctable conclusion about</w:t>
      </w:r>
      <w:r w:rsidR="009D2C1C">
        <w:rPr>
          <w:rFonts w:ascii="Times New Roman" w:hAnsi="Times New Roman"/>
          <w:bCs/>
          <w:sz w:val="24"/>
          <w:szCs w:val="24"/>
        </w:rPr>
        <w:t xml:space="preserve"> its</w:t>
      </w:r>
      <w:r w:rsidR="00A2580A" w:rsidRPr="000E0CA0">
        <w:rPr>
          <w:rFonts w:ascii="Times New Roman" w:hAnsi="Times New Roman"/>
          <w:bCs/>
          <w:sz w:val="24"/>
          <w:szCs w:val="24"/>
        </w:rPr>
        <w:t xml:space="preserve"> purpose. </w:t>
      </w:r>
    </w:p>
    <w:p w14:paraId="38DC8AFD" w14:textId="77777777" w:rsidR="00446DBB" w:rsidRPr="000E0CA0" w:rsidRDefault="00446DBB" w:rsidP="002D37BA">
      <w:pPr>
        <w:pStyle w:val="ListParagraph"/>
        <w:spacing w:after="0" w:line="240" w:lineRule="auto"/>
        <w:ind w:left="0"/>
        <w:jc w:val="both"/>
        <w:rPr>
          <w:rFonts w:ascii="Times New Roman" w:hAnsi="Times New Roman"/>
          <w:bCs/>
          <w:sz w:val="24"/>
          <w:szCs w:val="24"/>
        </w:rPr>
      </w:pPr>
    </w:p>
    <w:p w14:paraId="7FCCD8C8" w14:textId="77777777" w:rsidR="00AF078A" w:rsidRPr="000E0CA0" w:rsidRDefault="00021BE4" w:rsidP="002D37BA">
      <w:pPr>
        <w:pStyle w:val="ListParagraph"/>
        <w:numPr>
          <w:ilvl w:val="0"/>
          <w:numId w:val="13"/>
        </w:numPr>
        <w:spacing w:after="0" w:line="240" w:lineRule="auto"/>
        <w:ind w:left="567" w:hanging="567"/>
        <w:jc w:val="both"/>
        <w:rPr>
          <w:rFonts w:ascii="Times New Roman" w:hAnsi="Times New Roman"/>
          <w:bCs/>
          <w:sz w:val="24"/>
          <w:szCs w:val="24"/>
        </w:rPr>
      </w:pPr>
      <w:r w:rsidRPr="000E0CA0">
        <w:rPr>
          <w:rFonts w:ascii="Times New Roman" w:hAnsi="Times New Roman"/>
          <w:bCs/>
          <w:sz w:val="24"/>
          <w:szCs w:val="24"/>
        </w:rPr>
        <w:t xml:space="preserve">Second, </w:t>
      </w:r>
      <w:r w:rsidR="00AF078A" w:rsidRPr="000E0CA0">
        <w:rPr>
          <w:rFonts w:ascii="Times New Roman" w:hAnsi="Times New Roman"/>
          <w:bCs/>
          <w:sz w:val="24"/>
          <w:szCs w:val="24"/>
        </w:rPr>
        <w:t xml:space="preserve">the cases cited by the Appellant are references from national courts </w:t>
      </w:r>
      <w:r w:rsidR="00292389" w:rsidRPr="000E0CA0">
        <w:rPr>
          <w:rFonts w:ascii="Times New Roman" w:hAnsi="Times New Roman"/>
          <w:bCs/>
          <w:sz w:val="24"/>
          <w:szCs w:val="24"/>
        </w:rPr>
        <w:t xml:space="preserve">and all arise out of </w:t>
      </w:r>
      <w:r w:rsidR="00446DBB" w:rsidRPr="000E0CA0">
        <w:rPr>
          <w:rFonts w:ascii="Times New Roman" w:hAnsi="Times New Roman"/>
          <w:bCs/>
          <w:sz w:val="24"/>
          <w:szCs w:val="24"/>
        </w:rPr>
        <w:t xml:space="preserve">very </w:t>
      </w:r>
      <w:r w:rsidR="00AF078A" w:rsidRPr="000E0CA0">
        <w:rPr>
          <w:rFonts w:ascii="Times New Roman" w:hAnsi="Times New Roman"/>
          <w:bCs/>
          <w:sz w:val="24"/>
          <w:szCs w:val="24"/>
        </w:rPr>
        <w:t>specific factual circumstances</w:t>
      </w:r>
      <w:r w:rsidR="00292389" w:rsidRPr="000E0CA0">
        <w:rPr>
          <w:rFonts w:ascii="Times New Roman" w:hAnsi="Times New Roman"/>
          <w:bCs/>
          <w:sz w:val="24"/>
          <w:szCs w:val="24"/>
        </w:rPr>
        <w:t xml:space="preserve">. </w:t>
      </w:r>
      <w:r w:rsidR="00AF078A" w:rsidRPr="000E0CA0">
        <w:rPr>
          <w:rFonts w:ascii="Times New Roman" w:hAnsi="Times New Roman"/>
          <w:bCs/>
          <w:sz w:val="24"/>
          <w:szCs w:val="24"/>
        </w:rPr>
        <w:t>The</w:t>
      </w:r>
      <w:r w:rsidRPr="000E0CA0">
        <w:rPr>
          <w:rFonts w:ascii="Times New Roman" w:hAnsi="Times New Roman"/>
          <w:bCs/>
          <w:sz w:val="24"/>
          <w:szCs w:val="24"/>
        </w:rPr>
        <w:t xml:space="preserve">se are </w:t>
      </w:r>
      <w:r w:rsidR="00AF078A" w:rsidRPr="000E0CA0">
        <w:rPr>
          <w:rFonts w:ascii="Times New Roman" w:hAnsi="Times New Roman"/>
          <w:bCs/>
          <w:sz w:val="24"/>
          <w:szCs w:val="24"/>
        </w:rPr>
        <w:t>overwhelmingly gambling cases where there is a long history of references to the Court of Justice</w:t>
      </w:r>
      <w:r w:rsidR="00446DBB" w:rsidRPr="000E0CA0">
        <w:rPr>
          <w:rFonts w:ascii="Times New Roman" w:hAnsi="Times New Roman"/>
          <w:bCs/>
          <w:sz w:val="24"/>
          <w:szCs w:val="24"/>
        </w:rPr>
        <w:t xml:space="preserve"> and where it is </w:t>
      </w:r>
      <w:r w:rsidR="00AF078A" w:rsidRPr="000E0CA0">
        <w:rPr>
          <w:rFonts w:ascii="Times New Roman" w:hAnsi="Times New Roman"/>
          <w:bCs/>
          <w:sz w:val="24"/>
          <w:szCs w:val="24"/>
        </w:rPr>
        <w:t>apparent</w:t>
      </w:r>
      <w:r w:rsidR="00446DBB" w:rsidRPr="000E0CA0">
        <w:rPr>
          <w:rFonts w:ascii="Times New Roman" w:hAnsi="Times New Roman"/>
          <w:bCs/>
          <w:sz w:val="24"/>
          <w:szCs w:val="24"/>
        </w:rPr>
        <w:t xml:space="preserve"> </w:t>
      </w:r>
      <w:r w:rsidR="00AF078A" w:rsidRPr="000E0CA0">
        <w:rPr>
          <w:rFonts w:ascii="Times New Roman" w:hAnsi="Times New Roman"/>
          <w:bCs/>
          <w:sz w:val="24"/>
          <w:szCs w:val="24"/>
        </w:rPr>
        <w:t xml:space="preserve">that there are many different </w:t>
      </w:r>
      <w:r w:rsidR="00E13C54" w:rsidRPr="000E0CA0">
        <w:rPr>
          <w:rFonts w:ascii="Times New Roman" w:hAnsi="Times New Roman"/>
          <w:bCs/>
          <w:sz w:val="24"/>
          <w:szCs w:val="24"/>
        </w:rPr>
        <w:t>justifications</w:t>
      </w:r>
      <w:r w:rsidR="00AF078A" w:rsidRPr="000E0CA0">
        <w:rPr>
          <w:rFonts w:ascii="Times New Roman" w:hAnsi="Times New Roman"/>
          <w:bCs/>
          <w:sz w:val="24"/>
          <w:szCs w:val="24"/>
        </w:rPr>
        <w:t xml:space="preserve"> advanced for restrictions upon gambling in </w:t>
      </w:r>
      <w:r w:rsidR="00AF078A" w:rsidRPr="000E0CA0">
        <w:rPr>
          <w:rFonts w:ascii="Times New Roman" w:hAnsi="Times New Roman"/>
          <w:bCs/>
          <w:sz w:val="24"/>
          <w:szCs w:val="24"/>
        </w:rPr>
        <w:lastRenderedPageBreak/>
        <w:t xml:space="preserve">different Member States spanning religious and moral considerations, concerns about addiction and consumer protection, </w:t>
      </w:r>
      <w:r w:rsidR="00446DBB" w:rsidRPr="000E0CA0">
        <w:rPr>
          <w:rFonts w:ascii="Times New Roman" w:hAnsi="Times New Roman"/>
          <w:bCs/>
          <w:sz w:val="24"/>
          <w:szCs w:val="24"/>
        </w:rPr>
        <w:t xml:space="preserve">and </w:t>
      </w:r>
      <w:r w:rsidR="00AF078A" w:rsidRPr="000E0CA0">
        <w:rPr>
          <w:rFonts w:ascii="Times New Roman" w:hAnsi="Times New Roman"/>
          <w:bCs/>
          <w:sz w:val="24"/>
          <w:szCs w:val="24"/>
        </w:rPr>
        <w:t xml:space="preserve">the </w:t>
      </w:r>
      <w:r w:rsidR="00446DBB" w:rsidRPr="000E0CA0">
        <w:rPr>
          <w:rFonts w:ascii="Times New Roman" w:hAnsi="Times New Roman"/>
          <w:bCs/>
          <w:sz w:val="24"/>
          <w:szCs w:val="24"/>
        </w:rPr>
        <w:t xml:space="preserve">policy of </w:t>
      </w:r>
      <w:r w:rsidR="00AF078A" w:rsidRPr="000E0CA0">
        <w:rPr>
          <w:rFonts w:ascii="Times New Roman" w:hAnsi="Times New Roman"/>
          <w:bCs/>
          <w:sz w:val="24"/>
          <w:szCs w:val="24"/>
        </w:rPr>
        <w:t>some states to introduce national lotteries to generate fu</w:t>
      </w:r>
      <w:r w:rsidRPr="000E0CA0">
        <w:rPr>
          <w:rFonts w:ascii="Times New Roman" w:hAnsi="Times New Roman"/>
          <w:bCs/>
          <w:sz w:val="24"/>
          <w:szCs w:val="24"/>
        </w:rPr>
        <w:t>n</w:t>
      </w:r>
      <w:r w:rsidR="00AF078A" w:rsidRPr="000E0CA0">
        <w:rPr>
          <w:rFonts w:ascii="Times New Roman" w:hAnsi="Times New Roman"/>
          <w:bCs/>
          <w:sz w:val="24"/>
          <w:szCs w:val="24"/>
        </w:rPr>
        <w:t>ds for good causes.  The justification</w:t>
      </w:r>
      <w:r w:rsidRPr="000E0CA0">
        <w:rPr>
          <w:rFonts w:ascii="Times New Roman" w:hAnsi="Times New Roman"/>
          <w:bCs/>
          <w:sz w:val="24"/>
          <w:szCs w:val="24"/>
        </w:rPr>
        <w:t>s</w:t>
      </w:r>
      <w:r w:rsidR="00AF078A" w:rsidRPr="000E0CA0">
        <w:rPr>
          <w:rFonts w:ascii="Times New Roman" w:hAnsi="Times New Roman"/>
          <w:bCs/>
          <w:sz w:val="24"/>
          <w:szCs w:val="24"/>
        </w:rPr>
        <w:t xml:space="preserve"> are many and various and are predicated upon complex social and economic </w:t>
      </w:r>
      <w:r w:rsidR="0007217B">
        <w:rPr>
          <w:rFonts w:ascii="Times New Roman" w:hAnsi="Times New Roman"/>
          <w:bCs/>
          <w:sz w:val="24"/>
          <w:szCs w:val="24"/>
        </w:rPr>
        <w:t xml:space="preserve">national </w:t>
      </w:r>
      <w:r w:rsidR="00AF078A" w:rsidRPr="000E0CA0">
        <w:rPr>
          <w:rFonts w:ascii="Times New Roman" w:hAnsi="Times New Roman"/>
          <w:bCs/>
          <w:sz w:val="24"/>
          <w:szCs w:val="24"/>
        </w:rPr>
        <w:t xml:space="preserve">factors. </w:t>
      </w:r>
      <w:r w:rsidR="00F32A57" w:rsidRPr="000E0CA0">
        <w:rPr>
          <w:rFonts w:ascii="Times New Roman" w:hAnsi="Times New Roman"/>
          <w:bCs/>
          <w:sz w:val="24"/>
          <w:szCs w:val="24"/>
        </w:rPr>
        <w:t>The cases heard before the Court of Justice are replicated in this jurisdiction in cases also involving gambling (see e</w:t>
      </w:r>
      <w:r w:rsidR="0007217B">
        <w:rPr>
          <w:rFonts w:ascii="Times New Roman" w:hAnsi="Times New Roman"/>
          <w:bCs/>
          <w:sz w:val="24"/>
          <w:szCs w:val="24"/>
        </w:rPr>
        <w:t>.</w:t>
      </w:r>
      <w:r w:rsidR="00F32A57" w:rsidRPr="000E0CA0">
        <w:rPr>
          <w:rFonts w:ascii="Times New Roman" w:hAnsi="Times New Roman"/>
          <w:bCs/>
          <w:sz w:val="24"/>
          <w:szCs w:val="24"/>
        </w:rPr>
        <w:t>g</w:t>
      </w:r>
      <w:r w:rsidR="0007217B">
        <w:rPr>
          <w:rFonts w:ascii="Times New Roman" w:hAnsi="Times New Roman"/>
          <w:bCs/>
          <w:sz w:val="24"/>
          <w:szCs w:val="24"/>
        </w:rPr>
        <w:t>.</w:t>
      </w:r>
      <w:r w:rsidR="00F32A57" w:rsidRPr="000E0CA0">
        <w:rPr>
          <w:rFonts w:ascii="Times New Roman" w:hAnsi="Times New Roman"/>
          <w:bCs/>
          <w:sz w:val="24"/>
          <w:szCs w:val="24"/>
        </w:rPr>
        <w:t xml:space="preserve"> </w:t>
      </w:r>
      <w:r w:rsidR="00A2580A" w:rsidRPr="000E0CA0">
        <w:rPr>
          <w:rFonts w:ascii="Times New Roman" w:hAnsi="Times New Roman"/>
          <w:bCs/>
          <w:i/>
          <w:iCs/>
          <w:sz w:val="24"/>
          <w:szCs w:val="24"/>
        </w:rPr>
        <w:t>Gibraltar Betting and Gambling v Secretary of State for Culture, Media and Sport</w:t>
      </w:r>
      <w:r w:rsidR="00A2580A" w:rsidRPr="000E0CA0">
        <w:rPr>
          <w:rFonts w:ascii="Times New Roman" w:hAnsi="Times New Roman"/>
          <w:bCs/>
          <w:sz w:val="24"/>
          <w:szCs w:val="24"/>
        </w:rPr>
        <w:t xml:space="preserve"> [2014] EWHC 3326</w:t>
      </w:r>
      <w:r w:rsidR="00952F13">
        <w:rPr>
          <w:rFonts w:ascii="Times New Roman" w:hAnsi="Times New Roman"/>
          <w:bCs/>
          <w:sz w:val="24"/>
          <w:szCs w:val="24"/>
        </w:rPr>
        <w:t xml:space="preserve"> (Admin)</w:t>
      </w:r>
      <w:r w:rsidR="00A2580A" w:rsidRPr="000E0CA0">
        <w:rPr>
          <w:rFonts w:ascii="Times New Roman" w:hAnsi="Times New Roman"/>
          <w:bCs/>
          <w:sz w:val="24"/>
          <w:szCs w:val="24"/>
        </w:rPr>
        <w:t>)</w:t>
      </w:r>
      <w:r w:rsidR="00E13C54" w:rsidRPr="000E0CA0">
        <w:rPr>
          <w:rFonts w:ascii="Times New Roman" w:hAnsi="Times New Roman"/>
          <w:bCs/>
          <w:sz w:val="24"/>
          <w:szCs w:val="24"/>
        </w:rPr>
        <w:t>.</w:t>
      </w:r>
      <w:r w:rsidR="00292389" w:rsidRPr="000E0CA0">
        <w:rPr>
          <w:rFonts w:ascii="Times New Roman" w:hAnsi="Times New Roman"/>
          <w:bCs/>
          <w:sz w:val="24"/>
          <w:szCs w:val="24"/>
        </w:rPr>
        <w:t xml:space="preserve"> </w:t>
      </w:r>
      <w:r w:rsidR="00AF078A" w:rsidRPr="000E0CA0">
        <w:rPr>
          <w:rFonts w:ascii="Times New Roman" w:hAnsi="Times New Roman"/>
          <w:bCs/>
          <w:sz w:val="24"/>
          <w:szCs w:val="24"/>
        </w:rPr>
        <w:t xml:space="preserve"> The </w:t>
      </w:r>
      <w:r w:rsidRPr="000E0CA0">
        <w:rPr>
          <w:rFonts w:ascii="Times New Roman" w:hAnsi="Times New Roman"/>
          <w:bCs/>
          <w:sz w:val="24"/>
          <w:szCs w:val="24"/>
        </w:rPr>
        <w:t>proportionality</w:t>
      </w:r>
      <w:r w:rsidR="00AF078A" w:rsidRPr="000E0CA0">
        <w:rPr>
          <w:rFonts w:ascii="Times New Roman" w:hAnsi="Times New Roman"/>
          <w:bCs/>
          <w:sz w:val="24"/>
          <w:szCs w:val="24"/>
        </w:rPr>
        <w:t xml:space="preserve"> of the national restriction</w:t>
      </w:r>
      <w:r w:rsidR="00446DBB" w:rsidRPr="000E0CA0">
        <w:rPr>
          <w:rFonts w:ascii="Times New Roman" w:hAnsi="Times New Roman"/>
          <w:bCs/>
          <w:sz w:val="24"/>
          <w:szCs w:val="24"/>
        </w:rPr>
        <w:t xml:space="preserve">s in issue </w:t>
      </w:r>
      <w:r w:rsidR="0061167B" w:rsidRPr="000E0CA0">
        <w:rPr>
          <w:rFonts w:ascii="Times New Roman" w:hAnsi="Times New Roman"/>
          <w:bCs/>
          <w:sz w:val="24"/>
          <w:szCs w:val="24"/>
        </w:rPr>
        <w:t xml:space="preserve">in </w:t>
      </w:r>
      <w:r w:rsidR="009D2C1C">
        <w:rPr>
          <w:rFonts w:ascii="Times New Roman" w:hAnsi="Times New Roman"/>
          <w:bCs/>
          <w:sz w:val="24"/>
          <w:szCs w:val="24"/>
        </w:rPr>
        <w:t xml:space="preserve">all </w:t>
      </w:r>
      <w:r w:rsidR="0061167B" w:rsidRPr="000E0CA0">
        <w:rPr>
          <w:rFonts w:ascii="Times New Roman" w:hAnsi="Times New Roman"/>
          <w:bCs/>
          <w:sz w:val="24"/>
          <w:szCs w:val="24"/>
        </w:rPr>
        <w:t xml:space="preserve">these cases </w:t>
      </w:r>
      <w:r w:rsidR="00446DBB" w:rsidRPr="000E0CA0">
        <w:rPr>
          <w:rFonts w:ascii="Times New Roman" w:hAnsi="Times New Roman"/>
          <w:bCs/>
          <w:sz w:val="24"/>
          <w:szCs w:val="24"/>
        </w:rPr>
        <w:t>raise</w:t>
      </w:r>
      <w:r w:rsidR="00A2580A" w:rsidRPr="000E0CA0">
        <w:rPr>
          <w:rFonts w:ascii="Times New Roman" w:hAnsi="Times New Roman"/>
          <w:bCs/>
          <w:sz w:val="24"/>
          <w:szCs w:val="24"/>
        </w:rPr>
        <w:t>d</w:t>
      </w:r>
      <w:r w:rsidR="00446DBB" w:rsidRPr="000E0CA0">
        <w:rPr>
          <w:rFonts w:ascii="Times New Roman" w:hAnsi="Times New Roman"/>
          <w:bCs/>
          <w:sz w:val="24"/>
          <w:szCs w:val="24"/>
        </w:rPr>
        <w:t xml:space="preserve"> </w:t>
      </w:r>
      <w:r w:rsidR="00AF078A" w:rsidRPr="000E0CA0">
        <w:rPr>
          <w:rFonts w:ascii="Times New Roman" w:hAnsi="Times New Roman"/>
          <w:bCs/>
          <w:sz w:val="24"/>
          <w:szCs w:val="24"/>
        </w:rPr>
        <w:t xml:space="preserve">difficult factual and evidential </w:t>
      </w:r>
      <w:r w:rsidR="00F32A57" w:rsidRPr="000E0CA0">
        <w:rPr>
          <w:rFonts w:ascii="Times New Roman" w:hAnsi="Times New Roman"/>
          <w:bCs/>
          <w:sz w:val="24"/>
          <w:szCs w:val="24"/>
        </w:rPr>
        <w:t>questions</w:t>
      </w:r>
      <w:r w:rsidR="0061167B" w:rsidRPr="000E0CA0">
        <w:rPr>
          <w:rFonts w:ascii="Times New Roman" w:hAnsi="Times New Roman"/>
          <w:bCs/>
          <w:sz w:val="24"/>
          <w:szCs w:val="24"/>
        </w:rPr>
        <w:t xml:space="preserve"> and it was </w:t>
      </w:r>
      <w:r w:rsidR="00446DBB" w:rsidRPr="000E0CA0">
        <w:rPr>
          <w:rFonts w:ascii="Times New Roman" w:hAnsi="Times New Roman"/>
          <w:bCs/>
          <w:sz w:val="24"/>
          <w:szCs w:val="24"/>
        </w:rPr>
        <w:t xml:space="preserve">unsurprising </w:t>
      </w:r>
      <w:r w:rsidR="00A2580A" w:rsidRPr="000E0CA0">
        <w:rPr>
          <w:rFonts w:ascii="Times New Roman" w:hAnsi="Times New Roman"/>
          <w:bCs/>
          <w:sz w:val="24"/>
          <w:szCs w:val="24"/>
        </w:rPr>
        <w:t xml:space="preserve">therefore </w:t>
      </w:r>
      <w:r w:rsidR="00446DBB" w:rsidRPr="000E0CA0">
        <w:rPr>
          <w:rFonts w:ascii="Times New Roman" w:hAnsi="Times New Roman"/>
          <w:bCs/>
          <w:sz w:val="24"/>
          <w:szCs w:val="24"/>
        </w:rPr>
        <w:t xml:space="preserve">that </w:t>
      </w:r>
      <w:r w:rsidR="0007217B">
        <w:rPr>
          <w:rFonts w:ascii="Times New Roman" w:hAnsi="Times New Roman"/>
          <w:bCs/>
          <w:sz w:val="24"/>
          <w:szCs w:val="24"/>
        </w:rPr>
        <w:t xml:space="preserve">the </w:t>
      </w:r>
      <w:r w:rsidR="00446DBB" w:rsidRPr="000E0CA0">
        <w:rPr>
          <w:rFonts w:ascii="Times New Roman" w:hAnsi="Times New Roman"/>
          <w:bCs/>
          <w:sz w:val="24"/>
          <w:szCs w:val="24"/>
        </w:rPr>
        <w:t>states seeking to justify such restrictions on trade need</w:t>
      </w:r>
      <w:r w:rsidR="00A2580A" w:rsidRPr="000E0CA0">
        <w:rPr>
          <w:rFonts w:ascii="Times New Roman" w:hAnsi="Times New Roman"/>
          <w:bCs/>
          <w:sz w:val="24"/>
          <w:szCs w:val="24"/>
        </w:rPr>
        <w:t>ed</w:t>
      </w:r>
      <w:r w:rsidR="00446DBB" w:rsidRPr="000E0CA0">
        <w:rPr>
          <w:rFonts w:ascii="Times New Roman" w:hAnsi="Times New Roman"/>
          <w:bCs/>
          <w:sz w:val="24"/>
          <w:szCs w:val="24"/>
        </w:rPr>
        <w:t xml:space="preserve"> to adduce relevant evidence. </w:t>
      </w:r>
      <w:r w:rsidRPr="000E0CA0">
        <w:rPr>
          <w:rFonts w:ascii="Times New Roman" w:hAnsi="Times New Roman"/>
          <w:bCs/>
          <w:sz w:val="24"/>
          <w:szCs w:val="24"/>
        </w:rPr>
        <w:t>These cases do not in my view assist the</w:t>
      </w:r>
      <w:r w:rsidR="00CD5BD8">
        <w:rPr>
          <w:rFonts w:ascii="Times New Roman" w:hAnsi="Times New Roman"/>
          <w:bCs/>
          <w:sz w:val="24"/>
          <w:szCs w:val="24"/>
        </w:rPr>
        <w:t xml:space="preserve"> Appellant’s</w:t>
      </w:r>
      <w:r w:rsidRPr="000E0CA0">
        <w:rPr>
          <w:rFonts w:ascii="Times New Roman" w:hAnsi="Times New Roman"/>
          <w:bCs/>
          <w:sz w:val="24"/>
          <w:szCs w:val="24"/>
        </w:rPr>
        <w:t xml:space="preserve"> analysis</w:t>
      </w:r>
      <w:r w:rsidR="00446DBB" w:rsidRPr="000E0CA0">
        <w:rPr>
          <w:rFonts w:ascii="Times New Roman" w:hAnsi="Times New Roman"/>
          <w:bCs/>
          <w:sz w:val="24"/>
          <w:szCs w:val="24"/>
        </w:rPr>
        <w:t xml:space="preserve"> in the present </w:t>
      </w:r>
      <w:r w:rsidR="009D2C1C" w:rsidRPr="000E0CA0">
        <w:rPr>
          <w:rFonts w:ascii="Times New Roman" w:hAnsi="Times New Roman"/>
          <w:bCs/>
          <w:sz w:val="24"/>
          <w:szCs w:val="24"/>
        </w:rPr>
        <w:t>case where</w:t>
      </w:r>
      <w:r w:rsidR="0061167B" w:rsidRPr="000E0CA0">
        <w:rPr>
          <w:rFonts w:ascii="Times New Roman" w:hAnsi="Times New Roman"/>
          <w:bCs/>
          <w:sz w:val="24"/>
          <w:szCs w:val="24"/>
        </w:rPr>
        <w:t xml:space="preserve"> the impugned restriction is </w:t>
      </w:r>
      <w:r w:rsidR="0051687C" w:rsidRPr="000E0CA0">
        <w:rPr>
          <w:rFonts w:ascii="Times New Roman" w:hAnsi="Times New Roman"/>
          <w:bCs/>
          <w:sz w:val="24"/>
          <w:szCs w:val="24"/>
        </w:rPr>
        <w:t xml:space="preserve">fundamentally different in nature. </w:t>
      </w:r>
      <w:r w:rsidRPr="000E0CA0">
        <w:rPr>
          <w:rFonts w:ascii="Times New Roman" w:hAnsi="Times New Roman"/>
          <w:bCs/>
          <w:sz w:val="24"/>
          <w:szCs w:val="24"/>
        </w:rPr>
        <w:t xml:space="preserve"> </w:t>
      </w:r>
    </w:p>
    <w:p w14:paraId="70A57ECB" w14:textId="77777777" w:rsidR="00446DBB" w:rsidRPr="000E0CA0" w:rsidRDefault="00446DBB" w:rsidP="002D37BA">
      <w:pPr>
        <w:pStyle w:val="ListParagraph"/>
        <w:spacing w:after="0" w:line="240" w:lineRule="auto"/>
        <w:jc w:val="both"/>
        <w:rPr>
          <w:rFonts w:ascii="Times New Roman" w:hAnsi="Times New Roman"/>
          <w:bCs/>
          <w:sz w:val="24"/>
          <w:szCs w:val="24"/>
        </w:rPr>
      </w:pPr>
    </w:p>
    <w:p w14:paraId="17FE219E" w14:textId="51E98AFE" w:rsidR="00A2211B" w:rsidRPr="000E0CA0" w:rsidRDefault="00021BE4" w:rsidP="002D37BA">
      <w:pPr>
        <w:pStyle w:val="ListParagraph"/>
        <w:numPr>
          <w:ilvl w:val="0"/>
          <w:numId w:val="13"/>
        </w:numPr>
        <w:spacing w:after="0" w:line="240" w:lineRule="auto"/>
        <w:ind w:left="567" w:hanging="567"/>
        <w:contextualSpacing w:val="0"/>
        <w:jc w:val="both"/>
        <w:rPr>
          <w:rFonts w:ascii="Times New Roman" w:hAnsi="Times New Roman"/>
          <w:bCs/>
          <w:sz w:val="24"/>
          <w:szCs w:val="24"/>
          <w:lang w:val="en"/>
        </w:rPr>
      </w:pPr>
      <w:r w:rsidRPr="000E0CA0">
        <w:rPr>
          <w:rFonts w:ascii="Times New Roman" w:hAnsi="Times New Roman"/>
          <w:bCs/>
          <w:sz w:val="24"/>
          <w:szCs w:val="24"/>
        </w:rPr>
        <w:t xml:space="preserve">Third, the view I have expressed about the gambling cases is supported by the observations of the Supreme Court in </w:t>
      </w:r>
      <w:r w:rsidR="00CD5BD8" w:rsidRPr="00CD5BD8">
        <w:rPr>
          <w:rFonts w:ascii="Times New Roman" w:hAnsi="Times New Roman"/>
          <w:bCs/>
          <w:i/>
          <w:iCs/>
          <w:sz w:val="24"/>
          <w:szCs w:val="24"/>
        </w:rPr>
        <w:t xml:space="preserve">R </w:t>
      </w:r>
      <w:r w:rsidR="00CD5BD8">
        <w:rPr>
          <w:rFonts w:ascii="Times New Roman" w:hAnsi="Times New Roman"/>
          <w:bCs/>
          <w:sz w:val="24"/>
          <w:szCs w:val="24"/>
        </w:rPr>
        <w:t>(</w:t>
      </w:r>
      <w:r w:rsidR="00A2211B" w:rsidRPr="000E0CA0">
        <w:rPr>
          <w:rFonts w:ascii="Times New Roman" w:hAnsi="Times New Roman"/>
          <w:bCs/>
          <w:i/>
          <w:iCs/>
          <w:sz w:val="24"/>
          <w:szCs w:val="24"/>
        </w:rPr>
        <w:t>Lumsd</w:t>
      </w:r>
      <w:r w:rsidR="00930A5F">
        <w:rPr>
          <w:rFonts w:ascii="Times New Roman" w:hAnsi="Times New Roman"/>
          <w:bCs/>
          <w:i/>
          <w:iCs/>
          <w:sz w:val="24"/>
          <w:szCs w:val="24"/>
        </w:rPr>
        <w:t>o</w:t>
      </w:r>
      <w:r w:rsidR="00A2211B" w:rsidRPr="000E0CA0">
        <w:rPr>
          <w:rFonts w:ascii="Times New Roman" w:hAnsi="Times New Roman"/>
          <w:bCs/>
          <w:i/>
          <w:iCs/>
          <w:sz w:val="24"/>
          <w:szCs w:val="24"/>
        </w:rPr>
        <w:t>n</w:t>
      </w:r>
      <w:r w:rsidR="00CD5BD8">
        <w:rPr>
          <w:rFonts w:ascii="Times New Roman" w:hAnsi="Times New Roman"/>
          <w:bCs/>
          <w:i/>
          <w:iCs/>
          <w:sz w:val="24"/>
          <w:szCs w:val="24"/>
        </w:rPr>
        <w:t xml:space="preserve">) v Legal Services </w:t>
      </w:r>
      <w:r w:rsidR="00952F13">
        <w:rPr>
          <w:rFonts w:ascii="Times New Roman" w:hAnsi="Times New Roman"/>
          <w:bCs/>
          <w:i/>
          <w:iCs/>
          <w:sz w:val="24"/>
          <w:szCs w:val="24"/>
        </w:rPr>
        <w:t>B</w:t>
      </w:r>
      <w:r w:rsidR="00CD5BD8">
        <w:rPr>
          <w:rFonts w:ascii="Times New Roman" w:hAnsi="Times New Roman"/>
          <w:bCs/>
          <w:i/>
          <w:iCs/>
          <w:sz w:val="24"/>
          <w:szCs w:val="24"/>
        </w:rPr>
        <w:t xml:space="preserve">oard </w:t>
      </w:r>
      <w:r w:rsidR="00CD5BD8" w:rsidRPr="00CD5BD8">
        <w:rPr>
          <w:rFonts w:ascii="Times New Roman" w:hAnsi="Times New Roman"/>
          <w:bCs/>
          <w:sz w:val="24"/>
          <w:szCs w:val="24"/>
        </w:rPr>
        <w:t>[2015] UKSC 41</w:t>
      </w:r>
      <w:r w:rsidR="0061167B" w:rsidRPr="000E0CA0">
        <w:rPr>
          <w:rFonts w:ascii="Times New Roman" w:hAnsi="Times New Roman"/>
          <w:bCs/>
          <w:i/>
          <w:iCs/>
          <w:sz w:val="24"/>
          <w:szCs w:val="24"/>
        </w:rPr>
        <w:t xml:space="preserve">. </w:t>
      </w:r>
      <w:r w:rsidR="00A2211B" w:rsidRPr="000E0CA0">
        <w:rPr>
          <w:rFonts w:ascii="Times New Roman" w:hAnsi="Times New Roman"/>
          <w:bCs/>
          <w:sz w:val="24"/>
          <w:szCs w:val="24"/>
          <w:lang w:val="en"/>
        </w:rPr>
        <w:t xml:space="preserve">As was made clear by Lords Reed and Toulson: “… </w:t>
      </w:r>
      <w:r w:rsidR="00A2211B" w:rsidRPr="000E0CA0">
        <w:rPr>
          <w:rFonts w:ascii="Times New Roman" w:hAnsi="Times New Roman"/>
          <w:bCs/>
          <w:i/>
          <w:iCs/>
          <w:sz w:val="24"/>
          <w:szCs w:val="24"/>
        </w:rPr>
        <w:t>much may depend on the nature of the justification, and the extent to which it requires evidence to support it. For example, justifications based on moral or political considerations may not be capable of being established by evidence. The same may be true of justifications based on intuitive common sense.</w:t>
      </w:r>
      <w:r w:rsidR="00A2211B" w:rsidRPr="000E0CA0">
        <w:rPr>
          <w:rFonts w:ascii="Times New Roman" w:hAnsi="Times New Roman"/>
          <w:bCs/>
          <w:iCs/>
          <w:sz w:val="24"/>
          <w:szCs w:val="24"/>
        </w:rPr>
        <w:t xml:space="preserve"> …</w:t>
      </w:r>
      <w:r w:rsidR="00A2211B" w:rsidRPr="000E0CA0">
        <w:rPr>
          <w:rFonts w:ascii="Times New Roman" w:hAnsi="Times New Roman"/>
          <w:bCs/>
          <w:sz w:val="24"/>
          <w:szCs w:val="24"/>
          <w:lang w:val="en"/>
        </w:rPr>
        <w:t>” (ibid paragraphs [56]</w:t>
      </w:r>
      <w:r w:rsidR="00454194" w:rsidRPr="000E0CA0">
        <w:rPr>
          <w:rFonts w:ascii="Times New Roman" w:hAnsi="Times New Roman"/>
          <w:bCs/>
          <w:sz w:val="24"/>
          <w:szCs w:val="24"/>
          <w:lang w:val="en"/>
        </w:rPr>
        <w:t>)</w:t>
      </w:r>
      <w:r w:rsidR="00A2211B" w:rsidRPr="000E0CA0">
        <w:rPr>
          <w:rFonts w:ascii="Times New Roman" w:hAnsi="Times New Roman"/>
          <w:bCs/>
          <w:sz w:val="24"/>
          <w:szCs w:val="24"/>
          <w:lang w:val="en"/>
        </w:rPr>
        <w:t xml:space="preserve">. </w:t>
      </w:r>
      <w:r w:rsidR="00A2211B" w:rsidRPr="000E0CA0">
        <w:rPr>
          <w:rFonts w:ascii="Times New Roman" w:hAnsi="Times New Roman"/>
          <w:bCs/>
          <w:sz w:val="24"/>
          <w:szCs w:val="24"/>
        </w:rPr>
        <w:t xml:space="preserve">The Court also observed, in relation to the appropriate judicial scrutiny of such restrictions, that </w:t>
      </w:r>
      <w:r w:rsidR="00446DBB" w:rsidRPr="000E0CA0">
        <w:rPr>
          <w:rFonts w:ascii="Times New Roman" w:hAnsi="Times New Roman"/>
          <w:bCs/>
          <w:sz w:val="24"/>
          <w:szCs w:val="24"/>
        </w:rPr>
        <w:t xml:space="preserve">where </w:t>
      </w:r>
      <w:r w:rsidR="00A2211B" w:rsidRPr="000E0CA0">
        <w:rPr>
          <w:rFonts w:ascii="Times New Roman" w:hAnsi="Times New Roman"/>
          <w:bCs/>
          <w:sz w:val="24"/>
          <w:szCs w:val="24"/>
        </w:rPr>
        <w:t>“…</w:t>
      </w:r>
      <w:r w:rsidR="00446DBB" w:rsidRPr="000E0CA0">
        <w:rPr>
          <w:rFonts w:ascii="Times New Roman" w:hAnsi="Times New Roman"/>
          <w:bCs/>
          <w:sz w:val="24"/>
          <w:szCs w:val="24"/>
        </w:rPr>
        <w:t xml:space="preserve"> a</w:t>
      </w:r>
      <w:r w:rsidR="00A2211B" w:rsidRPr="000E0CA0">
        <w:rPr>
          <w:rFonts w:ascii="Times New Roman" w:hAnsi="Times New Roman"/>
          <w:bCs/>
          <w:i/>
          <w:iCs/>
          <w:sz w:val="24"/>
          <w:szCs w:val="24"/>
        </w:rPr>
        <w:t xml:space="preserve"> national measure does not threaten the integration of the internal market, for example because the subject matter lies within an area of national rather than EU competence, a less strict approach is generally adopted. That also tends to be the case in contexts where an unregulated economic activity would be harmful to consumers, particularly where national regulatory measures are influenced by national traditions and culture”</w:t>
      </w:r>
      <w:r w:rsidR="00A2211B" w:rsidRPr="000E0CA0">
        <w:rPr>
          <w:rFonts w:ascii="Times New Roman" w:hAnsi="Times New Roman"/>
          <w:bCs/>
          <w:sz w:val="24"/>
          <w:szCs w:val="24"/>
        </w:rPr>
        <w:t xml:space="preserve"> (paragraph [37]). In addition</w:t>
      </w:r>
      <w:r w:rsidR="0051687C" w:rsidRPr="000E0CA0">
        <w:rPr>
          <w:rFonts w:ascii="Times New Roman" w:hAnsi="Times New Roman"/>
          <w:bCs/>
          <w:sz w:val="24"/>
          <w:szCs w:val="24"/>
        </w:rPr>
        <w:t>,</w:t>
      </w:r>
      <w:r w:rsidR="00A2211B" w:rsidRPr="000E0CA0">
        <w:rPr>
          <w:rFonts w:ascii="Times New Roman" w:hAnsi="Times New Roman"/>
          <w:bCs/>
          <w:sz w:val="24"/>
          <w:szCs w:val="24"/>
        </w:rPr>
        <w:t xml:space="preserve"> caution had to be applied when seeking to draw lessons from dict</w:t>
      </w:r>
      <w:r w:rsidR="00952F13">
        <w:rPr>
          <w:rFonts w:ascii="Times New Roman" w:hAnsi="Times New Roman"/>
          <w:bCs/>
          <w:sz w:val="24"/>
          <w:szCs w:val="24"/>
        </w:rPr>
        <w:t>a</w:t>
      </w:r>
      <w:r w:rsidR="00A2211B" w:rsidRPr="000E0CA0">
        <w:rPr>
          <w:rFonts w:ascii="Times New Roman" w:hAnsi="Times New Roman"/>
          <w:bCs/>
          <w:sz w:val="24"/>
          <w:szCs w:val="24"/>
        </w:rPr>
        <w:t xml:space="preserve"> of the Court of Justice arising in cases in particular sectors, since it was apparent from the case law as a whole </w:t>
      </w:r>
      <w:r w:rsidR="00E13C54" w:rsidRPr="000E0CA0">
        <w:rPr>
          <w:rFonts w:ascii="Times New Roman" w:hAnsi="Times New Roman"/>
          <w:bCs/>
          <w:sz w:val="24"/>
          <w:szCs w:val="24"/>
        </w:rPr>
        <w:t>that there</w:t>
      </w:r>
      <w:r w:rsidR="00A2211B" w:rsidRPr="000E0CA0">
        <w:rPr>
          <w:rFonts w:ascii="Times New Roman" w:hAnsi="Times New Roman"/>
          <w:bCs/>
          <w:sz w:val="24"/>
          <w:szCs w:val="24"/>
        </w:rPr>
        <w:t xml:space="preserve"> were differences in the application of the proportionality test as between different activities (judgment paragraph [</w:t>
      </w:r>
      <w:r w:rsidR="00454194" w:rsidRPr="000E0CA0">
        <w:rPr>
          <w:rFonts w:ascii="Times New Roman" w:hAnsi="Times New Roman"/>
          <w:bCs/>
          <w:sz w:val="24"/>
          <w:szCs w:val="24"/>
        </w:rPr>
        <w:t>34</w:t>
      </w:r>
      <w:r w:rsidR="00A2211B" w:rsidRPr="000E0CA0">
        <w:rPr>
          <w:rFonts w:ascii="Times New Roman" w:hAnsi="Times New Roman"/>
          <w:bCs/>
          <w:sz w:val="24"/>
          <w:szCs w:val="24"/>
        </w:rPr>
        <w:t xml:space="preserve">]). There </w:t>
      </w:r>
      <w:r w:rsidR="0061167B" w:rsidRPr="000E0CA0">
        <w:rPr>
          <w:rFonts w:ascii="Times New Roman" w:hAnsi="Times New Roman"/>
          <w:bCs/>
          <w:sz w:val="24"/>
          <w:szCs w:val="24"/>
        </w:rPr>
        <w:t xml:space="preserve">is </w:t>
      </w:r>
      <w:r w:rsidR="00A2211B" w:rsidRPr="000E0CA0">
        <w:rPr>
          <w:rFonts w:ascii="Times New Roman" w:hAnsi="Times New Roman"/>
          <w:bCs/>
          <w:sz w:val="24"/>
          <w:szCs w:val="24"/>
        </w:rPr>
        <w:t>no one cap which fit</w:t>
      </w:r>
      <w:r w:rsidR="0061167B" w:rsidRPr="000E0CA0">
        <w:rPr>
          <w:rFonts w:ascii="Times New Roman" w:hAnsi="Times New Roman"/>
          <w:bCs/>
          <w:sz w:val="24"/>
          <w:szCs w:val="24"/>
        </w:rPr>
        <w:t xml:space="preserve">s </w:t>
      </w:r>
      <w:r w:rsidR="00A2211B" w:rsidRPr="000E0CA0">
        <w:rPr>
          <w:rFonts w:ascii="Times New Roman" w:hAnsi="Times New Roman"/>
          <w:bCs/>
          <w:sz w:val="24"/>
          <w:szCs w:val="24"/>
        </w:rPr>
        <w:t xml:space="preserve">all. </w:t>
      </w:r>
      <w:r w:rsidR="0051687C" w:rsidRPr="000E0CA0">
        <w:rPr>
          <w:rFonts w:ascii="Times New Roman" w:hAnsi="Times New Roman"/>
          <w:bCs/>
          <w:sz w:val="24"/>
          <w:szCs w:val="24"/>
        </w:rPr>
        <w:t>In my view the cases cited by the Appellant do not compel the conclusion that the state must adduce evidence, however superfluous</w:t>
      </w:r>
      <w:r w:rsidR="00454194" w:rsidRPr="000E0CA0">
        <w:rPr>
          <w:rFonts w:ascii="Times New Roman" w:hAnsi="Times New Roman"/>
          <w:bCs/>
          <w:sz w:val="24"/>
          <w:szCs w:val="24"/>
        </w:rPr>
        <w:t>,</w:t>
      </w:r>
      <w:r w:rsidR="0051687C" w:rsidRPr="000E0CA0">
        <w:rPr>
          <w:rFonts w:ascii="Times New Roman" w:hAnsi="Times New Roman"/>
          <w:bCs/>
          <w:sz w:val="24"/>
          <w:szCs w:val="24"/>
        </w:rPr>
        <w:t xml:space="preserve"> irrespective of whether the justification for the restriction is obvious or a matter of common sense. </w:t>
      </w:r>
    </w:p>
    <w:p w14:paraId="0B5C6538" w14:textId="77777777" w:rsidR="00446DBB" w:rsidRPr="000E0CA0" w:rsidRDefault="00446DBB" w:rsidP="002D37BA">
      <w:pPr>
        <w:pStyle w:val="ListParagraph"/>
        <w:spacing w:after="0" w:line="240" w:lineRule="auto"/>
        <w:ind w:left="360"/>
        <w:contextualSpacing w:val="0"/>
        <w:jc w:val="both"/>
        <w:rPr>
          <w:rFonts w:ascii="Times New Roman" w:hAnsi="Times New Roman"/>
          <w:bCs/>
          <w:sz w:val="24"/>
          <w:szCs w:val="24"/>
          <w:lang w:val="en"/>
        </w:rPr>
      </w:pPr>
    </w:p>
    <w:p w14:paraId="72A3DF5F" w14:textId="77777777" w:rsidR="00021BE4" w:rsidRPr="000E0CA0" w:rsidRDefault="00A2211B" w:rsidP="002D37BA">
      <w:pPr>
        <w:pStyle w:val="ListParagraph"/>
        <w:numPr>
          <w:ilvl w:val="0"/>
          <w:numId w:val="13"/>
        </w:numPr>
        <w:tabs>
          <w:tab w:val="left" w:pos="567"/>
        </w:tabs>
        <w:spacing w:after="0" w:line="240" w:lineRule="auto"/>
        <w:ind w:left="567" w:hanging="567"/>
        <w:jc w:val="both"/>
        <w:rPr>
          <w:rFonts w:ascii="Times New Roman" w:hAnsi="Times New Roman"/>
          <w:bCs/>
          <w:sz w:val="24"/>
          <w:szCs w:val="24"/>
        </w:rPr>
      </w:pPr>
      <w:r w:rsidRPr="000E0CA0">
        <w:rPr>
          <w:rFonts w:ascii="Times New Roman" w:hAnsi="Times New Roman"/>
          <w:bCs/>
          <w:sz w:val="24"/>
          <w:szCs w:val="24"/>
        </w:rPr>
        <w:t>I</w:t>
      </w:r>
      <w:r w:rsidR="00006AA8" w:rsidRPr="000E0CA0">
        <w:rPr>
          <w:rFonts w:ascii="Times New Roman" w:hAnsi="Times New Roman"/>
          <w:bCs/>
          <w:sz w:val="24"/>
          <w:szCs w:val="24"/>
        </w:rPr>
        <w:t>n</w:t>
      </w:r>
      <w:r w:rsidRPr="000E0CA0">
        <w:rPr>
          <w:rFonts w:ascii="Times New Roman" w:hAnsi="Times New Roman"/>
          <w:bCs/>
          <w:sz w:val="24"/>
          <w:szCs w:val="24"/>
        </w:rPr>
        <w:t xml:space="preserve"> short there is no obligation in every case imposed upon the state to </w:t>
      </w:r>
      <w:r w:rsidR="00006AA8" w:rsidRPr="000E0CA0">
        <w:rPr>
          <w:rFonts w:ascii="Times New Roman" w:hAnsi="Times New Roman"/>
          <w:bCs/>
          <w:sz w:val="24"/>
          <w:szCs w:val="24"/>
        </w:rPr>
        <w:t>adduce</w:t>
      </w:r>
      <w:r w:rsidRPr="000E0CA0">
        <w:rPr>
          <w:rFonts w:ascii="Times New Roman" w:hAnsi="Times New Roman"/>
          <w:bCs/>
          <w:sz w:val="24"/>
          <w:szCs w:val="24"/>
        </w:rPr>
        <w:t xml:space="preserve"> evidence to justify a restriction.  It will always </w:t>
      </w:r>
      <w:r w:rsidR="00006AA8" w:rsidRPr="000E0CA0">
        <w:rPr>
          <w:rFonts w:ascii="Times New Roman" w:hAnsi="Times New Roman"/>
          <w:bCs/>
          <w:sz w:val="24"/>
          <w:szCs w:val="24"/>
        </w:rPr>
        <w:t xml:space="preserve">depend upon the facts and the </w:t>
      </w:r>
      <w:r w:rsidRPr="000E0CA0">
        <w:rPr>
          <w:rFonts w:ascii="Times New Roman" w:hAnsi="Times New Roman"/>
          <w:bCs/>
          <w:sz w:val="24"/>
          <w:szCs w:val="24"/>
        </w:rPr>
        <w:t>context.  It follow</w:t>
      </w:r>
      <w:r w:rsidR="0051687C" w:rsidRPr="000E0CA0">
        <w:rPr>
          <w:rFonts w:ascii="Times New Roman" w:hAnsi="Times New Roman"/>
          <w:bCs/>
          <w:sz w:val="24"/>
          <w:szCs w:val="24"/>
        </w:rPr>
        <w:t xml:space="preserve">s </w:t>
      </w:r>
      <w:r w:rsidRPr="000E0CA0">
        <w:rPr>
          <w:rFonts w:ascii="Times New Roman" w:hAnsi="Times New Roman"/>
          <w:bCs/>
          <w:sz w:val="24"/>
          <w:szCs w:val="24"/>
        </w:rPr>
        <w:t xml:space="preserve">that in some cases </w:t>
      </w:r>
      <w:r w:rsidR="00006AA8" w:rsidRPr="000E0CA0">
        <w:rPr>
          <w:rFonts w:ascii="Times New Roman" w:hAnsi="Times New Roman"/>
          <w:bCs/>
          <w:sz w:val="24"/>
          <w:szCs w:val="24"/>
        </w:rPr>
        <w:t xml:space="preserve">recourse to common sense, </w:t>
      </w:r>
      <w:r w:rsidR="0051687C" w:rsidRPr="000E0CA0">
        <w:rPr>
          <w:rFonts w:ascii="Times New Roman" w:hAnsi="Times New Roman"/>
          <w:bCs/>
          <w:sz w:val="24"/>
          <w:szCs w:val="24"/>
        </w:rPr>
        <w:t xml:space="preserve">logic, </w:t>
      </w:r>
      <w:r w:rsidR="00006AA8" w:rsidRPr="000E0CA0">
        <w:rPr>
          <w:rFonts w:ascii="Times New Roman" w:hAnsi="Times New Roman"/>
          <w:bCs/>
          <w:sz w:val="24"/>
          <w:szCs w:val="24"/>
        </w:rPr>
        <w:t xml:space="preserve">or intuition might suffice all of which </w:t>
      </w:r>
      <w:r w:rsidR="0061167B" w:rsidRPr="000E0CA0">
        <w:rPr>
          <w:rFonts w:ascii="Times New Roman" w:hAnsi="Times New Roman"/>
          <w:bCs/>
          <w:sz w:val="24"/>
          <w:szCs w:val="24"/>
        </w:rPr>
        <w:t xml:space="preserve">can </w:t>
      </w:r>
      <w:r w:rsidR="0051687C" w:rsidRPr="000E0CA0">
        <w:rPr>
          <w:rFonts w:ascii="Times New Roman" w:hAnsi="Times New Roman"/>
          <w:bCs/>
          <w:sz w:val="24"/>
          <w:szCs w:val="24"/>
        </w:rPr>
        <w:t xml:space="preserve">operate without the need for evidence. </w:t>
      </w:r>
      <w:r w:rsidR="00006AA8" w:rsidRPr="000E0CA0">
        <w:rPr>
          <w:rFonts w:ascii="Times New Roman" w:hAnsi="Times New Roman"/>
          <w:bCs/>
          <w:sz w:val="24"/>
          <w:szCs w:val="24"/>
        </w:rPr>
        <w:t xml:space="preserve"> </w:t>
      </w:r>
    </w:p>
    <w:p w14:paraId="13BD2B09" w14:textId="77777777" w:rsidR="008E13EB" w:rsidRPr="000E0CA0" w:rsidRDefault="008E13EB" w:rsidP="002D37BA">
      <w:pPr>
        <w:pStyle w:val="ListParagraph"/>
        <w:spacing w:after="0" w:line="240" w:lineRule="auto"/>
        <w:jc w:val="both"/>
        <w:rPr>
          <w:rFonts w:ascii="Times New Roman" w:hAnsi="Times New Roman"/>
          <w:bCs/>
          <w:sz w:val="24"/>
          <w:szCs w:val="24"/>
        </w:rPr>
      </w:pPr>
    </w:p>
    <w:p w14:paraId="5B28C4EB" w14:textId="77777777" w:rsidR="001662BB" w:rsidRPr="00CD5BD8" w:rsidRDefault="00CD5BD8" w:rsidP="002D37BA">
      <w:pPr>
        <w:pStyle w:val="ListParagraph"/>
        <w:numPr>
          <w:ilvl w:val="0"/>
          <w:numId w:val="25"/>
        </w:numPr>
        <w:spacing w:after="0" w:line="240" w:lineRule="auto"/>
        <w:ind w:hanging="513"/>
        <w:jc w:val="both"/>
        <w:rPr>
          <w:rFonts w:ascii="Times New Roman" w:hAnsi="Times New Roman"/>
          <w:b/>
          <w:i/>
          <w:iCs/>
          <w:sz w:val="24"/>
          <w:szCs w:val="24"/>
        </w:rPr>
      </w:pPr>
      <w:r w:rsidRPr="00CD5BD8">
        <w:rPr>
          <w:rFonts w:ascii="Times New Roman" w:hAnsi="Times New Roman"/>
          <w:b/>
          <w:i/>
          <w:iCs/>
          <w:sz w:val="24"/>
          <w:szCs w:val="24"/>
        </w:rPr>
        <w:t xml:space="preserve">Analysis: </w:t>
      </w:r>
      <w:r w:rsidR="006D0E3C">
        <w:rPr>
          <w:rFonts w:ascii="Times New Roman" w:hAnsi="Times New Roman"/>
          <w:b/>
          <w:i/>
          <w:iCs/>
          <w:sz w:val="24"/>
          <w:szCs w:val="24"/>
        </w:rPr>
        <w:t xml:space="preserve">The </w:t>
      </w:r>
      <w:r w:rsidR="00243E70" w:rsidRPr="00CD5BD8">
        <w:rPr>
          <w:rFonts w:ascii="Times New Roman" w:hAnsi="Times New Roman"/>
          <w:b/>
          <w:i/>
          <w:iCs/>
          <w:sz w:val="24"/>
          <w:szCs w:val="24"/>
        </w:rPr>
        <w:t xml:space="preserve">justification for </w:t>
      </w:r>
      <w:r w:rsidR="006D0E3C">
        <w:rPr>
          <w:rFonts w:ascii="Times New Roman" w:hAnsi="Times New Roman"/>
          <w:b/>
          <w:i/>
          <w:iCs/>
          <w:sz w:val="24"/>
          <w:szCs w:val="24"/>
        </w:rPr>
        <w:t xml:space="preserve">a duty of prior notice </w:t>
      </w:r>
    </w:p>
    <w:p w14:paraId="4617649B" w14:textId="77777777" w:rsidR="008E13EB" w:rsidRPr="000E0CA0" w:rsidRDefault="008E13EB" w:rsidP="002D37BA">
      <w:pPr>
        <w:pStyle w:val="ListParagraph"/>
        <w:spacing w:after="0" w:line="240" w:lineRule="auto"/>
        <w:ind w:left="1080"/>
        <w:jc w:val="both"/>
        <w:rPr>
          <w:rFonts w:ascii="Times New Roman" w:hAnsi="Times New Roman"/>
          <w:bCs/>
          <w:i/>
          <w:iCs/>
          <w:sz w:val="24"/>
          <w:szCs w:val="24"/>
        </w:rPr>
      </w:pPr>
    </w:p>
    <w:p w14:paraId="0A7B641B" w14:textId="77777777" w:rsidR="00006AA8" w:rsidRPr="000E0CA0" w:rsidRDefault="00006AA8" w:rsidP="002D37BA">
      <w:pPr>
        <w:pStyle w:val="ListParagraph"/>
        <w:numPr>
          <w:ilvl w:val="0"/>
          <w:numId w:val="13"/>
        </w:numPr>
        <w:tabs>
          <w:tab w:val="left" w:pos="567"/>
          <w:tab w:val="left" w:pos="851"/>
        </w:tabs>
        <w:spacing w:after="0" w:line="240" w:lineRule="auto"/>
        <w:ind w:left="567" w:hanging="567"/>
        <w:jc w:val="both"/>
        <w:rPr>
          <w:rFonts w:ascii="Times New Roman" w:hAnsi="Times New Roman"/>
          <w:bCs/>
          <w:sz w:val="24"/>
          <w:szCs w:val="24"/>
        </w:rPr>
      </w:pPr>
      <w:r w:rsidRPr="000E0CA0">
        <w:rPr>
          <w:rFonts w:ascii="Times New Roman" w:hAnsi="Times New Roman"/>
          <w:bCs/>
          <w:sz w:val="24"/>
          <w:szCs w:val="24"/>
        </w:rPr>
        <w:t xml:space="preserve">I turn now to consider whether the duty on putative exporters to give notice as part of a licence application system is justified under Article 36 TFEU.  In my view it manifestly is and there was no need for the </w:t>
      </w:r>
      <w:r w:rsidR="00454194" w:rsidRPr="000E0CA0">
        <w:rPr>
          <w:rFonts w:ascii="Times New Roman" w:hAnsi="Times New Roman"/>
          <w:bCs/>
          <w:sz w:val="24"/>
          <w:szCs w:val="24"/>
        </w:rPr>
        <w:t>R</w:t>
      </w:r>
      <w:r w:rsidRPr="000E0CA0">
        <w:rPr>
          <w:rFonts w:ascii="Times New Roman" w:hAnsi="Times New Roman"/>
          <w:bCs/>
          <w:sz w:val="24"/>
          <w:szCs w:val="24"/>
        </w:rPr>
        <w:t xml:space="preserve">espondent to adduce evidence to make good this obvious </w:t>
      </w:r>
      <w:r w:rsidR="0051687C" w:rsidRPr="000E0CA0">
        <w:rPr>
          <w:rFonts w:ascii="Times New Roman" w:hAnsi="Times New Roman"/>
          <w:bCs/>
          <w:sz w:val="24"/>
          <w:szCs w:val="24"/>
        </w:rPr>
        <w:t>conclusion</w:t>
      </w:r>
      <w:r w:rsidRPr="000E0CA0">
        <w:rPr>
          <w:rFonts w:ascii="Times New Roman" w:hAnsi="Times New Roman"/>
          <w:bCs/>
          <w:sz w:val="24"/>
          <w:szCs w:val="24"/>
        </w:rPr>
        <w:t xml:space="preserve">. </w:t>
      </w:r>
    </w:p>
    <w:p w14:paraId="3ABC1276" w14:textId="77777777" w:rsidR="00994F09" w:rsidRPr="000E0CA0" w:rsidRDefault="00994F09" w:rsidP="002D37BA">
      <w:pPr>
        <w:pStyle w:val="ListParagraph"/>
        <w:spacing w:after="0" w:line="240" w:lineRule="auto"/>
        <w:jc w:val="both"/>
        <w:rPr>
          <w:rFonts w:ascii="Times New Roman" w:hAnsi="Times New Roman"/>
          <w:bCs/>
          <w:sz w:val="24"/>
          <w:szCs w:val="24"/>
        </w:rPr>
      </w:pPr>
    </w:p>
    <w:p w14:paraId="5C1D0A9D" w14:textId="77777777" w:rsidR="00994F09" w:rsidRPr="000E0CA0" w:rsidRDefault="00006AA8" w:rsidP="002D37BA">
      <w:pPr>
        <w:pStyle w:val="ListParagraph"/>
        <w:numPr>
          <w:ilvl w:val="0"/>
          <w:numId w:val="13"/>
        </w:numPr>
        <w:tabs>
          <w:tab w:val="left" w:pos="709"/>
        </w:tabs>
        <w:spacing w:after="0" w:line="240" w:lineRule="auto"/>
        <w:ind w:hanging="720"/>
        <w:jc w:val="both"/>
        <w:rPr>
          <w:rFonts w:ascii="Times New Roman" w:hAnsi="Times New Roman"/>
          <w:bCs/>
          <w:sz w:val="24"/>
          <w:szCs w:val="24"/>
        </w:rPr>
      </w:pPr>
      <w:r w:rsidRPr="000E0CA0">
        <w:rPr>
          <w:rFonts w:ascii="Times New Roman" w:hAnsi="Times New Roman"/>
          <w:bCs/>
          <w:sz w:val="24"/>
          <w:szCs w:val="24"/>
        </w:rPr>
        <w:t xml:space="preserve">First, </w:t>
      </w:r>
      <w:r w:rsidR="007A604C" w:rsidRPr="000E0CA0">
        <w:rPr>
          <w:rFonts w:ascii="Times New Roman" w:hAnsi="Times New Roman"/>
          <w:bCs/>
          <w:sz w:val="24"/>
          <w:szCs w:val="24"/>
        </w:rPr>
        <w:t xml:space="preserve">the </w:t>
      </w:r>
      <w:r w:rsidR="00446DBB" w:rsidRPr="000E0CA0">
        <w:rPr>
          <w:rFonts w:ascii="Times New Roman" w:hAnsi="Times New Roman"/>
          <w:bCs/>
          <w:sz w:val="24"/>
          <w:szCs w:val="24"/>
        </w:rPr>
        <w:t xml:space="preserve">duty </w:t>
      </w:r>
      <w:r w:rsidR="007A604C" w:rsidRPr="000E0CA0">
        <w:rPr>
          <w:rFonts w:ascii="Times New Roman" w:hAnsi="Times New Roman"/>
          <w:bCs/>
          <w:sz w:val="24"/>
          <w:szCs w:val="24"/>
        </w:rPr>
        <w:t xml:space="preserve">on Member States to impose a licensing regime to cover exports from the EU </w:t>
      </w:r>
      <w:r w:rsidR="00446DBB" w:rsidRPr="000E0CA0">
        <w:rPr>
          <w:rFonts w:ascii="Times New Roman" w:hAnsi="Times New Roman"/>
          <w:bCs/>
          <w:sz w:val="24"/>
          <w:szCs w:val="24"/>
        </w:rPr>
        <w:t xml:space="preserve">is imposed by the </w:t>
      </w:r>
      <w:r w:rsidR="007A604C" w:rsidRPr="000E0CA0">
        <w:rPr>
          <w:rFonts w:ascii="Times New Roman" w:hAnsi="Times New Roman"/>
          <w:bCs/>
          <w:sz w:val="24"/>
          <w:szCs w:val="24"/>
        </w:rPr>
        <w:t xml:space="preserve">Export Regulation.  </w:t>
      </w:r>
      <w:r w:rsidR="0048428D" w:rsidRPr="000E0CA0">
        <w:rPr>
          <w:rFonts w:ascii="Times New Roman" w:hAnsi="Times New Roman"/>
          <w:bCs/>
          <w:sz w:val="24"/>
          <w:szCs w:val="24"/>
        </w:rPr>
        <w:t xml:space="preserve">It is hard to see how a licensing regime can operate absent some form of a duty on those </w:t>
      </w:r>
      <w:r w:rsidR="0051687C" w:rsidRPr="000E0CA0">
        <w:rPr>
          <w:rFonts w:ascii="Times New Roman" w:hAnsi="Times New Roman"/>
          <w:bCs/>
          <w:sz w:val="24"/>
          <w:szCs w:val="24"/>
        </w:rPr>
        <w:t xml:space="preserve">seeking </w:t>
      </w:r>
      <w:r w:rsidR="0048428D" w:rsidRPr="000E0CA0">
        <w:rPr>
          <w:rFonts w:ascii="Times New Roman" w:hAnsi="Times New Roman"/>
          <w:bCs/>
          <w:sz w:val="24"/>
          <w:szCs w:val="24"/>
        </w:rPr>
        <w:t xml:space="preserve">a licence to apply for one. </w:t>
      </w:r>
      <w:r w:rsidR="00454194" w:rsidRPr="000E0CA0">
        <w:rPr>
          <w:rFonts w:ascii="Times New Roman" w:hAnsi="Times New Roman"/>
          <w:bCs/>
          <w:sz w:val="24"/>
          <w:szCs w:val="24"/>
        </w:rPr>
        <w:t>T</w:t>
      </w:r>
      <w:r w:rsidR="0048428D" w:rsidRPr="000E0CA0">
        <w:rPr>
          <w:rFonts w:ascii="Times New Roman" w:hAnsi="Times New Roman"/>
          <w:bCs/>
          <w:sz w:val="24"/>
          <w:szCs w:val="24"/>
        </w:rPr>
        <w:t>he Appellant</w:t>
      </w:r>
      <w:r w:rsidR="000F4609" w:rsidRPr="000E0CA0">
        <w:rPr>
          <w:rFonts w:ascii="Times New Roman" w:hAnsi="Times New Roman"/>
          <w:bCs/>
          <w:sz w:val="24"/>
          <w:szCs w:val="24"/>
        </w:rPr>
        <w:t xml:space="preserve"> does not </w:t>
      </w:r>
      <w:r w:rsidR="0048428D" w:rsidRPr="000E0CA0">
        <w:rPr>
          <w:rFonts w:ascii="Times New Roman" w:hAnsi="Times New Roman"/>
          <w:bCs/>
          <w:sz w:val="24"/>
          <w:szCs w:val="24"/>
        </w:rPr>
        <w:t>say that</w:t>
      </w:r>
      <w:r w:rsidR="00870AA2" w:rsidRPr="000E0CA0">
        <w:rPr>
          <w:rFonts w:ascii="Times New Roman" w:hAnsi="Times New Roman"/>
          <w:bCs/>
          <w:sz w:val="24"/>
          <w:szCs w:val="24"/>
        </w:rPr>
        <w:t xml:space="preserve"> </w:t>
      </w:r>
      <w:r w:rsidR="00870AA2" w:rsidRPr="000E0CA0">
        <w:rPr>
          <w:rFonts w:ascii="Times New Roman" w:hAnsi="Times New Roman"/>
          <w:bCs/>
          <w:i/>
          <w:iCs/>
          <w:sz w:val="24"/>
          <w:szCs w:val="24"/>
        </w:rPr>
        <w:t>prima facie</w:t>
      </w:r>
      <w:r w:rsidR="00870AA2" w:rsidRPr="000E0CA0">
        <w:rPr>
          <w:rFonts w:ascii="Times New Roman" w:hAnsi="Times New Roman"/>
          <w:bCs/>
          <w:sz w:val="24"/>
          <w:szCs w:val="24"/>
        </w:rPr>
        <w:t xml:space="preserve"> </w:t>
      </w:r>
      <w:r w:rsidR="0048428D" w:rsidRPr="000E0CA0">
        <w:rPr>
          <w:rFonts w:ascii="Times New Roman" w:hAnsi="Times New Roman"/>
          <w:bCs/>
          <w:sz w:val="24"/>
          <w:szCs w:val="24"/>
        </w:rPr>
        <w:t xml:space="preserve">a duty to apply and provide notice is not integral </w:t>
      </w:r>
      <w:r w:rsidR="0048428D" w:rsidRPr="000E0CA0">
        <w:rPr>
          <w:rFonts w:ascii="Times New Roman" w:hAnsi="Times New Roman"/>
          <w:bCs/>
          <w:sz w:val="24"/>
          <w:szCs w:val="24"/>
        </w:rPr>
        <w:lastRenderedPageBreak/>
        <w:t xml:space="preserve">to an </w:t>
      </w:r>
      <w:r w:rsidR="000F4609" w:rsidRPr="000E0CA0">
        <w:rPr>
          <w:rFonts w:ascii="Times New Roman" w:hAnsi="Times New Roman"/>
          <w:bCs/>
          <w:sz w:val="24"/>
          <w:szCs w:val="24"/>
        </w:rPr>
        <w:t>effective</w:t>
      </w:r>
      <w:r w:rsidR="0048428D" w:rsidRPr="000E0CA0">
        <w:rPr>
          <w:rFonts w:ascii="Times New Roman" w:hAnsi="Times New Roman"/>
          <w:bCs/>
          <w:sz w:val="24"/>
          <w:szCs w:val="24"/>
        </w:rPr>
        <w:t xml:space="preserve"> </w:t>
      </w:r>
      <w:r w:rsidR="000F4609" w:rsidRPr="000E0CA0">
        <w:rPr>
          <w:rFonts w:ascii="Times New Roman" w:hAnsi="Times New Roman"/>
          <w:bCs/>
          <w:sz w:val="24"/>
          <w:szCs w:val="24"/>
        </w:rPr>
        <w:t>licensing</w:t>
      </w:r>
      <w:r w:rsidR="0048428D" w:rsidRPr="000E0CA0">
        <w:rPr>
          <w:rFonts w:ascii="Times New Roman" w:hAnsi="Times New Roman"/>
          <w:bCs/>
          <w:sz w:val="24"/>
          <w:szCs w:val="24"/>
        </w:rPr>
        <w:t xml:space="preserve"> regime. </w:t>
      </w:r>
      <w:r w:rsidR="00870AA2" w:rsidRPr="000E0CA0">
        <w:rPr>
          <w:rFonts w:ascii="Times New Roman" w:hAnsi="Times New Roman"/>
          <w:bCs/>
          <w:sz w:val="24"/>
          <w:szCs w:val="24"/>
        </w:rPr>
        <w:t xml:space="preserve">Under the Export Regulation the duty to apply and give notice </w:t>
      </w:r>
      <w:r w:rsidR="007A604C" w:rsidRPr="000E0CA0">
        <w:rPr>
          <w:rFonts w:ascii="Times New Roman" w:hAnsi="Times New Roman"/>
          <w:bCs/>
          <w:sz w:val="24"/>
          <w:szCs w:val="24"/>
        </w:rPr>
        <w:t xml:space="preserve">is subject to only limited exceptions </w:t>
      </w:r>
      <w:r w:rsidR="00870AA2" w:rsidRPr="000E0CA0">
        <w:rPr>
          <w:rFonts w:ascii="Times New Roman" w:hAnsi="Times New Roman"/>
          <w:bCs/>
          <w:sz w:val="24"/>
          <w:szCs w:val="24"/>
        </w:rPr>
        <w:t xml:space="preserve">but these are </w:t>
      </w:r>
      <w:r w:rsidR="007A604C" w:rsidRPr="000E0CA0">
        <w:rPr>
          <w:rFonts w:ascii="Times New Roman" w:hAnsi="Times New Roman"/>
          <w:bCs/>
          <w:sz w:val="24"/>
          <w:szCs w:val="24"/>
        </w:rPr>
        <w:t>for categories of cultural items into which the Giotto painting does not fit</w:t>
      </w:r>
      <w:r w:rsidR="00CD5BD8">
        <w:rPr>
          <w:rFonts w:ascii="Times New Roman" w:hAnsi="Times New Roman"/>
          <w:bCs/>
          <w:sz w:val="24"/>
          <w:szCs w:val="24"/>
        </w:rPr>
        <w:t xml:space="preserve">: </w:t>
      </w:r>
      <w:r w:rsidR="00952F13">
        <w:rPr>
          <w:rFonts w:ascii="Times New Roman" w:hAnsi="Times New Roman"/>
          <w:bCs/>
          <w:sz w:val="24"/>
          <w:szCs w:val="24"/>
        </w:rPr>
        <w:t>s</w:t>
      </w:r>
      <w:r w:rsidR="00CD5BD8">
        <w:rPr>
          <w:rFonts w:ascii="Times New Roman" w:hAnsi="Times New Roman"/>
          <w:bCs/>
          <w:sz w:val="24"/>
          <w:szCs w:val="24"/>
        </w:rPr>
        <w:t>ee paragraph [45] above</w:t>
      </w:r>
      <w:r w:rsidR="007A604C" w:rsidRPr="000E0CA0">
        <w:rPr>
          <w:rFonts w:ascii="Times New Roman" w:hAnsi="Times New Roman"/>
          <w:bCs/>
          <w:sz w:val="24"/>
          <w:szCs w:val="24"/>
        </w:rPr>
        <w:t xml:space="preserve">. </w:t>
      </w:r>
      <w:r w:rsidR="0048428D" w:rsidRPr="000E0CA0">
        <w:rPr>
          <w:rFonts w:ascii="Times New Roman" w:hAnsi="Times New Roman"/>
          <w:bCs/>
          <w:sz w:val="24"/>
          <w:szCs w:val="24"/>
        </w:rPr>
        <w:t xml:space="preserve">Italy </w:t>
      </w:r>
      <w:r w:rsidR="007A604C" w:rsidRPr="000E0CA0">
        <w:rPr>
          <w:rFonts w:ascii="Times New Roman" w:hAnsi="Times New Roman"/>
          <w:bCs/>
          <w:sz w:val="24"/>
          <w:szCs w:val="24"/>
        </w:rPr>
        <w:t xml:space="preserve">was </w:t>
      </w:r>
      <w:r w:rsidR="000F4609" w:rsidRPr="000E0CA0">
        <w:rPr>
          <w:rFonts w:ascii="Times New Roman" w:hAnsi="Times New Roman"/>
          <w:bCs/>
          <w:sz w:val="24"/>
          <w:szCs w:val="24"/>
        </w:rPr>
        <w:t xml:space="preserve">therefore </w:t>
      </w:r>
      <w:r w:rsidR="007A604C" w:rsidRPr="000E0CA0">
        <w:rPr>
          <w:rFonts w:ascii="Times New Roman" w:hAnsi="Times New Roman"/>
          <w:bCs/>
          <w:sz w:val="24"/>
          <w:szCs w:val="24"/>
        </w:rPr>
        <w:t xml:space="preserve">under an obligation to impose the licensing regime upon Mrs Simonis and she had a duty to comply.  </w:t>
      </w:r>
      <w:r w:rsidR="00870AA2" w:rsidRPr="000E0CA0">
        <w:rPr>
          <w:rFonts w:ascii="Times New Roman" w:hAnsi="Times New Roman"/>
          <w:bCs/>
          <w:sz w:val="24"/>
          <w:szCs w:val="24"/>
        </w:rPr>
        <w:t xml:space="preserve">Indeed, under </w:t>
      </w:r>
      <w:r w:rsidR="007A604C" w:rsidRPr="000E0CA0">
        <w:rPr>
          <w:rFonts w:ascii="Times New Roman" w:hAnsi="Times New Roman"/>
          <w:bCs/>
          <w:sz w:val="24"/>
          <w:szCs w:val="24"/>
        </w:rPr>
        <w:t xml:space="preserve">Article 9 of the Export Regulation Member States are required to impose sanctions </w:t>
      </w:r>
      <w:r w:rsidR="00CD5BD8">
        <w:rPr>
          <w:rFonts w:ascii="Times New Roman" w:hAnsi="Times New Roman"/>
          <w:bCs/>
          <w:sz w:val="24"/>
          <w:szCs w:val="24"/>
        </w:rPr>
        <w:t xml:space="preserve">for </w:t>
      </w:r>
      <w:r w:rsidR="007A604C" w:rsidRPr="000E0CA0">
        <w:rPr>
          <w:rFonts w:ascii="Times New Roman" w:hAnsi="Times New Roman"/>
          <w:bCs/>
          <w:sz w:val="24"/>
          <w:szCs w:val="24"/>
        </w:rPr>
        <w:t xml:space="preserve">breach. The argument advanced by the Appellant that her facts are </w:t>
      </w:r>
      <w:r w:rsidR="00D95330" w:rsidRPr="000E0CA0">
        <w:rPr>
          <w:rFonts w:ascii="Times New Roman" w:hAnsi="Times New Roman"/>
          <w:bCs/>
          <w:sz w:val="24"/>
          <w:szCs w:val="24"/>
        </w:rPr>
        <w:t>exceptional</w:t>
      </w:r>
      <w:r w:rsidR="007A604C" w:rsidRPr="000E0CA0">
        <w:rPr>
          <w:rFonts w:ascii="Times New Roman" w:hAnsi="Times New Roman"/>
          <w:bCs/>
          <w:sz w:val="24"/>
          <w:szCs w:val="24"/>
        </w:rPr>
        <w:t xml:space="preserve"> </w:t>
      </w:r>
      <w:r w:rsidR="00D95330" w:rsidRPr="000E0CA0">
        <w:rPr>
          <w:rFonts w:ascii="Times New Roman" w:hAnsi="Times New Roman"/>
          <w:bCs/>
          <w:sz w:val="24"/>
          <w:szCs w:val="24"/>
        </w:rPr>
        <w:t xml:space="preserve">cannot </w:t>
      </w:r>
      <w:r w:rsidR="00641A9C" w:rsidRPr="000E0CA0">
        <w:rPr>
          <w:rFonts w:ascii="Times New Roman" w:hAnsi="Times New Roman"/>
          <w:bCs/>
          <w:sz w:val="24"/>
          <w:szCs w:val="24"/>
        </w:rPr>
        <w:t xml:space="preserve">therefore </w:t>
      </w:r>
      <w:r w:rsidR="00D95330" w:rsidRPr="000E0CA0">
        <w:rPr>
          <w:rFonts w:ascii="Times New Roman" w:hAnsi="Times New Roman"/>
          <w:bCs/>
          <w:sz w:val="24"/>
          <w:szCs w:val="24"/>
        </w:rPr>
        <w:t xml:space="preserve">succeed.  There is no exception in the Export </w:t>
      </w:r>
      <w:r w:rsidR="00446DBB" w:rsidRPr="000E0CA0">
        <w:rPr>
          <w:rFonts w:ascii="Times New Roman" w:hAnsi="Times New Roman"/>
          <w:bCs/>
          <w:sz w:val="24"/>
          <w:szCs w:val="24"/>
        </w:rPr>
        <w:t>R</w:t>
      </w:r>
      <w:r w:rsidR="00D95330" w:rsidRPr="000E0CA0">
        <w:rPr>
          <w:rFonts w:ascii="Times New Roman" w:hAnsi="Times New Roman"/>
          <w:bCs/>
          <w:sz w:val="24"/>
          <w:szCs w:val="24"/>
        </w:rPr>
        <w:t xml:space="preserve">egulation for </w:t>
      </w:r>
      <w:r w:rsidR="00446DBB" w:rsidRPr="000E0CA0">
        <w:rPr>
          <w:rFonts w:ascii="Times New Roman" w:hAnsi="Times New Roman"/>
          <w:bCs/>
          <w:sz w:val="24"/>
          <w:szCs w:val="24"/>
        </w:rPr>
        <w:t>a case such as hers</w:t>
      </w:r>
      <w:r w:rsidR="00D95330" w:rsidRPr="000E0CA0">
        <w:rPr>
          <w:rFonts w:ascii="Times New Roman" w:hAnsi="Times New Roman"/>
          <w:bCs/>
          <w:sz w:val="24"/>
          <w:szCs w:val="24"/>
        </w:rPr>
        <w:t>.</w:t>
      </w:r>
      <w:r w:rsidR="007A604C" w:rsidRPr="000E0CA0">
        <w:rPr>
          <w:rFonts w:ascii="Times New Roman" w:hAnsi="Times New Roman"/>
          <w:bCs/>
          <w:sz w:val="24"/>
          <w:szCs w:val="24"/>
        </w:rPr>
        <w:t xml:space="preserve"> </w:t>
      </w:r>
      <w:r w:rsidR="000F4609" w:rsidRPr="000E0CA0">
        <w:rPr>
          <w:rFonts w:ascii="Times New Roman" w:hAnsi="Times New Roman"/>
          <w:bCs/>
          <w:sz w:val="24"/>
          <w:szCs w:val="24"/>
        </w:rPr>
        <w:t xml:space="preserve">On this basis the suggestion that Italy is in breach of EU law founders because all that Italy was doing was applying the Export Regulation </w:t>
      </w:r>
      <w:r w:rsidR="00641A9C" w:rsidRPr="000E0CA0">
        <w:rPr>
          <w:rFonts w:ascii="Times New Roman" w:hAnsi="Times New Roman"/>
          <w:bCs/>
          <w:sz w:val="24"/>
          <w:szCs w:val="24"/>
        </w:rPr>
        <w:t xml:space="preserve">to her. </w:t>
      </w:r>
      <w:r w:rsidR="007A604C" w:rsidRPr="000E0CA0">
        <w:rPr>
          <w:rFonts w:ascii="Times New Roman" w:hAnsi="Times New Roman"/>
          <w:bCs/>
          <w:sz w:val="24"/>
          <w:szCs w:val="24"/>
        </w:rPr>
        <w:t>Mr O’Neill QC</w:t>
      </w:r>
      <w:r w:rsidR="00641A9C" w:rsidRPr="000E0CA0">
        <w:rPr>
          <w:rFonts w:ascii="Times New Roman" w:hAnsi="Times New Roman"/>
          <w:bCs/>
          <w:sz w:val="24"/>
          <w:szCs w:val="24"/>
        </w:rPr>
        <w:t>, in oral argument,</w:t>
      </w:r>
      <w:r w:rsidR="007A604C" w:rsidRPr="000E0CA0">
        <w:rPr>
          <w:rFonts w:ascii="Times New Roman" w:hAnsi="Times New Roman"/>
          <w:bCs/>
          <w:sz w:val="24"/>
          <w:szCs w:val="24"/>
        </w:rPr>
        <w:t xml:space="preserve"> sought to circumvent this by arguing that </w:t>
      </w:r>
      <w:r w:rsidR="00446DBB" w:rsidRPr="000E0CA0">
        <w:rPr>
          <w:rFonts w:ascii="Times New Roman" w:hAnsi="Times New Roman"/>
          <w:bCs/>
          <w:sz w:val="24"/>
          <w:szCs w:val="24"/>
        </w:rPr>
        <w:t>when Mrs Si</w:t>
      </w:r>
      <w:r w:rsidR="00641A9C" w:rsidRPr="000E0CA0">
        <w:rPr>
          <w:rFonts w:ascii="Times New Roman" w:hAnsi="Times New Roman"/>
          <w:bCs/>
          <w:sz w:val="24"/>
          <w:szCs w:val="24"/>
        </w:rPr>
        <w:t>m</w:t>
      </w:r>
      <w:r w:rsidR="00446DBB" w:rsidRPr="000E0CA0">
        <w:rPr>
          <w:rFonts w:ascii="Times New Roman" w:hAnsi="Times New Roman"/>
          <w:bCs/>
          <w:sz w:val="24"/>
          <w:szCs w:val="24"/>
        </w:rPr>
        <w:t xml:space="preserve">onis removed the painting from Italy she was </w:t>
      </w:r>
      <w:r w:rsidR="0048428D" w:rsidRPr="000E0CA0">
        <w:rPr>
          <w:rFonts w:ascii="Times New Roman" w:hAnsi="Times New Roman"/>
          <w:bCs/>
          <w:sz w:val="24"/>
          <w:szCs w:val="24"/>
        </w:rPr>
        <w:t xml:space="preserve">not seeking to dispatch the painting </w:t>
      </w:r>
      <w:r w:rsidR="0048428D" w:rsidRPr="000E0CA0">
        <w:rPr>
          <w:rFonts w:ascii="Times New Roman" w:hAnsi="Times New Roman"/>
          <w:bCs/>
          <w:i/>
          <w:iCs/>
          <w:sz w:val="24"/>
          <w:szCs w:val="24"/>
        </w:rPr>
        <w:t>from</w:t>
      </w:r>
      <w:r w:rsidR="0048428D" w:rsidRPr="000E0CA0">
        <w:rPr>
          <w:rFonts w:ascii="Times New Roman" w:hAnsi="Times New Roman"/>
          <w:bCs/>
          <w:sz w:val="24"/>
          <w:szCs w:val="24"/>
        </w:rPr>
        <w:t xml:space="preserve"> the EU</w:t>
      </w:r>
      <w:r w:rsidR="00641A9C" w:rsidRPr="000E0CA0">
        <w:rPr>
          <w:rFonts w:ascii="Times New Roman" w:hAnsi="Times New Roman"/>
          <w:bCs/>
          <w:sz w:val="24"/>
          <w:szCs w:val="24"/>
        </w:rPr>
        <w:t xml:space="preserve">, which is </w:t>
      </w:r>
      <w:r w:rsidR="00454194" w:rsidRPr="000E0CA0">
        <w:rPr>
          <w:rFonts w:ascii="Times New Roman" w:hAnsi="Times New Roman"/>
          <w:bCs/>
          <w:sz w:val="24"/>
          <w:szCs w:val="24"/>
        </w:rPr>
        <w:t>w</w:t>
      </w:r>
      <w:r w:rsidR="00641A9C" w:rsidRPr="000E0CA0">
        <w:rPr>
          <w:rFonts w:ascii="Times New Roman" w:hAnsi="Times New Roman"/>
          <w:bCs/>
          <w:sz w:val="24"/>
          <w:szCs w:val="24"/>
        </w:rPr>
        <w:t xml:space="preserve">hat the Export Regulation is concerned with, </w:t>
      </w:r>
      <w:r w:rsidR="0048428D" w:rsidRPr="000E0CA0">
        <w:rPr>
          <w:rFonts w:ascii="Times New Roman" w:hAnsi="Times New Roman"/>
          <w:bCs/>
          <w:sz w:val="24"/>
          <w:szCs w:val="24"/>
        </w:rPr>
        <w:t xml:space="preserve">and therefore the obligation upon her to give notice hindered </w:t>
      </w:r>
      <w:r w:rsidR="007A604C" w:rsidRPr="000E0CA0">
        <w:rPr>
          <w:rFonts w:ascii="Times New Roman" w:hAnsi="Times New Roman"/>
          <w:bCs/>
          <w:sz w:val="24"/>
          <w:szCs w:val="24"/>
        </w:rPr>
        <w:t>a</w:t>
      </w:r>
      <w:r w:rsidR="00454194" w:rsidRPr="000E0CA0">
        <w:rPr>
          <w:rFonts w:ascii="Times New Roman" w:hAnsi="Times New Roman"/>
          <w:bCs/>
          <w:sz w:val="24"/>
          <w:szCs w:val="24"/>
        </w:rPr>
        <w:t xml:space="preserve"> purely</w:t>
      </w:r>
      <w:r w:rsidR="007A604C" w:rsidRPr="000E0CA0">
        <w:rPr>
          <w:rFonts w:ascii="Times New Roman" w:hAnsi="Times New Roman"/>
          <w:bCs/>
          <w:sz w:val="24"/>
          <w:szCs w:val="24"/>
        </w:rPr>
        <w:t xml:space="preserve"> intra-EU dispatch ie from Italy to the UK, which is not a </w:t>
      </w:r>
      <w:r w:rsidR="007906D3" w:rsidRPr="000E0CA0">
        <w:rPr>
          <w:rFonts w:ascii="Times New Roman" w:hAnsi="Times New Roman"/>
          <w:bCs/>
          <w:sz w:val="24"/>
          <w:szCs w:val="24"/>
        </w:rPr>
        <w:t xml:space="preserve">dispatch </w:t>
      </w:r>
      <w:r w:rsidR="007906D3" w:rsidRPr="000E0CA0">
        <w:rPr>
          <w:rFonts w:ascii="Times New Roman" w:hAnsi="Times New Roman"/>
          <w:bCs/>
          <w:sz w:val="24"/>
          <w:szCs w:val="24"/>
          <w:u w:val="single"/>
        </w:rPr>
        <w:t>from</w:t>
      </w:r>
      <w:r w:rsidR="007906D3" w:rsidRPr="000E0CA0">
        <w:rPr>
          <w:rFonts w:ascii="Times New Roman" w:hAnsi="Times New Roman"/>
          <w:bCs/>
          <w:sz w:val="24"/>
          <w:szCs w:val="24"/>
        </w:rPr>
        <w:t xml:space="preserve"> </w:t>
      </w:r>
      <w:r w:rsidR="007A604C" w:rsidRPr="000E0CA0">
        <w:rPr>
          <w:rFonts w:ascii="Times New Roman" w:hAnsi="Times New Roman"/>
          <w:bCs/>
          <w:sz w:val="24"/>
          <w:szCs w:val="24"/>
        </w:rPr>
        <w:t xml:space="preserve">the EU.  </w:t>
      </w:r>
      <w:r w:rsidR="00641A9C" w:rsidRPr="000E0CA0">
        <w:rPr>
          <w:rFonts w:ascii="Times New Roman" w:hAnsi="Times New Roman"/>
          <w:bCs/>
          <w:sz w:val="24"/>
          <w:szCs w:val="24"/>
        </w:rPr>
        <w:t>Therefore, the duty in the Export Regulation to impose a licence requirement d</w:t>
      </w:r>
      <w:r w:rsidR="00CD5BD8">
        <w:rPr>
          <w:rFonts w:ascii="Times New Roman" w:hAnsi="Times New Roman"/>
          <w:bCs/>
          <w:sz w:val="24"/>
          <w:szCs w:val="24"/>
        </w:rPr>
        <w:t>id</w:t>
      </w:r>
      <w:r w:rsidR="00641A9C" w:rsidRPr="000E0CA0">
        <w:rPr>
          <w:rFonts w:ascii="Times New Roman" w:hAnsi="Times New Roman"/>
          <w:bCs/>
          <w:sz w:val="24"/>
          <w:szCs w:val="24"/>
        </w:rPr>
        <w:t xml:space="preserve"> not apply. </w:t>
      </w:r>
      <w:r w:rsidR="007906D3" w:rsidRPr="000E0CA0">
        <w:rPr>
          <w:rFonts w:ascii="Times New Roman" w:hAnsi="Times New Roman"/>
          <w:bCs/>
          <w:sz w:val="24"/>
          <w:szCs w:val="24"/>
        </w:rPr>
        <w:t xml:space="preserve">This seems </w:t>
      </w:r>
      <w:r w:rsidR="0048428D" w:rsidRPr="000E0CA0">
        <w:rPr>
          <w:rFonts w:ascii="Times New Roman" w:hAnsi="Times New Roman"/>
          <w:bCs/>
          <w:sz w:val="24"/>
          <w:szCs w:val="24"/>
        </w:rPr>
        <w:t xml:space="preserve">highly </w:t>
      </w:r>
      <w:r w:rsidR="007906D3" w:rsidRPr="000E0CA0">
        <w:rPr>
          <w:rFonts w:ascii="Times New Roman" w:hAnsi="Times New Roman"/>
          <w:bCs/>
          <w:sz w:val="24"/>
          <w:szCs w:val="24"/>
        </w:rPr>
        <w:t xml:space="preserve">contrived. This case is all about removal from the EU. </w:t>
      </w:r>
      <w:r w:rsidR="00641A9C" w:rsidRPr="000E0CA0">
        <w:rPr>
          <w:rFonts w:ascii="Times New Roman" w:hAnsi="Times New Roman"/>
          <w:bCs/>
          <w:sz w:val="24"/>
          <w:szCs w:val="24"/>
        </w:rPr>
        <w:t xml:space="preserve"> London is the hub of the international art market and Italy is a major source </w:t>
      </w:r>
      <w:r w:rsidR="00454194" w:rsidRPr="000E0CA0">
        <w:rPr>
          <w:rFonts w:ascii="Times New Roman" w:hAnsi="Times New Roman"/>
          <w:bCs/>
          <w:sz w:val="24"/>
          <w:szCs w:val="24"/>
        </w:rPr>
        <w:t xml:space="preserve">of </w:t>
      </w:r>
      <w:r w:rsidR="00641A9C" w:rsidRPr="000E0CA0">
        <w:rPr>
          <w:rFonts w:ascii="Times New Roman" w:hAnsi="Times New Roman"/>
          <w:bCs/>
          <w:sz w:val="24"/>
          <w:szCs w:val="24"/>
        </w:rPr>
        <w:t xml:space="preserve">art works.  </w:t>
      </w:r>
      <w:r w:rsidR="007906D3" w:rsidRPr="000E0CA0">
        <w:rPr>
          <w:rFonts w:ascii="Times New Roman" w:hAnsi="Times New Roman"/>
          <w:bCs/>
          <w:sz w:val="24"/>
          <w:szCs w:val="24"/>
        </w:rPr>
        <w:t xml:space="preserve">The elephant in the room is that a better price </w:t>
      </w:r>
      <w:r w:rsidR="0048428D" w:rsidRPr="000E0CA0">
        <w:rPr>
          <w:rFonts w:ascii="Times New Roman" w:hAnsi="Times New Roman"/>
          <w:bCs/>
          <w:sz w:val="24"/>
          <w:szCs w:val="24"/>
        </w:rPr>
        <w:t xml:space="preserve">is likely to </w:t>
      </w:r>
      <w:r w:rsidR="00641A9C" w:rsidRPr="000E0CA0">
        <w:rPr>
          <w:rFonts w:ascii="Times New Roman" w:hAnsi="Times New Roman"/>
          <w:bCs/>
          <w:sz w:val="24"/>
          <w:szCs w:val="24"/>
        </w:rPr>
        <w:t xml:space="preserve">be </w:t>
      </w:r>
      <w:r w:rsidR="007906D3" w:rsidRPr="000E0CA0">
        <w:rPr>
          <w:rFonts w:ascii="Times New Roman" w:hAnsi="Times New Roman"/>
          <w:bCs/>
          <w:sz w:val="24"/>
          <w:szCs w:val="24"/>
        </w:rPr>
        <w:t xml:space="preserve">realised </w:t>
      </w:r>
      <w:r w:rsidR="0048428D" w:rsidRPr="000E0CA0">
        <w:rPr>
          <w:rFonts w:ascii="Times New Roman" w:hAnsi="Times New Roman"/>
          <w:bCs/>
          <w:sz w:val="24"/>
          <w:szCs w:val="24"/>
        </w:rPr>
        <w:t xml:space="preserve">on the international market than from </w:t>
      </w:r>
      <w:r w:rsidR="007906D3" w:rsidRPr="000E0CA0">
        <w:rPr>
          <w:rFonts w:ascii="Times New Roman" w:hAnsi="Times New Roman"/>
          <w:bCs/>
          <w:sz w:val="24"/>
          <w:szCs w:val="24"/>
        </w:rPr>
        <w:t xml:space="preserve">a forced sale to the state </w:t>
      </w:r>
      <w:r w:rsidR="007906D3" w:rsidRPr="000E0CA0">
        <w:rPr>
          <w:rFonts w:ascii="Times New Roman" w:hAnsi="Times New Roman"/>
          <w:bCs/>
          <w:sz w:val="24"/>
          <w:szCs w:val="24"/>
          <w:u w:val="single"/>
        </w:rPr>
        <w:t>in</w:t>
      </w:r>
      <w:r w:rsidR="007906D3" w:rsidRPr="000E0CA0">
        <w:rPr>
          <w:rFonts w:ascii="Times New Roman" w:hAnsi="Times New Roman"/>
          <w:bCs/>
          <w:sz w:val="24"/>
          <w:szCs w:val="24"/>
        </w:rPr>
        <w:t xml:space="preserve"> Italy</w:t>
      </w:r>
      <w:r w:rsidR="0048428D" w:rsidRPr="000E0CA0">
        <w:rPr>
          <w:rFonts w:ascii="Times New Roman" w:hAnsi="Times New Roman"/>
          <w:bCs/>
          <w:sz w:val="24"/>
          <w:szCs w:val="24"/>
        </w:rPr>
        <w:t xml:space="preserve"> and of course M</w:t>
      </w:r>
      <w:r w:rsidR="007906D3" w:rsidRPr="000E0CA0">
        <w:rPr>
          <w:rFonts w:ascii="Times New Roman" w:hAnsi="Times New Roman"/>
          <w:bCs/>
          <w:sz w:val="24"/>
          <w:szCs w:val="24"/>
        </w:rPr>
        <w:t xml:space="preserve">rs Simonis </w:t>
      </w:r>
      <w:r w:rsidR="0048428D" w:rsidRPr="000E0CA0">
        <w:rPr>
          <w:rFonts w:ascii="Times New Roman" w:hAnsi="Times New Roman"/>
          <w:bCs/>
          <w:sz w:val="24"/>
          <w:szCs w:val="24"/>
        </w:rPr>
        <w:t xml:space="preserve">now </w:t>
      </w:r>
      <w:r w:rsidR="007906D3" w:rsidRPr="000E0CA0">
        <w:rPr>
          <w:rFonts w:ascii="Times New Roman" w:hAnsi="Times New Roman"/>
          <w:bCs/>
          <w:sz w:val="24"/>
          <w:szCs w:val="24"/>
        </w:rPr>
        <w:t>seeks a licence from the Arts Council to remove the painting</w:t>
      </w:r>
      <w:r w:rsidR="0048428D" w:rsidRPr="000E0CA0">
        <w:rPr>
          <w:rFonts w:ascii="Times New Roman" w:hAnsi="Times New Roman"/>
          <w:bCs/>
          <w:sz w:val="24"/>
          <w:szCs w:val="24"/>
        </w:rPr>
        <w:t xml:space="preserve"> out of the EU, </w:t>
      </w:r>
      <w:r w:rsidR="007906D3" w:rsidRPr="000E0CA0">
        <w:rPr>
          <w:rFonts w:ascii="Times New Roman" w:hAnsi="Times New Roman"/>
          <w:bCs/>
          <w:sz w:val="24"/>
          <w:szCs w:val="24"/>
        </w:rPr>
        <w:t>to Switzerland</w:t>
      </w:r>
      <w:r w:rsidR="00641A9C" w:rsidRPr="000E0CA0">
        <w:rPr>
          <w:rFonts w:ascii="Times New Roman" w:hAnsi="Times New Roman"/>
          <w:bCs/>
          <w:sz w:val="24"/>
          <w:szCs w:val="24"/>
        </w:rPr>
        <w:t xml:space="preserve">.  </w:t>
      </w:r>
      <w:r w:rsidR="004B6B77" w:rsidRPr="000E0CA0">
        <w:rPr>
          <w:rFonts w:ascii="Times New Roman" w:hAnsi="Times New Roman"/>
          <w:bCs/>
          <w:sz w:val="24"/>
          <w:szCs w:val="24"/>
        </w:rPr>
        <w:t>In s</w:t>
      </w:r>
      <w:r w:rsidR="00641A9C" w:rsidRPr="000E0CA0">
        <w:rPr>
          <w:rFonts w:ascii="Times New Roman" w:hAnsi="Times New Roman"/>
          <w:bCs/>
          <w:sz w:val="24"/>
          <w:szCs w:val="24"/>
        </w:rPr>
        <w:t>hort</w:t>
      </w:r>
      <w:r w:rsidR="00E83062" w:rsidRPr="000E0CA0">
        <w:rPr>
          <w:rFonts w:ascii="Times New Roman" w:hAnsi="Times New Roman"/>
          <w:bCs/>
          <w:sz w:val="24"/>
          <w:szCs w:val="24"/>
        </w:rPr>
        <w:t>,</w:t>
      </w:r>
      <w:r w:rsidR="00641A9C" w:rsidRPr="000E0CA0">
        <w:rPr>
          <w:rFonts w:ascii="Times New Roman" w:hAnsi="Times New Roman"/>
          <w:bCs/>
          <w:sz w:val="24"/>
          <w:szCs w:val="24"/>
        </w:rPr>
        <w:t xml:space="preserve"> a </w:t>
      </w:r>
      <w:r w:rsidR="004B6B77" w:rsidRPr="000E0CA0">
        <w:rPr>
          <w:rFonts w:ascii="Times New Roman" w:hAnsi="Times New Roman"/>
          <w:bCs/>
          <w:sz w:val="24"/>
          <w:szCs w:val="24"/>
        </w:rPr>
        <w:t>notice</w:t>
      </w:r>
      <w:r w:rsidR="00641A9C" w:rsidRPr="000E0CA0">
        <w:rPr>
          <w:rFonts w:ascii="Times New Roman" w:hAnsi="Times New Roman"/>
          <w:bCs/>
          <w:sz w:val="24"/>
          <w:szCs w:val="24"/>
        </w:rPr>
        <w:t xml:space="preserve"> </w:t>
      </w:r>
      <w:r w:rsidR="004B6B77" w:rsidRPr="000E0CA0">
        <w:rPr>
          <w:rFonts w:ascii="Times New Roman" w:hAnsi="Times New Roman"/>
          <w:bCs/>
          <w:sz w:val="24"/>
          <w:szCs w:val="24"/>
        </w:rPr>
        <w:t>requirement</w:t>
      </w:r>
      <w:r w:rsidR="00641A9C" w:rsidRPr="000E0CA0">
        <w:rPr>
          <w:rFonts w:ascii="Times New Roman" w:hAnsi="Times New Roman"/>
          <w:bCs/>
          <w:sz w:val="24"/>
          <w:szCs w:val="24"/>
        </w:rPr>
        <w:t xml:space="preserve"> introduced as </w:t>
      </w:r>
      <w:r w:rsidR="004B6B77" w:rsidRPr="000E0CA0">
        <w:rPr>
          <w:rFonts w:ascii="Times New Roman" w:hAnsi="Times New Roman"/>
          <w:bCs/>
          <w:sz w:val="24"/>
          <w:szCs w:val="24"/>
        </w:rPr>
        <w:t xml:space="preserve">part </w:t>
      </w:r>
      <w:r w:rsidR="00641A9C" w:rsidRPr="000E0CA0">
        <w:rPr>
          <w:rFonts w:ascii="Times New Roman" w:hAnsi="Times New Roman"/>
          <w:bCs/>
          <w:sz w:val="24"/>
          <w:szCs w:val="24"/>
        </w:rPr>
        <w:t>of a</w:t>
      </w:r>
      <w:r w:rsidR="004B6B77" w:rsidRPr="000E0CA0">
        <w:rPr>
          <w:rFonts w:ascii="Times New Roman" w:hAnsi="Times New Roman"/>
          <w:bCs/>
          <w:sz w:val="24"/>
          <w:szCs w:val="24"/>
        </w:rPr>
        <w:t>n export</w:t>
      </w:r>
      <w:r w:rsidR="00641A9C" w:rsidRPr="000E0CA0">
        <w:rPr>
          <w:rFonts w:ascii="Times New Roman" w:hAnsi="Times New Roman"/>
          <w:bCs/>
          <w:sz w:val="24"/>
          <w:szCs w:val="24"/>
        </w:rPr>
        <w:t xml:space="preserve"> l</w:t>
      </w:r>
      <w:r w:rsidR="004B6B77" w:rsidRPr="000E0CA0">
        <w:rPr>
          <w:rFonts w:ascii="Times New Roman" w:hAnsi="Times New Roman"/>
          <w:bCs/>
          <w:sz w:val="24"/>
          <w:szCs w:val="24"/>
        </w:rPr>
        <w:t xml:space="preserve">icensing regime </w:t>
      </w:r>
      <w:r w:rsidR="00641A9C" w:rsidRPr="000E0CA0">
        <w:rPr>
          <w:rFonts w:ascii="Times New Roman" w:hAnsi="Times New Roman"/>
          <w:bCs/>
          <w:sz w:val="24"/>
          <w:szCs w:val="24"/>
        </w:rPr>
        <w:t xml:space="preserve">is integral to </w:t>
      </w:r>
      <w:r w:rsidR="004B6B77" w:rsidRPr="000E0CA0">
        <w:rPr>
          <w:rFonts w:ascii="Times New Roman" w:hAnsi="Times New Roman"/>
          <w:bCs/>
          <w:sz w:val="24"/>
          <w:szCs w:val="24"/>
        </w:rPr>
        <w:t xml:space="preserve">such a system and since the system itself is justified by an EU regulation </w:t>
      </w:r>
      <w:r w:rsidR="00454194" w:rsidRPr="000E0CA0">
        <w:rPr>
          <w:rFonts w:ascii="Times New Roman" w:hAnsi="Times New Roman"/>
          <w:bCs/>
          <w:sz w:val="24"/>
          <w:szCs w:val="24"/>
        </w:rPr>
        <w:t xml:space="preserve">it </w:t>
      </w:r>
      <w:r w:rsidR="004B6B77" w:rsidRPr="000E0CA0">
        <w:rPr>
          <w:rFonts w:ascii="Times New Roman" w:hAnsi="Times New Roman"/>
          <w:bCs/>
          <w:sz w:val="24"/>
          <w:szCs w:val="24"/>
        </w:rPr>
        <w:t xml:space="preserve">is in my view impossible to say that the notice obligation is not likewise justified.   </w:t>
      </w:r>
    </w:p>
    <w:p w14:paraId="612D0964" w14:textId="77777777" w:rsidR="00641A9C" w:rsidRPr="000E0CA0" w:rsidRDefault="00641A9C" w:rsidP="002D37BA">
      <w:pPr>
        <w:pStyle w:val="ListParagraph"/>
        <w:spacing w:after="0" w:line="240" w:lineRule="auto"/>
        <w:jc w:val="both"/>
        <w:rPr>
          <w:rFonts w:ascii="Times New Roman" w:hAnsi="Times New Roman"/>
          <w:bCs/>
          <w:sz w:val="24"/>
          <w:szCs w:val="24"/>
        </w:rPr>
      </w:pPr>
    </w:p>
    <w:p w14:paraId="17CE31CC" w14:textId="77777777" w:rsidR="004B6B77" w:rsidRPr="000E0CA0" w:rsidRDefault="00994F09" w:rsidP="002D37BA">
      <w:pPr>
        <w:pStyle w:val="ListParagraph"/>
        <w:numPr>
          <w:ilvl w:val="0"/>
          <w:numId w:val="13"/>
        </w:numPr>
        <w:tabs>
          <w:tab w:val="left" w:pos="709"/>
        </w:tabs>
        <w:spacing w:after="0" w:line="240" w:lineRule="auto"/>
        <w:ind w:hanging="720"/>
        <w:jc w:val="both"/>
        <w:rPr>
          <w:rFonts w:ascii="Times New Roman" w:hAnsi="Times New Roman"/>
          <w:bCs/>
          <w:sz w:val="24"/>
          <w:szCs w:val="24"/>
        </w:rPr>
      </w:pPr>
      <w:r w:rsidRPr="000E0CA0">
        <w:rPr>
          <w:rFonts w:ascii="Times New Roman" w:hAnsi="Times New Roman"/>
          <w:bCs/>
          <w:sz w:val="24"/>
          <w:szCs w:val="24"/>
        </w:rPr>
        <w:t xml:space="preserve">Second, </w:t>
      </w:r>
      <w:r w:rsidR="009E4ED8" w:rsidRPr="000E0CA0">
        <w:rPr>
          <w:rFonts w:ascii="Times New Roman" w:hAnsi="Times New Roman"/>
          <w:bCs/>
          <w:sz w:val="24"/>
          <w:szCs w:val="24"/>
        </w:rPr>
        <w:t xml:space="preserve">even if </w:t>
      </w:r>
      <w:r w:rsidR="004B6B77" w:rsidRPr="000E0CA0">
        <w:rPr>
          <w:rFonts w:ascii="Times New Roman" w:hAnsi="Times New Roman"/>
          <w:bCs/>
          <w:sz w:val="24"/>
          <w:szCs w:val="24"/>
        </w:rPr>
        <w:t xml:space="preserve">(to test the Appellant’s argument further) </w:t>
      </w:r>
      <w:r w:rsidRPr="000E0CA0">
        <w:rPr>
          <w:rFonts w:ascii="Times New Roman" w:hAnsi="Times New Roman"/>
          <w:bCs/>
          <w:sz w:val="24"/>
          <w:szCs w:val="24"/>
        </w:rPr>
        <w:t>in 2007 a</w:t>
      </w:r>
      <w:r w:rsidR="009E4ED8" w:rsidRPr="000E0CA0">
        <w:rPr>
          <w:rFonts w:ascii="Times New Roman" w:hAnsi="Times New Roman"/>
          <w:bCs/>
          <w:sz w:val="24"/>
          <w:szCs w:val="24"/>
        </w:rPr>
        <w:t>ll th</w:t>
      </w:r>
      <w:r w:rsidRPr="000E0CA0">
        <w:rPr>
          <w:rFonts w:ascii="Times New Roman" w:hAnsi="Times New Roman"/>
          <w:bCs/>
          <w:sz w:val="24"/>
          <w:szCs w:val="24"/>
        </w:rPr>
        <w:t>a</w:t>
      </w:r>
      <w:r w:rsidR="009E4ED8" w:rsidRPr="000E0CA0">
        <w:rPr>
          <w:rFonts w:ascii="Times New Roman" w:hAnsi="Times New Roman"/>
          <w:bCs/>
          <w:sz w:val="24"/>
          <w:szCs w:val="24"/>
        </w:rPr>
        <w:t>t Mrs Simonis wished to do was dispatch the pain</w:t>
      </w:r>
      <w:r w:rsidRPr="000E0CA0">
        <w:rPr>
          <w:rFonts w:ascii="Times New Roman" w:hAnsi="Times New Roman"/>
          <w:bCs/>
          <w:sz w:val="24"/>
          <w:szCs w:val="24"/>
        </w:rPr>
        <w:t>t</w:t>
      </w:r>
      <w:r w:rsidR="009E4ED8" w:rsidRPr="000E0CA0">
        <w:rPr>
          <w:rFonts w:ascii="Times New Roman" w:hAnsi="Times New Roman"/>
          <w:bCs/>
          <w:sz w:val="24"/>
          <w:szCs w:val="24"/>
        </w:rPr>
        <w:t xml:space="preserve">ing for some </w:t>
      </w:r>
      <w:r w:rsidR="000F4609" w:rsidRPr="000E0CA0">
        <w:rPr>
          <w:rFonts w:ascii="Times New Roman" w:hAnsi="Times New Roman"/>
          <w:bCs/>
          <w:sz w:val="24"/>
          <w:szCs w:val="24"/>
        </w:rPr>
        <w:t>intra</w:t>
      </w:r>
      <w:r w:rsidR="004B6B77" w:rsidRPr="000E0CA0">
        <w:rPr>
          <w:rFonts w:ascii="Times New Roman" w:hAnsi="Times New Roman"/>
          <w:bCs/>
          <w:sz w:val="24"/>
          <w:szCs w:val="24"/>
        </w:rPr>
        <w:t>-</w:t>
      </w:r>
      <w:r w:rsidR="000F4609" w:rsidRPr="000E0CA0">
        <w:rPr>
          <w:rFonts w:ascii="Times New Roman" w:hAnsi="Times New Roman"/>
          <w:bCs/>
          <w:sz w:val="24"/>
          <w:szCs w:val="24"/>
        </w:rPr>
        <w:t xml:space="preserve">EU </w:t>
      </w:r>
      <w:r w:rsidR="009E4ED8" w:rsidRPr="000E0CA0">
        <w:rPr>
          <w:rFonts w:ascii="Times New Roman" w:hAnsi="Times New Roman"/>
          <w:bCs/>
          <w:sz w:val="24"/>
          <w:szCs w:val="24"/>
        </w:rPr>
        <w:t>purpose</w:t>
      </w:r>
      <w:r w:rsidR="000F4609" w:rsidRPr="000E0CA0">
        <w:rPr>
          <w:rFonts w:ascii="Times New Roman" w:hAnsi="Times New Roman"/>
          <w:bCs/>
          <w:sz w:val="24"/>
          <w:szCs w:val="24"/>
        </w:rPr>
        <w:t>,</w:t>
      </w:r>
      <w:r w:rsidR="009E4ED8" w:rsidRPr="000E0CA0">
        <w:rPr>
          <w:rFonts w:ascii="Times New Roman" w:hAnsi="Times New Roman"/>
          <w:bCs/>
          <w:sz w:val="24"/>
          <w:szCs w:val="24"/>
        </w:rPr>
        <w:t xml:space="preserve"> the </w:t>
      </w:r>
      <w:r w:rsidR="004B6B77" w:rsidRPr="000E0CA0">
        <w:rPr>
          <w:rFonts w:ascii="Times New Roman" w:hAnsi="Times New Roman"/>
          <w:bCs/>
          <w:sz w:val="24"/>
          <w:szCs w:val="24"/>
        </w:rPr>
        <w:t xml:space="preserve">analysis </w:t>
      </w:r>
      <w:r w:rsidR="0048428D" w:rsidRPr="000E0CA0">
        <w:rPr>
          <w:rFonts w:ascii="Times New Roman" w:hAnsi="Times New Roman"/>
          <w:bCs/>
          <w:sz w:val="24"/>
          <w:szCs w:val="24"/>
        </w:rPr>
        <w:t xml:space="preserve">would not </w:t>
      </w:r>
      <w:r w:rsidR="009E4ED8" w:rsidRPr="000E0CA0">
        <w:rPr>
          <w:rFonts w:ascii="Times New Roman" w:hAnsi="Times New Roman"/>
          <w:bCs/>
          <w:sz w:val="24"/>
          <w:szCs w:val="24"/>
        </w:rPr>
        <w:t xml:space="preserve">change.  </w:t>
      </w:r>
      <w:r w:rsidR="004B6B77" w:rsidRPr="000E0CA0">
        <w:rPr>
          <w:rFonts w:ascii="Times New Roman" w:hAnsi="Times New Roman"/>
          <w:bCs/>
          <w:sz w:val="24"/>
          <w:szCs w:val="24"/>
        </w:rPr>
        <w:t>Again, the s</w:t>
      </w:r>
      <w:r w:rsidR="009E4ED8" w:rsidRPr="000E0CA0">
        <w:rPr>
          <w:rFonts w:ascii="Times New Roman" w:hAnsi="Times New Roman"/>
          <w:bCs/>
          <w:sz w:val="24"/>
          <w:szCs w:val="24"/>
        </w:rPr>
        <w:t xml:space="preserve">hort answer is that in the field of </w:t>
      </w:r>
      <w:r w:rsidR="00F1025A" w:rsidRPr="000E0CA0">
        <w:rPr>
          <w:rFonts w:ascii="Times New Roman" w:hAnsi="Times New Roman"/>
          <w:bCs/>
          <w:sz w:val="24"/>
          <w:szCs w:val="24"/>
        </w:rPr>
        <w:t>cultural</w:t>
      </w:r>
      <w:r w:rsidR="009E4ED8" w:rsidRPr="000E0CA0">
        <w:rPr>
          <w:rFonts w:ascii="Times New Roman" w:hAnsi="Times New Roman"/>
          <w:bCs/>
          <w:sz w:val="24"/>
          <w:szCs w:val="24"/>
        </w:rPr>
        <w:t xml:space="preserve"> goods all Member St</w:t>
      </w:r>
      <w:r w:rsidR="00F1025A" w:rsidRPr="000E0CA0">
        <w:rPr>
          <w:rFonts w:ascii="Times New Roman" w:hAnsi="Times New Roman"/>
          <w:bCs/>
          <w:sz w:val="24"/>
          <w:szCs w:val="24"/>
        </w:rPr>
        <w:t>a</w:t>
      </w:r>
      <w:r w:rsidR="009E4ED8" w:rsidRPr="000E0CA0">
        <w:rPr>
          <w:rFonts w:ascii="Times New Roman" w:hAnsi="Times New Roman"/>
          <w:bCs/>
          <w:sz w:val="24"/>
          <w:szCs w:val="24"/>
        </w:rPr>
        <w:t xml:space="preserve">tes are </w:t>
      </w:r>
      <w:r w:rsidR="00F1025A" w:rsidRPr="000E0CA0">
        <w:rPr>
          <w:rFonts w:ascii="Times New Roman" w:hAnsi="Times New Roman"/>
          <w:bCs/>
          <w:sz w:val="24"/>
          <w:szCs w:val="24"/>
        </w:rPr>
        <w:t xml:space="preserve">entitled </w:t>
      </w:r>
      <w:r w:rsidR="009E4ED8" w:rsidRPr="000E0CA0">
        <w:rPr>
          <w:rFonts w:ascii="Times New Roman" w:hAnsi="Times New Roman"/>
          <w:bCs/>
          <w:sz w:val="24"/>
          <w:szCs w:val="24"/>
        </w:rPr>
        <w:t xml:space="preserve">to put in place licensing rules which </w:t>
      </w:r>
      <w:r w:rsidR="00F1025A" w:rsidRPr="000E0CA0">
        <w:rPr>
          <w:rFonts w:ascii="Times New Roman" w:hAnsi="Times New Roman"/>
          <w:bCs/>
          <w:sz w:val="24"/>
          <w:szCs w:val="24"/>
        </w:rPr>
        <w:t>compel</w:t>
      </w:r>
      <w:r w:rsidR="009E4ED8" w:rsidRPr="000E0CA0">
        <w:rPr>
          <w:rFonts w:ascii="Times New Roman" w:hAnsi="Times New Roman"/>
          <w:bCs/>
          <w:sz w:val="24"/>
          <w:szCs w:val="24"/>
        </w:rPr>
        <w:t xml:space="preserve"> the </w:t>
      </w:r>
      <w:r w:rsidRPr="000E0CA0">
        <w:rPr>
          <w:rFonts w:ascii="Times New Roman" w:hAnsi="Times New Roman"/>
          <w:bCs/>
          <w:sz w:val="24"/>
          <w:szCs w:val="24"/>
        </w:rPr>
        <w:t>provision of</w:t>
      </w:r>
      <w:r w:rsidR="009E4ED8" w:rsidRPr="000E0CA0">
        <w:rPr>
          <w:rFonts w:ascii="Times New Roman" w:hAnsi="Times New Roman"/>
          <w:bCs/>
          <w:sz w:val="24"/>
          <w:szCs w:val="24"/>
        </w:rPr>
        <w:t xml:space="preserve"> prior notic</w:t>
      </w:r>
      <w:r w:rsidR="00F1025A" w:rsidRPr="000E0CA0">
        <w:rPr>
          <w:rFonts w:ascii="Times New Roman" w:hAnsi="Times New Roman"/>
          <w:bCs/>
          <w:sz w:val="24"/>
          <w:szCs w:val="24"/>
        </w:rPr>
        <w:t>e</w:t>
      </w:r>
      <w:r w:rsidR="009E4ED8" w:rsidRPr="000E0CA0">
        <w:rPr>
          <w:rFonts w:ascii="Times New Roman" w:hAnsi="Times New Roman"/>
          <w:bCs/>
          <w:sz w:val="24"/>
          <w:szCs w:val="24"/>
        </w:rPr>
        <w:t xml:space="preserve"> of dispatch from th</w:t>
      </w:r>
      <w:r w:rsidR="00F1025A" w:rsidRPr="000E0CA0">
        <w:rPr>
          <w:rFonts w:ascii="Times New Roman" w:hAnsi="Times New Roman"/>
          <w:bCs/>
          <w:sz w:val="24"/>
          <w:szCs w:val="24"/>
        </w:rPr>
        <w:t>a</w:t>
      </w:r>
      <w:r w:rsidR="009E4ED8" w:rsidRPr="000E0CA0">
        <w:rPr>
          <w:rFonts w:ascii="Times New Roman" w:hAnsi="Times New Roman"/>
          <w:bCs/>
          <w:sz w:val="24"/>
          <w:szCs w:val="24"/>
        </w:rPr>
        <w:t xml:space="preserve">t state.  </w:t>
      </w:r>
      <w:r w:rsidRPr="000E0CA0">
        <w:rPr>
          <w:rFonts w:ascii="Times New Roman" w:hAnsi="Times New Roman"/>
          <w:bCs/>
          <w:sz w:val="24"/>
          <w:szCs w:val="24"/>
        </w:rPr>
        <w:t xml:space="preserve">And this </w:t>
      </w:r>
      <w:r w:rsidR="004B6B77" w:rsidRPr="000E0CA0">
        <w:rPr>
          <w:rFonts w:ascii="Times New Roman" w:hAnsi="Times New Roman"/>
          <w:bCs/>
          <w:sz w:val="24"/>
          <w:szCs w:val="24"/>
        </w:rPr>
        <w:t xml:space="preserve">remains so </w:t>
      </w:r>
      <w:r w:rsidRPr="000E0CA0">
        <w:rPr>
          <w:rFonts w:ascii="Times New Roman" w:hAnsi="Times New Roman"/>
          <w:bCs/>
          <w:sz w:val="24"/>
          <w:szCs w:val="24"/>
        </w:rPr>
        <w:t>e</w:t>
      </w:r>
      <w:r w:rsidR="009E4ED8" w:rsidRPr="000E0CA0">
        <w:rPr>
          <w:rFonts w:ascii="Times New Roman" w:hAnsi="Times New Roman"/>
          <w:bCs/>
          <w:sz w:val="24"/>
          <w:szCs w:val="24"/>
        </w:rPr>
        <w:t xml:space="preserve">ven </w:t>
      </w:r>
      <w:r w:rsidRPr="000E0CA0">
        <w:rPr>
          <w:rFonts w:ascii="Times New Roman" w:hAnsi="Times New Roman"/>
          <w:bCs/>
          <w:sz w:val="24"/>
          <w:szCs w:val="24"/>
        </w:rPr>
        <w:t xml:space="preserve">where it </w:t>
      </w:r>
      <w:r w:rsidR="009E4ED8" w:rsidRPr="000E0CA0">
        <w:rPr>
          <w:rFonts w:ascii="Times New Roman" w:hAnsi="Times New Roman"/>
          <w:bCs/>
          <w:sz w:val="24"/>
          <w:szCs w:val="24"/>
        </w:rPr>
        <w:t>is predictable th</w:t>
      </w:r>
      <w:r w:rsidR="00F1025A" w:rsidRPr="000E0CA0">
        <w:rPr>
          <w:rFonts w:ascii="Times New Roman" w:hAnsi="Times New Roman"/>
          <w:bCs/>
          <w:sz w:val="24"/>
          <w:szCs w:val="24"/>
        </w:rPr>
        <w:t>a</w:t>
      </w:r>
      <w:r w:rsidR="009E4ED8" w:rsidRPr="000E0CA0">
        <w:rPr>
          <w:rFonts w:ascii="Times New Roman" w:hAnsi="Times New Roman"/>
          <w:bCs/>
          <w:sz w:val="24"/>
          <w:szCs w:val="24"/>
        </w:rPr>
        <w:t xml:space="preserve">t the authority </w:t>
      </w:r>
      <w:r w:rsidR="00F1025A" w:rsidRPr="000E0CA0">
        <w:rPr>
          <w:rFonts w:ascii="Times New Roman" w:hAnsi="Times New Roman"/>
          <w:bCs/>
          <w:sz w:val="24"/>
          <w:szCs w:val="24"/>
        </w:rPr>
        <w:t xml:space="preserve">will grant </w:t>
      </w:r>
      <w:r w:rsidRPr="000E0CA0">
        <w:rPr>
          <w:rFonts w:ascii="Times New Roman" w:hAnsi="Times New Roman"/>
          <w:bCs/>
          <w:sz w:val="24"/>
          <w:szCs w:val="24"/>
        </w:rPr>
        <w:t xml:space="preserve">the </w:t>
      </w:r>
      <w:r w:rsidR="00F1025A" w:rsidRPr="000E0CA0">
        <w:rPr>
          <w:rFonts w:ascii="Times New Roman" w:hAnsi="Times New Roman"/>
          <w:bCs/>
          <w:sz w:val="24"/>
          <w:szCs w:val="24"/>
        </w:rPr>
        <w:t>licence</w:t>
      </w:r>
      <w:r w:rsidRPr="000E0CA0">
        <w:rPr>
          <w:rFonts w:ascii="Times New Roman" w:hAnsi="Times New Roman"/>
          <w:bCs/>
          <w:sz w:val="24"/>
          <w:szCs w:val="24"/>
        </w:rPr>
        <w:t xml:space="preserve"> sought</w:t>
      </w:r>
      <w:r w:rsidR="00F1025A" w:rsidRPr="000E0CA0">
        <w:rPr>
          <w:rFonts w:ascii="Times New Roman" w:hAnsi="Times New Roman"/>
          <w:bCs/>
          <w:sz w:val="24"/>
          <w:szCs w:val="24"/>
        </w:rPr>
        <w:t xml:space="preserve">, </w:t>
      </w:r>
      <w:r w:rsidRPr="000E0CA0">
        <w:rPr>
          <w:rFonts w:ascii="Times New Roman" w:hAnsi="Times New Roman"/>
          <w:bCs/>
          <w:sz w:val="24"/>
          <w:szCs w:val="24"/>
        </w:rPr>
        <w:t xml:space="preserve">whether </w:t>
      </w:r>
      <w:r w:rsidR="00F1025A" w:rsidRPr="000E0CA0">
        <w:rPr>
          <w:rFonts w:ascii="Times New Roman" w:hAnsi="Times New Roman"/>
          <w:bCs/>
          <w:sz w:val="24"/>
          <w:szCs w:val="24"/>
        </w:rPr>
        <w:t>as a formality or otherwise</w:t>
      </w:r>
      <w:r w:rsidRPr="000E0CA0">
        <w:rPr>
          <w:rFonts w:ascii="Times New Roman" w:hAnsi="Times New Roman"/>
          <w:bCs/>
          <w:sz w:val="24"/>
          <w:szCs w:val="24"/>
        </w:rPr>
        <w:t xml:space="preserve">. In </w:t>
      </w:r>
      <w:r w:rsidRPr="000E0CA0">
        <w:rPr>
          <w:rFonts w:ascii="Times New Roman" w:hAnsi="Times New Roman"/>
          <w:bCs/>
          <w:sz w:val="24"/>
          <w:szCs w:val="24"/>
          <w:u w:val="single"/>
        </w:rPr>
        <w:t>all</w:t>
      </w:r>
      <w:r w:rsidRPr="000E0CA0">
        <w:rPr>
          <w:rFonts w:ascii="Times New Roman" w:hAnsi="Times New Roman"/>
          <w:bCs/>
          <w:sz w:val="24"/>
          <w:szCs w:val="24"/>
        </w:rPr>
        <w:t xml:space="preserve"> cases the</w:t>
      </w:r>
      <w:r w:rsidR="00F1025A" w:rsidRPr="000E0CA0">
        <w:rPr>
          <w:rFonts w:ascii="Times New Roman" w:hAnsi="Times New Roman"/>
          <w:bCs/>
          <w:sz w:val="24"/>
          <w:szCs w:val="24"/>
        </w:rPr>
        <w:t xml:space="preserve"> state is entitled to apply a system of prophylactic, advance, verification.  Otherwise no state could prevent whole</w:t>
      </w:r>
      <w:r w:rsidRPr="000E0CA0">
        <w:rPr>
          <w:rFonts w:ascii="Times New Roman" w:hAnsi="Times New Roman"/>
          <w:bCs/>
          <w:sz w:val="24"/>
          <w:szCs w:val="24"/>
        </w:rPr>
        <w:t>sale</w:t>
      </w:r>
      <w:r w:rsidR="00F1025A" w:rsidRPr="000E0CA0">
        <w:rPr>
          <w:rFonts w:ascii="Times New Roman" w:hAnsi="Times New Roman"/>
          <w:bCs/>
          <w:sz w:val="24"/>
          <w:szCs w:val="24"/>
        </w:rPr>
        <w:t xml:space="preserve"> avoidance </w:t>
      </w:r>
      <w:r w:rsidR="004B6B77" w:rsidRPr="000E0CA0">
        <w:rPr>
          <w:rFonts w:ascii="Times New Roman" w:hAnsi="Times New Roman"/>
          <w:bCs/>
          <w:sz w:val="24"/>
          <w:szCs w:val="24"/>
        </w:rPr>
        <w:t xml:space="preserve">of the system </w:t>
      </w:r>
      <w:r w:rsidR="00F1025A" w:rsidRPr="000E0CA0">
        <w:rPr>
          <w:rFonts w:ascii="Times New Roman" w:hAnsi="Times New Roman"/>
          <w:bCs/>
          <w:sz w:val="24"/>
          <w:szCs w:val="24"/>
        </w:rPr>
        <w:t xml:space="preserve">to the obvious detriment </w:t>
      </w:r>
      <w:r w:rsidR="00CD5BD8">
        <w:rPr>
          <w:rFonts w:ascii="Times New Roman" w:hAnsi="Times New Roman"/>
          <w:bCs/>
          <w:sz w:val="24"/>
          <w:szCs w:val="24"/>
        </w:rPr>
        <w:t xml:space="preserve">of its </w:t>
      </w:r>
      <w:r w:rsidR="00F1025A" w:rsidRPr="000E0CA0">
        <w:rPr>
          <w:rFonts w:ascii="Times New Roman" w:hAnsi="Times New Roman"/>
          <w:bCs/>
          <w:sz w:val="24"/>
          <w:szCs w:val="24"/>
        </w:rPr>
        <w:t>national culture</w:t>
      </w:r>
      <w:r w:rsidRPr="000E0CA0">
        <w:rPr>
          <w:rFonts w:ascii="Times New Roman" w:hAnsi="Times New Roman"/>
          <w:bCs/>
          <w:sz w:val="24"/>
          <w:szCs w:val="24"/>
        </w:rPr>
        <w:t xml:space="preserve">. </w:t>
      </w:r>
      <w:r w:rsidR="004B6B77" w:rsidRPr="000E0CA0">
        <w:rPr>
          <w:rFonts w:ascii="Times New Roman" w:hAnsi="Times New Roman"/>
          <w:bCs/>
          <w:sz w:val="24"/>
          <w:szCs w:val="24"/>
        </w:rPr>
        <w:t xml:space="preserve">Therefore the argument (premised as it is upon the suggestion in the expert report that the authorities would be bound to grant a new licence) that in such cases Italy has no right to operate a verification procedure, involving prior notice, simply misses the point.  Italy is always entitled to verify that a putative exporter is </w:t>
      </w:r>
      <w:r w:rsidR="00454194" w:rsidRPr="000E0CA0">
        <w:rPr>
          <w:rFonts w:ascii="Times New Roman" w:hAnsi="Times New Roman"/>
          <w:bCs/>
          <w:sz w:val="24"/>
          <w:szCs w:val="24"/>
        </w:rPr>
        <w:t xml:space="preserve">properly </w:t>
      </w:r>
      <w:r w:rsidR="004B6B77" w:rsidRPr="000E0CA0">
        <w:rPr>
          <w:rFonts w:ascii="Times New Roman" w:hAnsi="Times New Roman"/>
          <w:bCs/>
          <w:sz w:val="24"/>
          <w:szCs w:val="24"/>
        </w:rPr>
        <w:t xml:space="preserve">entitled to dispatch the item from Italy and onto the wider international market. </w:t>
      </w:r>
    </w:p>
    <w:p w14:paraId="5C592B3C" w14:textId="77777777" w:rsidR="004B6B77" w:rsidRPr="000E0CA0" w:rsidRDefault="004B6B77" w:rsidP="002D37BA">
      <w:pPr>
        <w:pStyle w:val="ListParagraph"/>
        <w:spacing w:line="240" w:lineRule="auto"/>
        <w:rPr>
          <w:rFonts w:ascii="Times New Roman" w:hAnsi="Times New Roman"/>
          <w:bCs/>
          <w:sz w:val="24"/>
          <w:szCs w:val="24"/>
        </w:rPr>
      </w:pPr>
    </w:p>
    <w:p w14:paraId="1EE4F8AE" w14:textId="65615E93" w:rsidR="00C52CE0" w:rsidRPr="00CD5BD8" w:rsidRDefault="006B23CB" w:rsidP="002D37BA">
      <w:pPr>
        <w:pStyle w:val="ListParagraph"/>
        <w:numPr>
          <w:ilvl w:val="0"/>
          <w:numId w:val="13"/>
        </w:numPr>
        <w:tabs>
          <w:tab w:val="left" w:pos="709"/>
        </w:tabs>
        <w:suppressAutoHyphens/>
        <w:spacing w:before="240" w:after="240" w:line="240" w:lineRule="auto"/>
        <w:ind w:hanging="720"/>
        <w:jc w:val="both"/>
        <w:outlineLvl w:val="0"/>
        <w:rPr>
          <w:rFonts w:ascii="Times New Roman" w:hAnsi="Times New Roman"/>
          <w:bCs/>
          <w:sz w:val="24"/>
          <w:szCs w:val="24"/>
        </w:rPr>
      </w:pPr>
      <w:bookmarkStart w:id="6" w:name="_Hlk32061304"/>
      <w:r>
        <w:rPr>
          <w:rFonts w:ascii="Times New Roman" w:hAnsi="Times New Roman"/>
          <w:bCs/>
          <w:sz w:val="24"/>
          <w:szCs w:val="24"/>
        </w:rPr>
        <w:t xml:space="preserve">Third, </w:t>
      </w:r>
      <w:r w:rsidR="0048428D" w:rsidRPr="000E0CA0">
        <w:rPr>
          <w:rFonts w:ascii="Times New Roman" w:hAnsi="Times New Roman"/>
          <w:bCs/>
          <w:sz w:val="24"/>
          <w:szCs w:val="24"/>
        </w:rPr>
        <w:t>I agree with the</w:t>
      </w:r>
      <w:r w:rsidR="00454194" w:rsidRPr="000E0CA0">
        <w:rPr>
          <w:rFonts w:ascii="Times New Roman" w:hAnsi="Times New Roman"/>
          <w:bCs/>
          <w:sz w:val="24"/>
          <w:szCs w:val="24"/>
        </w:rPr>
        <w:t xml:space="preserve"> J</w:t>
      </w:r>
      <w:r w:rsidR="0048428D" w:rsidRPr="000E0CA0">
        <w:rPr>
          <w:rFonts w:ascii="Times New Roman" w:hAnsi="Times New Roman"/>
          <w:bCs/>
          <w:sz w:val="24"/>
          <w:szCs w:val="24"/>
        </w:rPr>
        <w:t xml:space="preserve">udge that this conclusion is a matter of intuitive common sense which does not depend upon evidence. </w:t>
      </w:r>
      <w:r w:rsidR="000F4609" w:rsidRPr="000E0CA0">
        <w:rPr>
          <w:rFonts w:ascii="Times New Roman" w:hAnsi="Times New Roman"/>
          <w:bCs/>
          <w:sz w:val="24"/>
          <w:szCs w:val="24"/>
        </w:rPr>
        <w:t xml:space="preserve">But insofar as evidence is relevant in </w:t>
      </w:r>
      <w:bookmarkEnd w:id="6"/>
      <w:r w:rsidR="00C52CE0" w:rsidRPr="000E0CA0">
        <w:rPr>
          <w:rFonts w:ascii="Times New Roman" w:hAnsi="Times New Roman"/>
          <w:bCs/>
          <w:sz w:val="24"/>
          <w:szCs w:val="24"/>
        </w:rPr>
        <w:t>September 2019 the European Commission issued a report</w:t>
      </w:r>
      <w:r w:rsidR="00C52CE0" w:rsidRPr="000E0CA0">
        <w:rPr>
          <w:rStyle w:val="FootnoteReference"/>
          <w:rFonts w:ascii="Times New Roman" w:hAnsi="Times New Roman"/>
          <w:bCs/>
          <w:sz w:val="24"/>
          <w:szCs w:val="24"/>
        </w:rPr>
        <w:footnoteReference w:id="10"/>
      </w:r>
      <w:r w:rsidR="00C52CE0" w:rsidRPr="000E0CA0">
        <w:rPr>
          <w:rFonts w:ascii="Times New Roman" w:hAnsi="Times New Roman"/>
          <w:bCs/>
          <w:sz w:val="24"/>
          <w:szCs w:val="24"/>
        </w:rPr>
        <w:t xml:space="preserve"> on the implementation of the relevant EU legislation governing exports and the return of cultural items unlawfully removed from Member States (“</w:t>
      </w:r>
      <w:r w:rsidR="00C52CE0" w:rsidRPr="000E0CA0">
        <w:rPr>
          <w:rFonts w:ascii="Times New Roman" w:hAnsi="Times New Roman"/>
          <w:bCs/>
          <w:i/>
          <w:iCs/>
          <w:sz w:val="24"/>
          <w:szCs w:val="24"/>
        </w:rPr>
        <w:t>the Commission 2019 Report</w:t>
      </w:r>
      <w:r w:rsidR="00C52CE0" w:rsidRPr="000E0CA0">
        <w:rPr>
          <w:rFonts w:ascii="Times New Roman" w:hAnsi="Times New Roman"/>
          <w:bCs/>
          <w:sz w:val="24"/>
          <w:szCs w:val="24"/>
        </w:rPr>
        <w:t xml:space="preserve">”). </w:t>
      </w:r>
      <w:r w:rsidR="001E12A4" w:rsidRPr="000E0CA0">
        <w:rPr>
          <w:rFonts w:ascii="Times New Roman" w:hAnsi="Times New Roman"/>
          <w:bCs/>
          <w:sz w:val="24"/>
          <w:szCs w:val="24"/>
        </w:rPr>
        <w:t>This was placed before the Court by the Appellant.  It was not said that we could not take this new evidence into account as part of a proportionality assessment</w:t>
      </w:r>
      <w:r>
        <w:rPr>
          <w:rFonts w:ascii="Times New Roman" w:hAnsi="Times New Roman"/>
          <w:bCs/>
          <w:sz w:val="24"/>
          <w:szCs w:val="24"/>
        </w:rPr>
        <w:t xml:space="preserve"> and in our analysis of whether the Judge erred</w:t>
      </w:r>
      <w:r w:rsidR="001E12A4" w:rsidRPr="000E0CA0">
        <w:rPr>
          <w:rFonts w:ascii="Times New Roman" w:hAnsi="Times New Roman"/>
          <w:bCs/>
          <w:sz w:val="24"/>
          <w:szCs w:val="24"/>
        </w:rPr>
        <w:t>: see e</w:t>
      </w:r>
      <w:r>
        <w:rPr>
          <w:rFonts w:ascii="Times New Roman" w:hAnsi="Times New Roman"/>
          <w:bCs/>
          <w:sz w:val="24"/>
          <w:szCs w:val="24"/>
        </w:rPr>
        <w:t>.</w:t>
      </w:r>
      <w:r w:rsidR="001E12A4" w:rsidRPr="000E0CA0">
        <w:rPr>
          <w:rFonts w:ascii="Times New Roman" w:hAnsi="Times New Roman"/>
          <w:bCs/>
          <w:sz w:val="24"/>
          <w:szCs w:val="24"/>
        </w:rPr>
        <w:t>g</w:t>
      </w:r>
      <w:r>
        <w:rPr>
          <w:rFonts w:ascii="Times New Roman" w:hAnsi="Times New Roman"/>
          <w:bCs/>
          <w:sz w:val="24"/>
          <w:szCs w:val="24"/>
        </w:rPr>
        <w:t>.</w:t>
      </w:r>
      <w:r w:rsidR="001E12A4" w:rsidRPr="000E0CA0">
        <w:rPr>
          <w:rFonts w:ascii="Times New Roman" w:hAnsi="Times New Roman"/>
          <w:bCs/>
          <w:sz w:val="24"/>
          <w:szCs w:val="24"/>
        </w:rPr>
        <w:t xml:space="preserve"> </w:t>
      </w:r>
      <w:r w:rsidR="00B969EA" w:rsidRPr="000E0CA0">
        <w:rPr>
          <w:rFonts w:ascii="Times New Roman" w:hAnsi="Times New Roman"/>
          <w:i/>
          <w:iCs/>
          <w:sz w:val="24"/>
          <w:szCs w:val="24"/>
        </w:rPr>
        <w:t xml:space="preserve">Scotch Whisky Association v Lord Advocate </w:t>
      </w:r>
      <w:r w:rsidR="00B969EA" w:rsidRPr="000E0CA0">
        <w:rPr>
          <w:rFonts w:ascii="Times New Roman" w:hAnsi="Times New Roman"/>
          <w:sz w:val="24"/>
          <w:szCs w:val="24"/>
        </w:rPr>
        <w:t>[2017] UKSC 76 at paragraph [17</w:t>
      </w:r>
      <w:r w:rsidR="00CD5BD8">
        <w:rPr>
          <w:rFonts w:ascii="Times New Roman" w:hAnsi="Times New Roman"/>
          <w:sz w:val="24"/>
          <w:szCs w:val="24"/>
        </w:rPr>
        <w:t>].</w:t>
      </w:r>
    </w:p>
    <w:p w14:paraId="5124DB3D" w14:textId="77777777" w:rsidR="00CD5BD8" w:rsidRPr="000E0CA0" w:rsidRDefault="00CD5BD8" w:rsidP="002D37BA">
      <w:pPr>
        <w:pStyle w:val="ListParagraph"/>
        <w:suppressAutoHyphens/>
        <w:spacing w:before="240" w:after="240" w:line="240" w:lineRule="auto"/>
        <w:jc w:val="both"/>
        <w:outlineLvl w:val="0"/>
        <w:rPr>
          <w:rFonts w:ascii="Times New Roman" w:hAnsi="Times New Roman"/>
          <w:bCs/>
          <w:sz w:val="24"/>
          <w:szCs w:val="24"/>
        </w:rPr>
      </w:pPr>
    </w:p>
    <w:p w14:paraId="0DFB9D90" w14:textId="77777777" w:rsidR="00994F09" w:rsidRPr="000E0CA0" w:rsidRDefault="00994F09" w:rsidP="002D37BA">
      <w:pPr>
        <w:pStyle w:val="ListParagraph"/>
        <w:numPr>
          <w:ilvl w:val="0"/>
          <w:numId w:val="13"/>
        </w:numPr>
        <w:tabs>
          <w:tab w:val="left" w:pos="709"/>
        </w:tabs>
        <w:spacing w:after="0" w:line="240" w:lineRule="auto"/>
        <w:ind w:hanging="720"/>
        <w:jc w:val="both"/>
        <w:rPr>
          <w:rFonts w:ascii="Times New Roman" w:hAnsi="Times New Roman"/>
          <w:bCs/>
          <w:sz w:val="24"/>
          <w:szCs w:val="24"/>
        </w:rPr>
      </w:pPr>
      <w:r w:rsidRPr="000E0CA0">
        <w:rPr>
          <w:rFonts w:ascii="Times New Roman" w:hAnsi="Times New Roman"/>
          <w:bCs/>
          <w:sz w:val="24"/>
          <w:szCs w:val="24"/>
        </w:rPr>
        <w:t xml:space="preserve">The report reinforces the importance of measures designed to ensure close supervision of exports.   In paragraph [4.1] the Commission states: </w:t>
      </w:r>
    </w:p>
    <w:p w14:paraId="08D84E18" w14:textId="77777777" w:rsidR="00994F09" w:rsidRPr="000E0CA0" w:rsidRDefault="00994F09" w:rsidP="002D37BA">
      <w:pPr>
        <w:pStyle w:val="Quote"/>
        <w:rPr>
          <w:bCs/>
          <w:szCs w:val="24"/>
        </w:rPr>
      </w:pPr>
      <w:r w:rsidRPr="000E0CA0">
        <w:rPr>
          <w:bCs/>
          <w:szCs w:val="24"/>
        </w:rPr>
        <w:t xml:space="preserve">“The Regulation lays down uniform rules for the control of cultural goods before their export from the Union's customs territory in order, on the one hand, to maintain free movement within the internal market, and on the other, to protect the national treasures of the Member States. Overall, Member States consider that the Regulation has achieved these objectives. However, areas for improvement have also been identified. </w:t>
      </w:r>
    </w:p>
    <w:p w14:paraId="6D38ABB5" w14:textId="77777777" w:rsidR="00777D53" w:rsidRPr="000E0CA0" w:rsidRDefault="00994F09" w:rsidP="002D37BA">
      <w:pPr>
        <w:pStyle w:val="Quote"/>
        <w:rPr>
          <w:bCs/>
          <w:szCs w:val="24"/>
        </w:rPr>
      </w:pPr>
      <w:r w:rsidRPr="000E0CA0">
        <w:rPr>
          <w:bCs/>
          <w:szCs w:val="24"/>
        </w:rPr>
        <w:t>In particular regarding the fight against the illicit trade in cultural goods, the Regulation has performed quite well. Most Member States consider its licencing system a very important instrument to ensure the legality of trade with third countries, especially when it comes to cultural goods which require an export licence regardless of their value (e.g. archaeological                                                      objects, parts of monuments, etc.), whereas for other categories of cultural goods there have been cases where the object was deliberately undervalued to be exported without licence.</w:t>
      </w:r>
    </w:p>
    <w:p w14:paraId="3220396A" w14:textId="77777777" w:rsidR="00777D53" w:rsidRPr="000E0CA0" w:rsidRDefault="00777D53" w:rsidP="002D37BA">
      <w:pPr>
        <w:pStyle w:val="Quote"/>
        <w:rPr>
          <w:bCs/>
          <w:szCs w:val="24"/>
        </w:rPr>
      </w:pPr>
      <w:r w:rsidRPr="000E0CA0">
        <w:rPr>
          <w:bCs/>
          <w:szCs w:val="24"/>
        </w:rPr>
        <w:t>…</w:t>
      </w:r>
    </w:p>
    <w:p w14:paraId="19475853" w14:textId="77777777" w:rsidR="00994F09" w:rsidRPr="000E0CA0" w:rsidRDefault="00777D53" w:rsidP="002D37BA">
      <w:pPr>
        <w:pStyle w:val="Quote"/>
        <w:rPr>
          <w:bCs/>
          <w:szCs w:val="24"/>
        </w:rPr>
      </w:pPr>
      <w:r w:rsidRPr="000E0CA0">
        <w:rPr>
          <w:szCs w:val="24"/>
        </w:rPr>
        <w:t>Other means identified by Member States to improve the overall performance of the Regulation include guidance for understanding the terms 'definitively and lawfully located' that determine the Member State which is competent to issue the export licence. This would prevent unscrupulous operators from temporarily moving a cultural good to a different Member State only for the purposes of applying for a licence in a Member State other than the one which designates and protects the object as a national treasure.”</w:t>
      </w:r>
    </w:p>
    <w:p w14:paraId="5C241945" w14:textId="1D70B268" w:rsidR="00595B47" w:rsidRDefault="00777D53" w:rsidP="002D37BA">
      <w:pPr>
        <w:pStyle w:val="ListParagraph"/>
        <w:numPr>
          <w:ilvl w:val="0"/>
          <w:numId w:val="13"/>
        </w:numPr>
        <w:tabs>
          <w:tab w:val="left" w:pos="709"/>
        </w:tabs>
        <w:spacing w:after="0" w:line="240" w:lineRule="auto"/>
        <w:ind w:hanging="720"/>
        <w:jc w:val="both"/>
        <w:rPr>
          <w:rFonts w:ascii="Times New Roman" w:hAnsi="Times New Roman"/>
          <w:bCs/>
          <w:sz w:val="24"/>
          <w:szCs w:val="24"/>
        </w:rPr>
      </w:pPr>
      <w:r w:rsidRPr="00CD5BD8">
        <w:rPr>
          <w:rFonts w:ascii="Times New Roman" w:hAnsi="Times New Roman"/>
          <w:bCs/>
          <w:sz w:val="24"/>
          <w:szCs w:val="24"/>
        </w:rPr>
        <w:t xml:space="preserve">The Commission identifies two misuses of </w:t>
      </w:r>
      <w:r w:rsidR="000F4609" w:rsidRPr="00CD5BD8">
        <w:rPr>
          <w:rFonts w:ascii="Times New Roman" w:hAnsi="Times New Roman"/>
          <w:bCs/>
          <w:sz w:val="24"/>
          <w:szCs w:val="24"/>
        </w:rPr>
        <w:t xml:space="preserve">licensing systems </w:t>
      </w:r>
      <w:r w:rsidRPr="00CD5BD8">
        <w:rPr>
          <w:rFonts w:ascii="Times New Roman" w:hAnsi="Times New Roman"/>
          <w:bCs/>
          <w:sz w:val="24"/>
          <w:szCs w:val="24"/>
        </w:rPr>
        <w:t>which resonate in this case.  First</w:t>
      </w:r>
      <w:r w:rsidR="000F4609" w:rsidRPr="00CD5BD8">
        <w:rPr>
          <w:rFonts w:ascii="Times New Roman" w:hAnsi="Times New Roman"/>
          <w:bCs/>
          <w:sz w:val="24"/>
          <w:szCs w:val="24"/>
        </w:rPr>
        <w:t>,</w:t>
      </w:r>
      <w:r w:rsidRPr="00CD5BD8">
        <w:rPr>
          <w:rFonts w:ascii="Times New Roman" w:hAnsi="Times New Roman"/>
          <w:bCs/>
          <w:sz w:val="24"/>
          <w:szCs w:val="24"/>
        </w:rPr>
        <w:t xml:space="preserve"> there is the deliberate under</w:t>
      </w:r>
      <w:r w:rsidR="00C95FA2" w:rsidRPr="00CD5BD8">
        <w:rPr>
          <w:rFonts w:ascii="Times New Roman" w:hAnsi="Times New Roman"/>
          <w:bCs/>
          <w:sz w:val="24"/>
          <w:szCs w:val="24"/>
        </w:rPr>
        <w:t>-</w:t>
      </w:r>
      <w:r w:rsidRPr="00CD5BD8">
        <w:rPr>
          <w:rFonts w:ascii="Times New Roman" w:hAnsi="Times New Roman"/>
          <w:bCs/>
          <w:sz w:val="24"/>
          <w:szCs w:val="24"/>
        </w:rPr>
        <w:t>estimation of value of</w:t>
      </w:r>
      <w:r w:rsidR="00C95FA2" w:rsidRPr="00CD5BD8">
        <w:rPr>
          <w:rFonts w:ascii="Times New Roman" w:hAnsi="Times New Roman"/>
          <w:bCs/>
          <w:sz w:val="24"/>
          <w:szCs w:val="24"/>
        </w:rPr>
        <w:t xml:space="preserve"> cultural good</w:t>
      </w:r>
      <w:r w:rsidR="00D22E8C">
        <w:rPr>
          <w:rFonts w:ascii="Times New Roman" w:hAnsi="Times New Roman"/>
          <w:bCs/>
          <w:sz w:val="24"/>
          <w:szCs w:val="24"/>
        </w:rPr>
        <w:t>s</w:t>
      </w:r>
      <w:r w:rsidR="00C95FA2" w:rsidRPr="00CD5BD8">
        <w:rPr>
          <w:rFonts w:ascii="Times New Roman" w:hAnsi="Times New Roman"/>
          <w:bCs/>
          <w:sz w:val="24"/>
          <w:szCs w:val="24"/>
        </w:rPr>
        <w:t xml:space="preserve"> in </w:t>
      </w:r>
      <w:r w:rsidRPr="00CD5BD8">
        <w:rPr>
          <w:rFonts w:ascii="Times New Roman" w:hAnsi="Times New Roman"/>
          <w:bCs/>
          <w:sz w:val="24"/>
          <w:szCs w:val="24"/>
        </w:rPr>
        <w:t>export application</w:t>
      </w:r>
      <w:r w:rsidR="00C95FA2" w:rsidRPr="00CD5BD8">
        <w:rPr>
          <w:rFonts w:ascii="Times New Roman" w:hAnsi="Times New Roman"/>
          <w:bCs/>
          <w:sz w:val="24"/>
          <w:szCs w:val="24"/>
        </w:rPr>
        <w:t>s</w:t>
      </w:r>
      <w:r w:rsidRPr="00CD5BD8">
        <w:rPr>
          <w:rFonts w:ascii="Times New Roman" w:hAnsi="Times New Roman"/>
          <w:bCs/>
          <w:sz w:val="24"/>
          <w:szCs w:val="24"/>
        </w:rPr>
        <w:t xml:space="preserve"> with a view to diverting attention </w:t>
      </w:r>
      <w:r w:rsidR="00454194" w:rsidRPr="00CD5BD8">
        <w:rPr>
          <w:rFonts w:ascii="Times New Roman" w:hAnsi="Times New Roman"/>
          <w:bCs/>
          <w:sz w:val="24"/>
          <w:szCs w:val="24"/>
        </w:rPr>
        <w:t>from true</w:t>
      </w:r>
      <w:r w:rsidRPr="00CD5BD8">
        <w:rPr>
          <w:rFonts w:ascii="Times New Roman" w:hAnsi="Times New Roman"/>
          <w:bCs/>
          <w:sz w:val="24"/>
          <w:szCs w:val="24"/>
        </w:rPr>
        <w:t xml:space="preserve"> value and true cultural significance.  In this case there is some evidence of such a practice – see paragraph</w:t>
      </w:r>
      <w:r w:rsidR="00CD5BD8" w:rsidRPr="00CD5BD8">
        <w:rPr>
          <w:rFonts w:ascii="Times New Roman" w:hAnsi="Times New Roman"/>
          <w:bCs/>
          <w:sz w:val="24"/>
          <w:szCs w:val="24"/>
        </w:rPr>
        <w:t>s</w:t>
      </w:r>
      <w:r w:rsidRPr="00CD5BD8">
        <w:rPr>
          <w:rFonts w:ascii="Times New Roman" w:hAnsi="Times New Roman"/>
          <w:bCs/>
          <w:sz w:val="24"/>
          <w:szCs w:val="24"/>
        </w:rPr>
        <w:t xml:space="preserve"> [</w:t>
      </w:r>
      <w:r w:rsidR="00CD5BD8" w:rsidRPr="00CD5BD8">
        <w:rPr>
          <w:rFonts w:ascii="Times New Roman" w:hAnsi="Times New Roman"/>
          <w:bCs/>
          <w:sz w:val="24"/>
          <w:szCs w:val="24"/>
        </w:rPr>
        <w:t xml:space="preserve">19] – [21] </w:t>
      </w:r>
      <w:r w:rsidRPr="00CD5BD8">
        <w:rPr>
          <w:rFonts w:ascii="Times New Roman" w:hAnsi="Times New Roman"/>
          <w:bCs/>
          <w:sz w:val="24"/>
          <w:szCs w:val="24"/>
        </w:rPr>
        <w:t>above.  Second, there is the situation described of “</w:t>
      </w:r>
      <w:r w:rsidRPr="00CD5BD8">
        <w:rPr>
          <w:rFonts w:ascii="Times New Roman" w:hAnsi="Times New Roman"/>
          <w:bCs/>
          <w:i/>
          <w:iCs/>
          <w:sz w:val="24"/>
          <w:szCs w:val="24"/>
        </w:rPr>
        <w:t>unscrupulous</w:t>
      </w:r>
      <w:r w:rsidRPr="00CD5BD8">
        <w:rPr>
          <w:rFonts w:ascii="Times New Roman" w:hAnsi="Times New Roman"/>
          <w:bCs/>
          <w:sz w:val="24"/>
          <w:szCs w:val="24"/>
        </w:rPr>
        <w:t xml:space="preserve">” traders misusing the temporary licence regime </w:t>
      </w:r>
      <w:r w:rsidR="000F4609" w:rsidRPr="00CD5BD8">
        <w:rPr>
          <w:rFonts w:ascii="Times New Roman" w:hAnsi="Times New Roman"/>
          <w:bCs/>
          <w:sz w:val="24"/>
          <w:szCs w:val="24"/>
        </w:rPr>
        <w:t xml:space="preserve">by obtaining </w:t>
      </w:r>
      <w:r w:rsidRPr="00CD5BD8">
        <w:rPr>
          <w:rFonts w:ascii="Times New Roman" w:hAnsi="Times New Roman"/>
          <w:bCs/>
          <w:sz w:val="24"/>
          <w:szCs w:val="24"/>
        </w:rPr>
        <w:t xml:space="preserve">consent </w:t>
      </w:r>
      <w:r w:rsidR="00454194" w:rsidRPr="00CD5BD8">
        <w:rPr>
          <w:rFonts w:ascii="Times New Roman" w:hAnsi="Times New Roman"/>
          <w:bCs/>
          <w:sz w:val="24"/>
          <w:szCs w:val="24"/>
        </w:rPr>
        <w:t xml:space="preserve">temporarily </w:t>
      </w:r>
      <w:r w:rsidRPr="00CD5BD8">
        <w:rPr>
          <w:rFonts w:ascii="Times New Roman" w:hAnsi="Times New Roman"/>
          <w:bCs/>
          <w:sz w:val="24"/>
          <w:szCs w:val="24"/>
        </w:rPr>
        <w:t xml:space="preserve">to dispatch </w:t>
      </w:r>
      <w:r w:rsidR="000F4609" w:rsidRPr="00CD5BD8">
        <w:rPr>
          <w:rFonts w:ascii="Times New Roman" w:hAnsi="Times New Roman"/>
          <w:bCs/>
          <w:sz w:val="24"/>
          <w:szCs w:val="24"/>
        </w:rPr>
        <w:t xml:space="preserve">an item </w:t>
      </w:r>
      <w:r w:rsidRPr="00CD5BD8">
        <w:rPr>
          <w:rFonts w:ascii="Times New Roman" w:hAnsi="Times New Roman"/>
          <w:bCs/>
          <w:sz w:val="24"/>
          <w:szCs w:val="24"/>
        </w:rPr>
        <w:t xml:space="preserve">to another Member State </w:t>
      </w:r>
      <w:r w:rsidR="000F4609" w:rsidRPr="00CD5BD8">
        <w:rPr>
          <w:rFonts w:ascii="Times New Roman" w:hAnsi="Times New Roman"/>
          <w:bCs/>
          <w:sz w:val="24"/>
          <w:szCs w:val="24"/>
        </w:rPr>
        <w:t>and then applying to the authorities of a second Member State to obtain a full licence to export from the EU</w:t>
      </w:r>
      <w:r w:rsidR="00454194" w:rsidRPr="00CD5BD8">
        <w:rPr>
          <w:rFonts w:ascii="Times New Roman" w:hAnsi="Times New Roman"/>
          <w:bCs/>
          <w:sz w:val="24"/>
          <w:szCs w:val="24"/>
        </w:rPr>
        <w:t xml:space="preserve"> permanently</w:t>
      </w:r>
      <w:r w:rsidRPr="00CD5BD8">
        <w:rPr>
          <w:rFonts w:ascii="Times New Roman" w:hAnsi="Times New Roman"/>
          <w:bCs/>
          <w:sz w:val="24"/>
          <w:szCs w:val="24"/>
        </w:rPr>
        <w:t>.  O</w:t>
      </w:r>
      <w:r w:rsidR="00F1025A" w:rsidRPr="00CD5BD8">
        <w:rPr>
          <w:rFonts w:ascii="Times New Roman" w:hAnsi="Times New Roman"/>
          <w:bCs/>
          <w:sz w:val="24"/>
          <w:szCs w:val="24"/>
        </w:rPr>
        <w:t xml:space="preserve">nce the item has left the EU and been sold on the open market the chances of the interested state recovering the work for the benefit of </w:t>
      </w:r>
      <w:r w:rsidR="00454194" w:rsidRPr="00CD5BD8">
        <w:rPr>
          <w:rFonts w:ascii="Times New Roman" w:hAnsi="Times New Roman"/>
          <w:bCs/>
          <w:sz w:val="24"/>
          <w:szCs w:val="24"/>
        </w:rPr>
        <w:t xml:space="preserve">its citizens </w:t>
      </w:r>
      <w:r w:rsidR="0061167B" w:rsidRPr="00CD5BD8">
        <w:rPr>
          <w:rFonts w:ascii="Times New Roman" w:hAnsi="Times New Roman"/>
          <w:bCs/>
          <w:sz w:val="24"/>
          <w:szCs w:val="24"/>
        </w:rPr>
        <w:t xml:space="preserve">are </w:t>
      </w:r>
      <w:r w:rsidR="00F1025A" w:rsidRPr="00CD5BD8">
        <w:rPr>
          <w:rFonts w:ascii="Times New Roman" w:hAnsi="Times New Roman"/>
          <w:bCs/>
          <w:sz w:val="24"/>
          <w:szCs w:val="24"/>
        </w:rPr>
        <w:t xml:space="preserve">negligible. Mr O’Neill QC bridled </w:t>
      </w:r>
      <w:r w:rsidRPr="00CD5BD8">
        <w:rPr>
          <w:rFonts w:ascii="Times New Roman" w:hAnsi="Times New Roman"/>
          <w:bCs/>
          <w:sz w:val="24"/>
          <w:szCs w:val="24"/>
        </w:rPr>
        <w:t xml:space="preserve">strongly </w:t>
      </w:r>
      <w:r w:rsidR="00F1025A" w:rsidRPr="00CD5BD8">
        <w:rPr>
          <w:rFonts w:ascii="Times New Roman" w:hAnsi="Times New Roman"/>
          <w:bCs/>
          <w:sz w:val="24"/>
          <w:szCs w:val="24"/>
        </w:rPr>
        <w:t>at the suggestion that this case was comparable. In my view it is. Here Mrs Simonis did not even apply for a temporary licence.  She took matters into her own hands and removed the painting from Italy</w:t>
      </w:r>
      <w:r w:rsidR="000B4305" w:rsidRPr="00CD5BD8">
        <w:rPr>
          <w:rFonts w:ascii="Times New Roman" w:hAnsi="Times New Roman"/>
          <w:bCs/>
          <w:sz w:val="24"/>
          <w:szCs w:val="24"/>
        </w:rPr>
        <w:t xml:space="preserve">, providing notice to the Italian </w:t>
      </w:r>
      <w:r w:rsidR="00595B47" w:rsidRPr="00CD5BD8">
        <w:rPr>
          <w:rFonts w:ascii="Times New Roman" w:hAnsi="Times New Roman"/>
          <w:bCs/>
          <w:sz w:val="24"/>
          <w:szCs w:val="24"/>
        </w:rPr>
        <w:t>a</w:t>
      </w:r>
      <w:r w:rsidR="000B4305" w:rsidRPr="00CD5BD8">
        <w:rPr>
          <w:rFonts w:ascii="Times New Roman" w:hAnsi="Times New Roman"/>
          <w:bCs/>
          <w:sz w:val="24"/>
          <w:szCs w:val="24"/>
        </w:rPr>
        <w:t xml:space="preserve">uthorities after the event, as a </w:t>
      </w:r>
      <w:r w:rsidR="000B4305" w:rsidRPr="00CD5BD8">
        <w:rPr>
          <w:rFonts w:ascii="Times New Roman" w:hAnsi="Times New Roman"/>
          <w:bCs/>
          <w:i/>
          <w:iCs/>
          <w:sz w:val="24"/>
          <w:szCs w:val="24"/>
        </w:rPr>
        <w:t>fait accompl</w:t>
      </w:r>
      <w:r w:rsidR="00595B47" w:rsidRPr="00CD5BD8">
        <w:rPr>
          <w:rFonts w:ascii="Times New Roman" w:hAnsi="Times New Roman"/>
          <w:bCs/>
          <w:i/>
          <w:iCs/>
          <w:sz w:val="24"/>
          <w:szCs w:val="24"/>
        </w:rPr>
        <w:t>i</w:t>
      </w:r>
      <w:r w:rsidR="00454194" w:rsidRPr="00CD5BD8">
        <w:rPr>
          <w:rFonts w:ascii="Times New Roman" w:hAnsi="Times New Roman"/>
          <w:bCs/>
          <w:i/>
          <w:iCs/>
          <w:sz w:val="24"/>
          <w:szCs w:val="24"/>
        </w:rPr>
        <w:t xml:space="preserve">.  </w:t>
      </w:r>
      <w:r w:rsidR="00454194" w:rsidRPr="00CD5BD8">
        <w:rPr>
          <w:rFonts w:ascii="Times New Roman" w:hAnsi="Times New Roman"/>
          <w:bCs/>
          <w:sz w:val="24"/>
          <w:szCs w:val="24"/>
        </w:rPr>
        <w:t>And she</w:t>
      </w:r>
      <w:r w:rsidR="00454194" w:rsidRPr="00CD5BD8">
        <w:rPr>
          <w:rFonts w:ascii="Times New Roman" w:hAnsi="Times New Roman"/>
          <w:bCs/>
          <w:i/>
          <w:iCs/>
          <w:sz w:val="24"/>
          <w:szCs w:val="24"/>
        </w:rPr>
        <w:t xml:space="preserve"> </w:t>
      </w:r>
      <w:r w:rsidR="00F1025A" w:rsidRPr="00CD5BD8">
        <w:rPr>
          <w:rFonts w:ascii="Times New Roman" w:hAnsi="Times New Roman"/>
          <w:bCs/>
          <w:sz w:val="24"/>
          <w:szCs w:val="24"/>
        </w:rPr>
        <w:t>now seeks to compel the Arts Council to grant her a licence to dispatch the painting from the EU</w:t>
      </w:r>
      <w:r w:rsidRPr="00CD5BD8">
        <w:rPr>
          <w:rFonts w:ascii="Times New Roman" w:hAnsi="Times New Roman"/>
          <w:bCs/>
          <w:sz w:val="24"/>
          <w:szCs w:val="24"/>
        </w:rPr>
        <w:t>, notwithstanding opposition f</w:t>
      </w:r>
      <w:r w:rsidR="00CD5BD8" w:rsidRPr="00CD5BD8">
        <w:rPr>
          <w:rFonts w:ascii="Times New Roman" w:hAnsi="Times New Roman"/>
          <w:bCs/>
          <w:sz w:val="24"/>
          <w:szCs w:val="24"/>
        </w:rPr>
        <w:t xml:space="preserve">rom </w:t>
      </w:r>
      <w:r w:rsidRPr="00CD5BD8">
        <w:rPr>
          <w:rFonts w:ascii="Times New Roman" w:hAnsi="Times New Roman"/>
          <w:bCs/>
          <w:sz w:val="24"/>
          <w:szCs w:val="24"/>
        </w:rPr>
        <w:t xml:space="preserve">the state </w:t>
      </w:r>
      <w:r w:rsidR="00595B47" w:rsidRPr="00CD5BD8">
        <w:rPr>
          <w:rFonts w:ascii="Times New Roman" w:hAnsi="Times New Roman"/>
          <w:bCs/>
          <w:sz w:val="24"/>
          <w:szCs w:val="24"/>
        </w:rPr>
        <w:t xml:space="preserve">most </w:t>
      </w:r>
      <w:r w:rsidRPr="00CD5BD8">
        <w:rPr>
          <w:rFonts w:ascii="Times New Roman" w:hAnsi="Times New Roman"/>
          <w:bCs/>
          <w:sz w:val="24"/>
          <w:szCs w:val="24"/>
        </w:rPr>
        <w:t>directly interested</w:t>
      </w:r>
      <w:r w:rsidR="00F1025A" w:rsidRPr="00CD5BD8">
        <w:rPr>
          <w:rFonts w:ascii="Times New Roman" w:hAnsi="Times New Roman"/>
          <w:bCs/>
          <w:sz w:val="24"/>
          <w:szCs w:val="24"/>
        </w:rPr>
        <w:t xml:space="preserve">.  To my mind, and whatever the </w:t>
      </w:r>
      <w:r w:rsidR="000B4305" w:rsidRPr="00CD5BD8">
        <w:rPr>
          <w:rFonts w:ascii="Times New Roman" w:hAnsi="Times New Roman"/>
          <w:bCs/>
          <w:sz w:val="24"/>
          <w:szCs w:val="24"/>
        </w:rPr>
        <w:t>ultimate</w:t>
      </w:r>
      <w:r w:rsidR="00F1025A" w:rsidRPr="00CD5BD8">
        <w:rPr>
          <w:rFonts w:ascii="Times New Roman" w:hAnsi="Times New Roman"/>
          <w:bCs/>
          <w:sz w:val="24"/>
          <w:szCs w:val="24"/>
        </w:rPr>
        <w:t xml:space="preserve"> merits or otherwise of the position of Mrs Simon</w:t>
      </w:r>
      <w:r w:rsidR="00785597">
        <w:rPr>
          <w:rFonts w:ascii="Times New Roman" w:hAnsi="Times New Roman"/>
          <w:bCs/>
          <w:sz w:val="24"/>
          <w:szCs w:val="24"/>
        </w:rPr>
        <w:t>is</w:t>
      </w:r>
      <w:r w:rsidR="00F1025A" w:rsidRPr="00CD5BD8">
        <w:rPr>
          <w:rFonts w:ascii="Times New Roman" w:hAnsi="Times New Roman"/>
          <w:bCs/>
          <w:sz w:val="24"/>
          <w:szCs w:val="24"/>
        </w:rPr>
        <w:t xml:space="preserve">, the present facts are </w:t>
      </w:r>
      <w:r w:rsidR="00595B47" w:rsidRPr="00CD5BD8">
        <w:rPr>
          <w:rFonts w:ascii="Times New Roman" w:hAnsi="Times New Roman"/>
          <w:bCs/>
          <w:sz w:val="24"/>
          <w:szCs w:val="24"/>
        </w:rPr>
        <w:t xml:space="preserve">at least </w:t>
      </w:r>
      <w:r w:rsidR="00F1025A" w:rsidRPr="00CD5BD8">
        <w:rPr>
          <w:rFonts w:ascii="Times New Roman" w:hAnsi="Times New Roman"/>
          <w:bCs/>
          <w:sz w:val="24"/>
          <w:szCs w:val="24"/>
        </w:rPr>
        <w:t xml:space="preserve">a paradigm </w:t>
      </w:r>
      <w:r w:rsidR="000B4305" w:rsidRPr="00CD5BD8">
        <w:rPr>
          <w:rFonts w:ascii="Times New Roman" w:hAnsi="Times New Roman"/>
          <w:bCs/>
          <w:sz w:val="24"/>
          <w:szCs w:val="24"/>
        </w:rPr>
        <w:t>illustration</w:t>
      </w:r>
      <w:r w:rsidR="00F1025A" w:rsidRPr="00CD5BD8">
        <w:rPr>
          <w:rFonts w:ascii="Times New Roman" w:hAnsi="Times New Roman"/>
          <w:bCs/>
          <w:sz w:val="24"/>
          <w:szCs w:val="24"/>
        </w:rPr>
        <w:t xml:space="preserve"> of just </w:t>
      </w:r>
      <w:r w:rsidR="000B4305" w:rsidRPr="00CD5BD8">
        <w:rPr>
          <w:rFonts w:ascii="Times New Roman" w:hAnsi="Times New Roman"/>
          <w:bCs/>
          <w:sz w:val="24"/>
          <w:szCs w:val="24"/>
        </w:rPr>
        <w:t xml:space="preserve">why a state </w:t>
      </w:r>
      <w:r w:rsidR="00F1025A" w:rsidRPr="00CD5BD8">
        <w:rPr>
          <w:rFonts w:ascii="Times New Roman" w:hAnsi="Times New Roman"/>
          <w:bCs/>
          <w:sz w:val="24"/>
          <w:szCs w:val="24"/>
        </w:rPr>
        <w:t xml:space="preserve">must be able to verify in advance </w:t>
      </w:r>
      <w:r w:rsidR="000B4305" w:rsidRPr="00CD5BD8">
        <w:rPr>
          <w:rFonts w:ascii="Times New Roman" w:hAnsi="Times New Roman"/>
          <w:bCs/>
          <w:sz w:val="24"/>
          <w:szCs w:val="24"/>
        </w:rPr>
        <w:t>the position of p</w:t>
      </w:r>
      <w:r w:rsidR="006B23CB">
        <w:rPr>
          <w:rFonts w:ascii="Times New Roman" w:hAnsi="Times New Roman"/>
          <w:bCs/>
          <w:sz w:val="24"/>
          <w:szCs w:val="24"/>
        </w:rPr>
        <w:t>roposed</w:t>
      </w:r>
      <w:r w:rsidR="000B4305" w:rsidRPr="00CD5BD8">
        <w:rPr>
          <w:rFonts w:ascii="Times New Roman" w:hAnsi="Times New Roman"/>
          <w:bCs/>
          <w:sz w:val="24"/>
          <w:szCs w:val="24"/>
        </w:rPr>
        <w:t xml:space="preserve"> export</w:t>
      </w:r>
      <w:r w:rsidR="00CD5BD8">
        <w:rPr>
          <w:rFonts w:ascii="Times New Roman" w:hAnsi="Times New Roman"/>
          <w:bCs/>
          <w:sz w:val="24"/>
          <w:szCs w:val="24"/>
        </w:rPr>
        <w:t>s</w:t>
      </w:r>
      <w:r w:rsidR="000B4305" w:rsidRPr="00CD5BD8">
        <w:rPr>
          <w:rFonts w:ascii="Times New Roman" w:hAnsi="Times New Roman"/>
          <w:bCs/>
          <w:sz w:val="24"/>
          <w:szCs w:val="24"/>
        </w:rPr>
        <w:t xml:space="preserve">.  </w:t>
      </w:r>
    </w:p>
    <w:p w14:paraId="6FEA569D" w14:textId="77777777" w:rsidR="00CD5BD8" w:rsidRPr="00CD5BD8" w:rsidRDefault="00CD5BD8" w:rsidP="002D37BA">
      <w:pPr>
        <w:pStyle w:val="ListParagraph"/>
        <w:spacing w:after="0" w:line="240" w:lineRule="auto"/>
        <w:jc w:val="both"/>
        <w:rPr>
          <w:rFonts w:ascii="Times New Roman" w:hAnsi="Times New Roman"/>
          <w:bCs/>
          <w:sz w:val="24"/>
          <w:szCs w:val="24"/>
        </w:rPr>
      </w:pPr>
    </w:p>
    <w:p w14:paraId="0C09AA1E" w14:textId="77777777" w:rsidR="000C5DE7" w:rsidRPr="000E0CA0" w:rsidRDefault="0061167B" w:rsidP="002D37BA">
      <w:pPr>
        <w:pStyle w:val="ListParagraph"/>
        <w:numPr>
          <w:ilvl w:val="0"/>
          <w:numId w:val="13"/>
        </w:numPr>
        <w:tabs>
          <w:tab w:val="left" w:pos="709"/>
        </w:tabs>
        <w:spacing w:after="0" w:line="240" w:lineRule="auto"/>
        <w:ind w:hanging="720"/>
        <w:jc w:val="both"/>
        <w:rPr>
          <w:rFonts w:ascii="Times New Roman" w:hAnsi="Times New Roman"/>
          <w:bCs/>
          <w:sz w:val="24"/>
          <w:szCs w:val="24"/>
        </w:rPr>
      </w:pPr>
      <w:r w:rsidRPr="000E0CA0">
        <w:rPr>
          <w:rFonts w:ascii="Times New Roman" w:hAnsi="Times New Roman"/>
          <w:bCs/>
          <w:sz w:val="24"/>
          <w:szCs w:val="24"/>
        </w:rPr>
        <w:t xml:space="preserve">The </w:t>
      </w:r>
      <w:r w:rsidR="000B4305" w:rsidRPr="000E0CA0">
        <w:rPr>
          <w:rFonts w:ascii="Times New Roman" w:hAnsi="Times New Roman"/>
          <w:bCs/>
          <w:sz w:val="24"/>
          <w:szCs w:val="24"/>
        </w:rPr>
        <w:t xml:space="preserve">Commission 2019 </w:t>
      </w:r>
      <w:r w:rsidR="00777D53" w:rsidRPr="000E0CA0">
        <w:rPr>
          <w:rFonts w:ascii="Times New Roman" w:hAnsi="Times New Roman"/>
          <w:bCs/>
          <w:sz w:val="24"/>
          <w:szCs w:val="24"/>
        </w:rPr>
        <w:t>R</w:t>
      </w:r>
      <w:r w:rsidR="000B4305" w:rsidRPr="000E0CA0">
        <w:rPr>
          <w:rFonts w:ascii="Times New Roman" w:hAnsi="Times New Roman"/>
          <w:bCs/>
          <w:sz w:val="24"/>
          <w:szCs w:val="24"/>
        </w:rPr>
        <w:t xml:space="preserve">eport </w:t>
      </w:r>
      <w:r w:rsidRPr="000E0CA0">
        <w:rPr>
          <w:rFonts w:ascii="Times New Roman" w:hAnsi="Times New Roman"/>
          <w:bCs/>
          <w:sz w:val="24"/>
          <w:szCs w:val="24"/>
        </w:rPr>
        <w:t>also</w:t>
      </w:r>
      <w:r w:rsidR="00595B47" w:rsidRPr="000E0CA0">
        <w:rPr>
          <w:rFonts w:ascii="Times New Roman" w:hAnsi="Times New Roman"/>
          <w:bCs/>
          <w:sz w:val="24"/>
          <w:szCs w:val="24"/>
        </w:rPr>
        <w:t xml:space="preserve"> </w:t>
      </w:r>
      <w:r w:rsidR="000C5DE7" w:rsidRPr="000E0CA0">
        <w:rPr>
          <w:rFonts w:ascii="Times New Roman" w:hAnsi="Times New Roman"/>
          <w:bCs/>
          <w:sz w:val="24"/>
          <w:szCs w:val="24"/>
        </w:rPr>
        <w:t xml:space="preserve">provides evidence of the way in which exceptions to </w:t>
      </w:r>
      <w:r w:rsidR="00454194" w:rsidRPr="000E0CA0">
        <w:rPr>
          <w:rFonts w:ascii="Times New Roman" w:hAnsi="Times New Roman"/>
          <w:bCs/>
          <w:sz w:val="24"/>
          <w:szCs w:val="24"/>
        </w:rPr>
        <w:t xml:space="preserve">national licensing regimes are </w:t>
      </w:r>
      <w:r w:rsidR="000C5DE7" w:rsidRPr="000E0CA0">
        <w:rPr>
          <w:rFonts w:ascii="Times New Roman" w:hAnsi="Times New Roman"/>
          <w:bCs/>
          <w:sz w:val="24"/>
          <w:szCs w:val="24"/>
        </w:rPr>
        <w:t>operated in practice and as to the reason</w:t>
      </w:r>
      <w:r w:rsidR="00454194" w:rsidRPr="000E0CA0">
        <w:rPr>
          <w:rFonts w:ascii="Times New Roman" w:hAnsi="Times New Roman"/>
          <w:bCs/>
          <w:sz w:val="24"/>
          <w:szCs w:val="24"/>
        </w:rPr>
        <w:t xml:space="preserve">s arising </w:t>
      </w:r>
      <w:r w:rsidR="000C5DE7" w:rsidRPr="000E0CA0">
        <w:rPr>
          <w:rFonts w:ascii="Times New Roman" w:hAnsi="Times New Roman"/>
          <w:bCs/>
          <w:sz w:val="24"/>
          <w:szCs w:val="24"/>
        </w:rPr>
        <w:t xml:space="preserve">for refusing licences.  </w:t>
      </w:r>
      <w:r w:rsidR="00845B05" w:rsidRPr="000E0CA0">
        <w:rPr>
          <w:rFonts w:ascii="Times New Roman" w:hAnsi="Times New Roman"/>
          <w:bCs/>
          <w:sz w:val="24"/>
          <w:szCs w:val="24"/>
        </w:rPr>
        <w:t xml:space="preserve">It appears that only one state operates a system of exceptions thereby underscoring the importance that is attached to universal verification.  But it also indicates that a high percentage of applications are granted </w:t>
      </w:r>
      <w:r w:rsidR="00454194" w:rsidRPr="000E0CA0">
        <w:rPr>
          <w:rFonts w:ascii="Times New Roman" w:hAnsi="Times New Roman"/>
          <w:bCs/>
          <w:sz w:val="24"/>
          <w:szCs w:val="24"/>
        </w:rPr>
        <w:t xml:space="preserve">and provides evidence that almost all states impose what the Appellant </w:t>
      </w:r>
      <w:r w:rsidR="00845B05" w:rsidRPr="000E0CA0">
        <w:rPr>
          <w:rFonts w:ascii="Times New Roman" w:hAnsi="Times New Roman"/>
          <w:bCs/>
          <w:sz w:val="24"/>
          <w:szCs w:val="24"/>
        </w:rPr>
        <w:t>terms “</w:t>
      </w:r>
      <w:r w:rsidR="00845B05" w:rsidRPr="006B23CB">
        <w:rPr>
          <w:rFonts w:ascii="Times New Roman" w:hAnsi="Times New Roman"/>
          <w:bCs/>
          <w:i/>
          <w:sz w:val="24"/>
          <w:szCs w:val="24"/>
        </w:rPr>
        <w:t>formalities</w:t>
      </w:r>
      <w:r w:rsidR="00845B05" w:rsidRPr="000E0CA0">
        <w:rPr>
          <w:rFonts w:ascii="Times New Roman" w:hAnsi="Times New Roman"/>
          <w:bCs/>
          <w:sz w:val="24"/>
          <w:szCs w:val="24"/>
        </w:rPr>
        <w:t>”</w:t>
      </w:r>
      <w:r w:rsidR="00454194" w:rsidRPr="000E0CA0">
        <w:rPr>
          <w:rFonts w:ascii="Times New Roman" w:hAnsi="Times New Roman"/>
          <w:bCs/>
          <w:sz w:val="24"/>
          <w:szCs w:val="24"/>
        </w:rPr>
        <w:t xml:space="preserve"> facilitating verification. </w:t>
      </w:r>
      <w:r w:rsidR="00845B05" w:rsidRPr="000E0CA0">
        <w:rPr>
          <w:rFonts w:ascii="Times New Roman" w:hAnsi="Times New Roman"/>
          <w:bCs/>
          <w:sz w:val="24"/>
          <w:szCs w:val="24"/>
        </w:rPr>
        <w:t xml:space="preserve"> </w:t>
      </w:r>
      <w:r w:rsidRPr="000E0CA0">
        <w:rPr>
          <w:rFonts w:ascii="Times New Roman" w:hAnsi="Times New Roman"/>
          <w:bCs/>
          <w:sz w:val="24"/>
          <w:szCs w:val="24"/>
        </w:rPr>
        <w:t>The</w:t>
      </w:r>
      <w:r w:rsidR="00845B05" w:rsidRPr="000E0CA0">
        <w:rPr>
          <w:rFonts w:ascii="Times New Roman" w:hAnsi="Times New Roman"/>
          <w:bCs/>
          <w:sz w:val="24"/>
          <w:szCs w:val="24"/>
        </w:rPr>
        <w:t xml:space="preserve"> report provides evidence of the sorts of misuses and abuses of the system that occur</w:t>
      </w:r>
      <w:r w:rsidR="006B23CB">
        <w:rPr>
          <w:rFonts w:ascii="Times New Roman" w:hAnsi="Times New Roman"/>
          <w:bCs/>
          <w:sz w:val="24"/>
          <w:szCs w:val="24"/>
        </w:rPr>
        <w:t xml:space="preserve"> which serve to show why systems of verification predicated upon advance notice are logical and necessary</w:t>
      </w:r>
      <w:r w:rsidR="00845B05" w:rsidRPr="000E0CA0">
        <w:rPr>
          <w:rFonts w:ascii="Times New Roman" w:hAnsi="Times New Roman"/>
          <w:bCs/>
          <w:sz w:val="24"/>
          <w:szCs w:val="24"/>
        </w:rPr>
        <w:t xml:space="preserve">. </w:t>
      </w:r>
      <w:r w:rsidR="006B23CB">
        <w:rPr>
          <w:rFonts w:ascii="Times New Roman" w:hAnsi="Times New Roman"/>
          <w:bCs/>
          <w:sz w:val="24"/>
          <w:szCs w:val="24"/>
        </w:rPr>
        <w:t xml:space="preserve"> </w:t>
      </w:r>
      <w:r w:rsidR="000C5DE7" w:rsidRPr="000E0CA0">
        <w:rPr>
          <w:rFonts w:ascii="Times New Roman" w:hAnsi="Times New Roman"/>
          <w:bCs/>
          <w:sz w:val="24"/>
          <w:szCs w:val="24"/>
        </w:rPr>
        <w:t xml:space="preserve">Paragraphs 4.6 and 4.7 provide: </w:t>
      </w:r>
    </w:p>
    <w:p w14:paraId="3082BFDD" w14:textId="77777777" w:rsidR="006D5DDE" w:rsidRDefault="006D5DDE" w:rsidP="002D37BA">
      <w:pPr>
        <w:pStyle w:val="ListParagraph"/>
        <w:spacing w:after="0" w:line="240" w:lineRule="auto"/>
        <w:ind w:left="1701"/>
        <w:jc w:val="both"/>
        <w:rPr>
          <w:rFonts w:ascii="Times New Roman" w:hAnsi="Times New Roman"/>
          <w:sz w:val="24"/>
          <w:szCs w:val="24"/>
        </w:rPr>
      </w:pPr>
    </w:p>
    <w:p w14:paraId="69CFF5B8" w14:textId="24B0983E" w:rsidR="00845B05" w:rsidRPr="000E0CA0" w:rsidRDefault="006D5DDE" w:rsidP="002D37BA">
      <w:pPr>
        <w:pStyle w:val="ListParagraph"/>
        <w:spacing w:after="0" w:line="240" w:lineRule="auto"/>
        <w:ind w:left="1701"/>
        <w:jc w:val="both"/>
        <w:rPr>
          <w:rFonts w:ascii="Times New Roman" w:hAnsi="Times New Roman"/>
          <w:sz w:val="24"/>
          <w:szCs w:val="24"/>
        </w:rPr>
      </w:pPr>
      <w:r>
        <w:rPr>
          <w:rFonts w:ascii="Times New Roman" w:hAnsi="Times New Roman"/>
          <w:sz w:val="24"/>
          <w:szCs w:val="24"/>
        </w:rPr>
        <w:t>“</w:t>
      </w:r>
      <w:r w:rsidR="000C5DE7" w:rsidRPr="000E0CA0">
        <w:rPr>
          <w:rFonts w:ascii="Times New Roman" w:hAnsi="Times New Roman"/>
          <w:sz w:val="24"/>
          <w:szCs w:val="24"/>
        </w:rPr>
        <w:t>4.6 Exemption from export licence requirement</w:t>
      </w:r>
      <w:r>
        <w:rPr>
          <w:rFonts w:ascii="Times New Roman" w:hAnsi="Times New Roman"/>
          <w:sz w:val="24"/>
          <w:szCs w:val="24"/>
        </w:rPr>
        <w:t>:</w:t>
      </w:r>
      <w:r w:rsidR="000C5DE7" w:rsidRPr="000E0CA0">
        <w:rPr>
          <w:rFonts w:ascii="Times New Roman" w:hAnsi="Times New Roman"/>
          <w:sz w:val="24"/>
          <w:szCs w:val="24"/>
        </w:rPr>
        <w:t xml:space="preserve"> Only one of the respondent Member States reported that they have made use of the possibility not to require an export licence, as provided for in Article 2(2), for items which are considered of limited archaeological or scientific interest. The main argument for making use of the possibility is that archaeological objects which are not the direct product of excavations are deemed to have limited scientific value because of their separation from their archaeo</w:t>
      </w:r>
      <w:r w:rsidR="00845B05" w:rsidRPr="000E0CA0">
        <w:rPr>
          <w:rFonts w:ascii="Times New Roman" w:hAnsi="Times New Roman"/>
          <w:sz w:val="24"/>
          <w:szCs w:val="24"/>
        </w:rPr>
        <w:t>-</w:t>
      </w:r>
      <w:r w:rsidR="000C5DE7" w:rsidRPr="000E0CA0">
        <w:rPr>
          <w:rFonts w:ascii="Times New Roman" w:hAnsi="Times New Roman"/>
          <w:sz w:val="24"/>
          <w:szCs w:val="24"/>
        </w:rPr>
        <w:t xml:space="preserve">historical context. </w:t>
      </w:r>
    </w:p>
    <w:p w14:paraId="6A129637" w14:textId="77777777" w:rsidR="00845B05" w:rsidRPr="000E0CA0" w:rsidRDefault="00845B05" w:rsidP="002D37BA">
      <w:pPr>
        <w:pStyle w:val="ListParagraph"/>
        <w:spacing w:after="0" w:line="240" w:lineRule="auto"/>
        <w:ind w:left="1701"/>
        <w:jc w:val="both"/>
        <w:rPr>
          <w:rFonts w:ascii="Times New Roman" w:hAnsi="Times New Roman"/>
          <w:sz w:val="24"/>
          <w:szCs w:val="24"/>
        </w:rPr>
      </w:pPr>
    </w:p>
    <w:p w14:paraId="6619BE47" w14:textId="4D5D4A7B" w:rsidR="000C5DE7" w:rsidRPr="000E0CA0" w:rsidRDefault="000C5DE7" w:rsidP="002D37BA">
      <w:pPr>
        <w:pStyle w:val="ListParagraph"/>
        <w:spacing w:after="0" w:line="240" w:lineRule="auto"/>
        <w:ind w:left="1701"/>
        <w:jc w:val="both"/>
        <w:rPr>
          <w:rFonts w:ascii="Times New Roman" w:hAnsi="Times New Roman"/>
          <w:bCs/>
          <w:sz w:val="24"/>
          <w:szCs w:val="24"/>
        </w:rPr>
      </w:pPr>
      <w:r w:rsidRPr="000E0CA0">
        <w:rPr>
          <w:rFonts w:ascii="Times New Roman" w:hAnsi="Times New Roman"/>
          <w:sz w:val="24"/>
          <w:szCs w:val="24"/>
        </w:rPr>
        <w:t>4.7 Reasons for rejecting a licence application</w:t>
      </w:r>
      <w:r w:rsidR="00E13FBF">
        <w:rPr>
          <w:rFonts w:ascii="Times New Roman" w:hAnsi="Times New Roman"/>
          <w:sz w:val="24"/>
          <w:szCs w:val="24"/>
        </w:rPr>
        <w:t>:</w:t>
      </w:r>
      <w:r w:rsidRPr="000E0CA0">
        <w:rPr>
          <w:rFonts w:ascii="Times New Roman" w:hAnsi="Times New Roman"/>
          <w:sz w:val="24"/>
          <w:szCs w:val="24"/>
        </w:rPr>
        <w:t xml:space="preserve"> Only few Member States have refused to issue an export licence because the cultural goods in question were covered by national legislation protecting national treasures of artistic, historical or archaeological value in accordance with subparagraph 3 of Article 2(2). In most cases, an export licence application is rejected or withdrawn by the applicant for other reasons such as: insufficient proof of licit provenance; non-compliance with the applicable rules; the object is a fake; or the issue of which Member State is competent to issue the licence has not been resolved. Cases where the applicant refuses to provide further information on provenance when requested and then immediately withdraws their application are rare. When that happens, the majority of Member States reject the application, inform the applicant and, if there is suspicion of illicit provenance, they also inform the appropriate law enforcement authorities about the case.</w:t>
      </w:r>
      <w:r w:rsidR="00845B05" w:rsidRPr="000E0CA0">
        <w:rPr>
          <w:rFonts w:ascii="Times New Roman" w:hAnsi="Times New Roman"/>
          <w:sz w:val="24"/>
          <w:szCs w:val="24"/>
        </w:rPr>
        <w:t>”</w:t>
      </w:r>
    </w:p>
    <w:p w14:paraId="04A5A521" w14:textId="77777777" w:rsidR="000C5DE7" w:rsidRPr="000E0CA0" w:rsidRDefault="000C5DE7" w:rsidP="002D37BA">
      <w:pPr>
        <w:pStyle w:val="ListParagraph"/>
        <w:spacing w:after="0" w:line="240" w:lineRule="auto"/>
        <w:ind w:left="0"/>
        <w:jc w:val="both"/>
        <w:rPr>
          <w:rFonts w:ascii="Times New Roman" w:hAnsi="Times New Roman"/>
          <w:bCs/>
          <w:sz w:val="24"/>
          <w:szCs w:val="24"/>
        </w:rPr>
      </w:pPr>
    </w:p>
    <w:p w14:paraId="61BC95B7" w14:textId="77777777" w:rsidR="00FC583B" w:rsidRPr="000E0CA0" w:rsidRDefault="0061167B" w:rsidP="002D37BA">
      <w:pPr>
        <w:pStyle w:val="ListParagraph"/>
        <w:numPr>
          <w:ilvl w:val="0"/>
          <w:numId w:val="13"/>
        </w:numPr>
        <w:tabs>
          <w:tab w:val="left" w:pos="709"/>
        </w:tabs>
        <w:spacing w:after="0" w:line="240" w:lineRule="auto"/>
        <w:ind w:hanging="720"/>
        <w:jc w:val="both"/>
        <w:rPr>
          <w:rFonts w:ascii="Times New Roman" w:hAnsi="Times New Roman"/>
          <w:bCs/>
          <w:sz w:val="24"/>
          <w:szCs w:val="24"/>
        </w:rPr>
      </w:pPr>
      <w:r w:rsidRPr="000E0CA0">
        <w:rPr>
          <w:rFonts w:ascii="Times New Roman" w:hAnsi="Times New Roman"/>
          <w:bCs/>
          <w:sz w:val="24"/>
          <w:szCs w:val="24"/>
        </w:rPr>
        <w:t xml:space="preserve">Fourth, </w:t>
      </w:r>
      <w:r w:rsidR="000B4305" w:rsidRPr="000E0CA0">
        <w:rPr>
          <w:rFonts w:ascii="Times New Roman" w:hAnsi="Times New Roman"/>
          <w:bCs/>
          <w:sz w:val="24"/>
          <w:szCs w:val="24"/>
        </w:rPr>
        <w:t xml:space="preserve">I address briefly the </w:t>
      </w:r>
      <w:r w:rsidR="00454194" w:rsidRPr="000E0CA0">
        <w:rPr>
          <w:rFonts w:ascii="Times New Roman" w:hAnsi="Times New Roman"/>
          <w:bCs/>
          <w:sz w:val="24"/>
          <w:szCs w:val="24"/>
        </w:rPr>
        <w:t>A</w:t>
      </w:r>
      <w:r w:rsidR="000B4305" w:rsidRPr="000E0CA0">
        <w:rPr>
          <w:rFonts w:ascii="Times New Roman" w:hAnsi="Times New Roman"/>
          <w:bCs/>
          <w:sz w:val="24"/>
          <w:szCs w:val="24"/>
        </w:rPr>
        <w:t>ppellant’s argument that because Professor Le</w:t>
      </w:r>
      <w:r w:rsidR="00845B05" w:rsidRPr="000E0CA0">
        <w:rPr>
          <w:rFonts w:ascii="Times New Roman" w:hAnsi="Times New Roman"/>
          <w:bCs/>
          <w:sz w:val="24"/>
          <w:szCs w:val="24"/>
        </w:rPr>
        <w:t xml:space="preserve">nzerini </w:t>
      </w:r>
      <w:r w:rsidR="000B4305" w:rsidRPr="000E0CA0">
        <w:rPr>
          <w:rFonts w:ascii="Times New Roman" w:hAnsi="Times New Roman"/>
          <w:bCs/>
          <w:sz w:val="24"/>
          <w:szCs w:val="24"/>
        </w:rPr>
        <w:t xml:space="preserve">suggested that the Italian authorities would </w:t>
      </w:r>
      <w:r w:rsidR="00FC583B" w:rsidRPr="000E0CA0">
        <w:rPr>
          <w:rFonts w:ascii="Times New Roman" w:hAnsi="Times New Roman"/>
          <w:bCs/>
          <w:sz w:val="24"/>
          <w:szCs w:val="24"/>
        </w:rPr>
        <w:t xml:space="preserve">be required </w:t>
      </w:r>
      <w:r w:rsidR="000B4305" w:rsidRPr="000E0CA0">
        <w:rPr>
          <w:rFonts w:ascii="Times New Roman" w:hAnsi="Times New Roman"/>
          <w:bCs/>
          <w:sz w:val="24"/>
          <w:szCs w:val="24"/>
        </w:rPr>
        <w:t xml:space="preserve">to grant a licence as, so it was argued, a formality that this in itself justified the conduct of Mrs Simonis and is dispositive </w:t>
      </w:r>
      <w:r w:rsidR="00454194" w:rsidRPr="000E0CA0">
        <w:rPr>
          <w:rFonts w:ascii="Times New Roman" w:hAnsi="Times New Roman"/>
          <w:bCs/>
          <w:sz w:val="24"/>
          <w:szCs w:val="24"/>
        </w:rPr>
        <w:t xml:space="preserve">of the </w:t>
      </w:r>
      <w:r w:rsidR="000B4305" w:rsidRPr="000E0CA0">
        <w:rPr>
          <w:rFonts w:ascii="Times New Roman" w:hAnsi="Times New Roman"/>
          <w:bCs/>
          <w:sz w:val="24"/>
          <w:szCs w:val="24"/>
        </w:rPr>
        <w:t xml:space="preserve">Article 36 TFEU analysis.  For the reasons given that is not the case.  The state has a powerful right, even in the case of formalities, to apply a protective, </w:t>
      </w:r>
      <w:r w:rsidR="000B4305" w:rsidRPr="000E0CA0">
        <w:rPr>
          <w:rFonts w:ascii="Times New Roman" w:hAnsi="Times New Roman"/>
          <w:bCs/>
          <w:i/>
          <w:iCs/>
          <w:sz w:val="24"/>
          <w:szCs w:val="24"/>
        </w:rPr>
        <w:t>ex ante</w:t>
      </w:r>
      <w:r w:rsidR="000B4305" w:rsidRPr="000E0CA0">
        <w:rPr>
          <w:rFonts w:ascii="Times New Roman" w:hAnsi="Times New Roman"/>
          <w:bCs/>
          <w:sz w:val="24"/>
          <w:szCs w:val="24"/>
        </w:rPr>
        <w:t>, verification process.  But in any event</w:t>
      </w:r>
      <w:r w:rsidR="00FC583B" w:rsidRPr="000E0CA0">
        <w:rPr>
          <w:rFonts w:ascii="Times New Roman" w:hAnsi="Times New Roman"/>
          <w:bCs/>
          <w:sz w:val="24"/>
          <w:szCs w:val="24"/>
        </w:rPr>
        <w:t>,</w:t>
      </w:r>
      <w:r w:rsidR="000B4305" w:rsidRPr="000E0CA0">
        <w:rPr>
          <w:rFonts w:ascii="Times New Roman" w:hAnsi="Times New Roman"/>
          <w:bCs/>
          <w:sz w:val="24"/>
          <w:szCs w:val="24"/>
        </w:rPr>
        <w:t xml:space="preserve"> I do not accept the Appellant’s analysis</w:t>
      </w:r>
      <w:r w:rsidR="00454194" w:rsidRPr="000E0CA0">
        <w:rPr>
          <w:rFonts w:ascii="Times New Roman" w:hAnsi="Times New Roman"/>
          <w:bCs/>
          <w:sz w:val="24"/>
          <w:szCs w:val="24"/>
        </w:rPr>
        <w:t xml:space="preserve"> of the implications of the expert evidence</w:t>
      </w:r>
      <w:r w:rsidR="000B4305" w:rsidRPr="000E0CA0">
        <w:rPr>
          <w:rFonts w:ascii="Times New Roman" w:hAnsi="Times New Roman"/>
          <w:bCs/>
          <w:sz w:val="24"/>
          <w:szCs w:val="24"/>
        </w:rPr>
        <w:t>.</w:t>
      </w:r>
      <w:r w:rsidR="00FC583B" w:rsidRPr="000E0CA0">
        <w:rPr>
          <w:rFonts w:ascii="Times New Roman" w:hAnsi="Times New Roman"/>
          <w:bCs/>
          <w:sz w:val="24"/>
          <w:szCs w:val="24"/>
        </w:rPr>
        <w:t xml:space="preserve"> The </w:t>
      </w:r>
      <w:r w:rsidR="000B4305" w:rsidRPr="000E0CA0">
        <w:rPr>
          <w:rFonts w:ascii="Times New Roman" w:hAnsi="Times New Roman"/>
          <w:bCs/>
          <w:sz w:val="24"/>
          <w:szCs w:val="24"/>
        </w:rPr>
        <w:t>point is that whilst the ex</w:t>
      </w:r>
      <w:r w:rsidR="00FC583B" w:rsidRPr="000E0CA0">
        <w:rPr>
          <w:rFonts w:ascii="Times New Roman" w:hAnsi="Times New Roman"/>
          <w:bCs/>
          <w:sz w:val="24"/>
          <w:szCs w:val="24"/>
        </w:rPr>
        <w:t>p</w:t>
      </w:r>
      <w:r w:rsidR="000B4305" w:rsidRPr="000E0CA0">
        <w:rPr>
          <w:rFonts w:ascii="Times New Roman" w:hAnsi="Times New Roman"/>
          <w:bCs/>
          <w:sz w:val="24"/>
          <w:szCs w:val="24"/>
        </w:rPr>
        <w:t xml:space="preserve">ert did indicate that in his view the authorities would be bound to grant an export licence: (i) he was clear that this had to be </w:t>
      </w:r>
      <w:r w:rsidR="000B4305" w:rsidRPr="000E0CA0">
        <w:rPr>
          <w:rFonts w:ascii="Times New Roman" w:hAnsi="Times New Roman"/>
          <w:bCs/>
          <w:i/>
          <w:iCs/>
          <w:sz w:val="24"/>
          <w:szCs w:val="24"/>
        </w:rPr>
        <w:t>upon application</w:t>
      </w:r>
      <w:r w:rsidR="000B4305" w:rsidRPr="000E0CA0">
        <w:rPr>
          <w:rFonts w:ascii="Times New Roman" w:hAnsi="Times New Roman"/>
          <w:bCs/>
          <w:sz w:val="24"/>
          <w:szCs w:val="24"/>
        </w:rPr>
        <w:t xml:space="preserve"> by Mrs Simonis</w:t>
      </w:r>
      <w:r w:rsidR="00FC583B" w:rsidRPr="000E0CA0">
        <w:rPr>
          <w:rFonts w:ascii="Times New Roman" w:hAnsi="Times New Roman"/>
          <w:bCs/>
          <w:sz w:val="24"/>
          <w:szCs w:val="24"/>
        </w:rPr>
        <w:t>;</w:t>
      </w:r>
      <w:r w:rsidR="000B4305" w:rsidRPr="000E0CA0">
        <w:rPr>
          <w:rFonts w:ascii="Times New Roman" w:hAnsi="Times New Roman"/>
          <w:bCs/>
          <w:sz w:val="24"/>
          <w:szCs w:val="24"/>
        </w:rPr>
        <w:t xml:space="preserve"> and (ii)</w:t>
      </w:r>
      <w:r w:rsidR="00FC583B" w:rsidRPr="000E0CA0">
        <w:rPr>
          <w:rFonts w:ascii="Times New Roman" w:hAnsi="Times New Roman"/>
          <w:bCs/>
          <w:sz w:val="24"/>
          <w:szCs w:val="24"/>
        </w:rPr>
        <w:t>,</w:t>
      </w:r>
      <w:r w:rsidR="000B4305" w:rsidRPr="000E0CA0">
        <w:rPr>
          <w:rFonts w:ascii="Times New Roman" w:hAnsi="Times New Roman"/>
          <w:bCs/>
          <w:sz w:val="24"/>
          <w:szCs w:val="24"/>
        </w:rPr>
        <w:t xml:space="preserve"> the duty on the authorities to grant a licence was for technical reasons which </w:t>
      </w:r>
      <w:r w:rsidR="00FC583B" w:rsidRPr="000E0CA0">
        <w:rPr>
          <w:rFonts w:ascii="Times New Roman" w:hAnsi="Times New Roman"/>
          <w:bCs/>
          <w:sz w:val="24"/>
          <w:szCs w:val="24"/>
        </w:rPr>
        <w:t xml:space="preserve">could </w:t>
      </w:r>
      <w:r w:rsidR="000B4305" w:rsidRPr="000E0CA0">
        <w:rPr>
          <w:rFonts w:ascii="Times New Roman" w:hAnsi="Times New Roman"/>
          <w:bCs/>
          <w:sz w:val="24"/>
          <w:szCs w:val="24"/>
        </w:rPr>
        <w:t xml:space="preserve">be capable of </w:t>
      </w:r>
      <w:r w:rsidR="000B0246" w:rsidRPr="000E0CA0">
        <w:rPr>
          <w:rFonts w:ascii="Times New Roman" w:hAnsi="Times New Roman"/>
          <w:bCs/>
          <w:sz w:val="24"/>
          <w:szCs w:val="24"/>
        </w:rPr>
        <w:t>being</w:t>
      </w:r>
      <w:r w:rsidR="000B4305" w:rsidRPr="000E0CA0">
        <w:rPr>
          <w:rFonts w:ascii="Times New Roman" w:hAnsi="Times New Roman"/>
          <w:bCs/>
          <w:sz w:val="24"/>
          <w:szCs w:val="24"/>
        </w:rPr>
        <w:t xml:space="preserve"> unravelled under </w:t>
      </w:r>
      <w:r w:rsidR="000B0246" w:rsidRPr="000E0CA0">
        <w:rPr>
          <w:rFonts w:ascii="Times New Roman" w:hAnsi="Times New Roman"/>
          <w:bCs/>
          <w:sz w:val="24"/>
          <w:szCs w:val="24"/>
        </w:rPr>
        <w:t>Italian</w:t>
      </w:r>
      <w:r w:rsidR="000B4305" w:rsidRPr="000E0CA0">
        <w:rPr>
          <w:rFonts w:ascii="Times New Roman" w:hAnsi="Times New Roman"/>
          <w:bCs/>
          <w:sz w:val="24"/>
          <w:szCs w:val="24"/>
        </w:rPr>
        <w:t xml:space="preserve"> law. </w:t>
      </w:r>
      <w:r w:rsidR="000B0246" w:rsidRPr="000E0CA0">
        <w:rPr>
          <w:rFonts w:ascii="Times New Roman" w:hAnsi="Times New Roman"/>
          <w:bCs/>
          <w:sz w:val="24"/>
          <w:szCs w:val="24"/>
        </w:rPr>
        <w:t>In other words</w:t>
      </w:r>
      <w:r w:rsidR="00C95FA2" w:rsidRPr="000E0CA0">
        <w:rPr>
          <w:rFonts w:ascii="Times New Roman" w:hAnsi="Times New Roman"/>
          <w:bCs/>
          <w:sz w:val="24"/>
          <w:szCs w:val="24"/>
        </w:rPr>
        <w:t>,</w:t>
      </w:r>
      <w:r w:rsidR="000B0246" w:rsidRPr="000E0CA0">
        <w:rPr>
          <w:rFonts w:ascii="Times New Roman" w:hAnsi="Times New Roman"/>
          <w:bCs/>
          <w:sz w:val="24"/>
          <w:szCs w:val="24"/>
        </w:rPr>
        <w:t xml:space="preserve"> the grant of a licence might not have been </w:t>
      </w:r>
      <w:r w:rsidR="00C95FA2" w:rsidRPr="000E0CA0">
        <w:rPr>
          <w:rFonts w:ascii="Times New Roman" w:hAnsi="Times New Roman"/>
          <w:bCs/>
          <w:sz w:val="24"/>
          <w:szCs w:val="24"/>
        </w:rPr>
        <w:t xml:space="preserve">the </w:t>
      </w:r>
      <w:r w:rsidR="000B0246" w:rsidRPr="000E0CA0">
        <w:rPr>
          <w:rFonts w:ascii="Times New Roman" w:hAnsi="Times New Roman"/>
          <w:bCs/>
          <w:sz w:val="24"/>
          <w:szCs w:val="24"/>
        </w:rPr>
        <w:t xml:space="preserve">end of the story and whilst </w:t>
      </w:r>
      <w:r w:rsidR="00C95FA2" w:rsidRPr="000E0CA0">
        <w:rPr>
          <w:rFonts w:ascii="Times New Roman" w:hAnsi="Times New Roman"/>
          <w:bCs/>
          <w:sz w:val="24"/>
          <w:szCs w:val="24"/>
        </w:rPr>
        <w:t xml:space="preserve">any complications and legal difficulties were being </w:t>
      </w:r>
      <w:r w:rsidR="000B0246" w:rsidRPr="000E0CA0">
        <w:rPr>
          <w:rFonts w:ascii="Times New Roman" w:hAnsi="Times New Roman"/>
          <w:bCs/>
          <w:sz w:val="24"/>
          <w:szCs w:val="24"/>
        </w:rPr>
        <w:t xml:space="preserve">resolved </w:t>
      </w:r>
      <w:r w:rsidR="00C95FA2" w:rsidRPr="000E0CA0">
        <w:rPr>
          <w:rFonts w:ascii="Times New Roman" w:hAnsi="Times New Roman"/>
          <w:bCs/>
          <w:sz w:val="24"/>
          <w:szCs w:val="24"/>
        </w:rPr>
        <w:t xml:space="preserve">the </w:t>
      </w:r>
      <w:r w:rsidR="000B0246" w:rsidRPr="000E0CA0">
        <w:rPr>
          <w:rFonts w:ascii="Times New Roman" w:hAnsi="Times New Roman"/>
          <w:bCs/>
          <w:sz w:val="24"/>
          <w:szCs w:val="24"/>
        </w:rPr>
        <w:t xml:space="preserve">authorities could seek interim relief from the courts to prevent dispatch from Italy. </w:t>
      </w:r>
      <w:r w:rsidR="00FC583B" w:rsidRPr="000E0CA0">
        <w:rPr>
          <w:rFonts w:ascii="Times New Roman" w:hAnsi="Times New Roman"/>
          <w:bCs/>
          <w:sz w:val="24"/>
          <w:szCs w:val="24"/>
        </w:rPr>
        <w:t xml:space="preserve"> </w:t>
      </w:r>
    </w:p>
    <w:p w14:paraId="1AC86633" w14:textId="77777777" w:rsidR="00FC583B" w:rsidRPr="000E0CA0" w:rsidRDefault="00FC583B" w:rsidP="002D37BA">
      <w:pPr>
        <w:pStyle w:val="ListParagraph"/>
        <w:spacing w:after="0" w:line="240" w:lineRule="auto"/>
        <w:jc w:val="both"/>
        <w:rPr>
          <w:rFonts w:ascii="Times New Roman" w:hAnsi="Times New Roman"/>
          <w:bCs/>
          <w:sz w:val="24"/>
          <w:szCs w:val="24"/>
        </w:rPr>
      </w:pPr>
    </w:p>
    <w:p w14:paraId="15056867" w14:textId="77777777" w:rsidR="002F7B72" w:rsidRPr="000E0CA0" w:rsidRDefault="00777D53" w:rsidP="002D37BA">
      <w:pPr>
        <w:pStyle w:val="ListParagraph"/>
        <w:numPr>
          <w:ilvl w:val="0"/>
          <w:numId w:val="13"/>
        </w:numPr>
        <w:tabs>
          <w:tab w:val="left" w:pos="709"/>
        </w:tabs>
        <w:spacing w:after="0" w:line="240" w:lineRule="auto"/>
        <w:ind w:hanging="720"/>
        <w:jc w:val="both"/>
        <w:rPr>
          <w:rFonts w:ascii="Times New Roman" w:hAnsi="Times New Roman"/>
          <w:bCs/>
          <w:sz w:val="24"/>
          <w:szCs w:val="24"/>
        </w:rPr>
      </w:pPr>
      <w:r w:rsidRPr="000E0CA0">
        <w:rPr>
          <w:rFonts w:ascii="Times New Roman" w:hAnsi="Times New Roman"/>
          <w:bCs/>
          <w:sz w:val="24"/>
          <w:szCs w:val="24"/>
        </w:rPr>
        <w:t>Finally</w:t>
      </w:r>
      <w:r w:rsidR="002F7B72" w:rsidRPr="000E0CA0">
        <w:rPr>
          <w:rFonts w:ascii="Times New Roman" w:hAnsi="Times New Roman"/>
          <w:bCs/>
          <w:sz w:val="24"/>
          <w:szCs w:val="24"/>
        </w:rPr>
        <w:t>,</w:t>
      </w:r>
      <w:r w:rsidRPr="000E0CA0">
        <w:rPr>
          <w:rFonts w:ascii="Times New Roman" w:hAnsi="Times New Roman"/>
          <w:bCs/>
          <w:sz w:val="24"/>
          <w:szCs w:val="24"/>
        </w:rPr>
        <w:t xml:space="preserve"> the argument is also advanced that the notice requirement is not the least restrictive measure th</w:t>
      </w:r>
      <w:r w:rsidR="00FC583B" w:rsidRPr="000E0CA0">
        <w:rPr>
          <w:rFonts w:ascii="Times New Roman" w:hAnsi="Times New Roman"/>
          <w:bCs/>
          <w:sz w:val="24"/>
          <w:szCs w:val="24"/>
        </w:rPr>
        <w:t>a</w:t>
      </w:r>
      <w:r w:rsidRPr="000E0CA0">
        <w:rPr>
          <w:rFonts w:ascii="Times New Roman" w:hAnsi="Times New Roman"/>
          <w:bCs/>
          <w:sz w:val="24"/>
          <w:szCs w:val="24"/>
        </w:rPr>
        <w:t xml:space="preserve">t could be imposed and for this reason it is </w:t>
      </w:r>
      <w:r w:rsidR="00454194" w:rsidRPr="000E0CA0">
        <w:rPr>
          <w:rFonts w:ascii="Times New Roman" w:hAnsi="Times New Roman"/>
          <w:bCs/>
          <w:sz w:val="24"/>
          <w:szCs w:val="24"/>
        </w:rPr>
        <w:t>unjustified as disproportionate under Article 36 TFEU</w:t>
      </w:r>
      <w:r w:rsidRPr="000E0CA0">
        <w:rPr>
          <w:rFonts w:ascii="Times New Roman" w:hAnsi="Times New Roman"/>
          <w:bCs/>
          <w:sz w:val="24"/>
          <w:szCs w:val="24"/>
        </w:rPr>
        <w:t xml:space="preserve">.  There is </w:t>
      </w:r>
      <w:r w:rsidR="002F7B72" w:rsidRPr="000E0CA0">
        <w:rPr>
          <w:rFonts w:ascii="Times New Roman" w:hAnsi="Times New Roman"/>
          <w:bCs/>
          <w:sz w:val="24"/>
          <w:szCs w:val="24"/>
        </w:rPr>
        <w:t>nothing</w:t>
      </w:r>
      <w:r w:rsidRPr="000E0CA0">
        <w:rPr>
          <w:rFonts w:ascii="Times New Roman" w:hAnsi="Times New Roman"/>
          <w:bCs/>
          <w:sz w:val="24"/>
          <w:szCs w:val="24"/>
        </w:rPr>
        <w:t xml:space="preserve"> in this point.  </w:t>
      </w:r>
      <w:r w:rsidR="00FC583B" w:rsidRPr="000E0CA0">
        <w:rPr>
          <w:rFonts w:ascii="Times New Roman" w:hAnsi="Times New Roman"/>
          <w:bCs/>
          <w:sz w:val="24"/>
          <w:szCs w:val="24"/>
        </w:rPr>
        <w:t>The Commission 2019 Report says that the licensing system has been reasonably successful in controlling exports i</w:t>
      </w:r>
      <w:r w:rsidR="006B23CB">
        <w:rPr>
          <w:rFonts w:ascii="Times New Roman" w:hAnsi="Times New Roman"/>
          <w:bCs/>
          <w:sz w:val="24"/>
          <w:szCs w:val="24"/>
        </w:rPr>
        <w:t>.</w:t>
      </w:r>
      <w:r w:rsidR="00FC583B" w:rsidRPr="000E0CA0">
        <w:rPr>
          <w:rFonts w:ascii="Times New Roman" w:hAnsi="Times New Roman"/>
          <w:bCs/>
          <w:sz w:val="24"/>
          <w:szCs w:val="24"/>
        </w:rPr>
        <w:t>e</w:t>
      </w:r>
      <w:r w:rsidR="006B23CB">
        <w:rPr>
          <w:rFonts w:ascii="Times New Roman" w:hAnsi="Times New Roman"/>
          <w:bCs/>
          <w:sz w:val="24"/>
          <w:szCs w:val="24"/>
        </w:rPr>
        <w:t>.</w:t>
      </w:r>
      <w:r w:rsidR="00FC583B" w:rsidRPr="000E0CA0">
        <w:rPr>
          <w:rFonts w:ascii="Times New Roman" w:hAnsi="Times New Roman"/>
          <w:bCs/>
          <w:sz w:val="24"/>
          <w:szCs w:val="24"/>
        </w:rPr>
        <w:t xml:space="preserve"> there is evidence that the system works. Further, it </w:t>
      </w:r>
      <w:r w:rsidRPr="000E0CA0">
        <w:rPr>
          <w:rFonts w:ascii="Times New Roman" w:hAnsi="Times New Roman"/>
          <w:bCs/>
          <w:sz w:val="24"/>
          <w:szCs w:val="24"/>
        </w:rPr>
        <w:t xml:space="preserve">is not suggested that the process of making an application is especially </w:t>
      </w:r>
      <w:r w:rsidR="002F7B72" w:rsidRPr="000E0CA0">
        <w:rPr>
          <w:rFonts w:ascii="Times New Roman" w:hAnsi="Times New Roman"/>
          <w:bCs/>
          <w:sz w:val="24"/>
          <w:szCs w:val="24"/>
        </w:rPr>
        <w:t>burdensome</w:t>
      </w:r>
      <w:r w:rsidRPr="000E0CA0">
        <w:rPr>
          <w:rFonts w:ascii="Times New Roman" w:hAnsi="Times New Roman"/>
          <w:bCs/>
          <w:sz w:val="24"/>
          <w:szCs w:val="24"/>
        </w:rPr>
        <w:t xml:space="preserve">, expensive or time consuming.  The posited </w:t>
      </w:r>
      <w:r w:rsidR="006B23CB">
        <w:rPr>
          <w:rFonts w:ascii="Times New Roman" w:hAnsi="Times New Roman"/>
          <w:bCs/>
          <w:sz w:val="24"/>
          <w:szCs w:val="24"/>
        </w:rPr>
        <w:t xml:space="preserve">(superior – less restrictive) </w:t>
      </w:r>
      <w:r w:rsidRPr="000E0CA0">
        <w:rPr>
          <w:rFonts w:ascii="Times New Roman" w:hAnsi="Times New Roman"/>
          <w:bCs/>
          <w:sz w:val="24"/>
          <w:szCs w:val="24"/>
        </w:rPr>
        <w:t xml:space="preserve">alternative is the </w:t>
      </w:r>
      <w:r w:rsidR="002F7B72" w:rsidRPr="000E0CA0">
        <w:rPr>
          <w:rFonts w:ascii="Times New Roman" w:hAnsi="Times New Roman"/>
          <w:bCs/>
          <w:sz w:val="24"/>
          <w:szCs w:val="24"/>
        </w:rPr>
        <w:t>R</w:t>
      </w:r>
      <w:r w:rsidRPr="000E0CA0">
        <w:rPr>
          <w:rFonts w:ascii="Times New Roman" w:hAnsi="Times New Roman"/>
          <w:bCs/>
          <w:sz w:val="24"/>
          <w:szCs w:val="24"/>
        </w:rPr>
        <w:t xml:space="preserve">eturn Directive.  It is said that this is a </w:t>
      </w:r>
      <w:r w:rsidR="002F7B72" w:rsidRPr="000E0CA0">
        <w:rPr>
          <w:rFonts w:ascii="Times New Roman" w:hAnsi="Times New Roman"/>
          <w:bCs/>
          <w:sz w:val="24"/>
          <w:szCs w:val="24"/>
        </w:rPr>
        <w:t>perfectly</w:t>
      </w:r>
      <w:r w:rsidRPr="000E0CA0">
        <w:rPr>
          <w:rFonts w:ascii="Times New Roman" w:hAnsi="Times New Roman"/>
          <w:bCs/>
          <w:sz w:val="24"/>
          <w:szCs w:val="24"/>
        </w:rPr>
        <w:t xml:space="preserve"> workable, existing, </w:t>
      </w:r>
      <w:r w:rsidR="002F7B72" w:rsidRPr="000E0CA0">
        <w:rPr>
          <w:rFonts w:ascii="Times New Roman" w:hAnsi="Times New Roman"/>
          <w:bCs/>
          <w:sz w:val="24"/>
          <w:szCs w:val="24"/>
        </w:rPr>
        <w:t>mechanism</w:t>
      </w:r>
      <w:r w:rsidRPr="000E0CA0">
        <w:rPr>
          <w:rFonts w:ascii="Times New Roman" w:hAnsi="Times New Roman"/>
          <w:bCs/>
          <w:sz w:val="24"/>
          <w:szCs w:val="24"/>
        </w:rPr>
        <w:t xml:space="preserve"> </w:t>
      </w:r>
      <w:r w:rsidR="002F7B72" w:rsidRPr="000E0CA0">
        <w:rPr>
          <w:rFonts w:ascii="Times New Roman" w:hAnsi="Times New Roman"/>
          <w:bCs/>
          <w:sz w:val="24"/>
          <w:szCs w:val="24"/>
        </w:rPr>
        <w:t xml:space="preserve">which </w:t>
      </w:r>
      <w:r w:rsidR="00C95FA2" w:rsidRPr="000E0CA0">
        <w:rPr>
          <w:rFonts w:ascii="Times New Roman" w:hAnsi="Times New Roman"/>
          <w:bCs/>
          <w:sz w:val="24"/>
          <w:szCs w:val="24"/>
        </w:rPr>
        <w:t xml:space="preserve">operates following dispatch and </w:t>
      </w:r>
      <w:r w:rsidR="002F7B72" w:rsidRPr="000E0CA0">
        <w:rPr>
          <w:rFonts w:ascii="Times New Roman" w:hAnsi="Times New Roman"/>
          <w:bCs/>
          <w:sz w:val="24"/>
          <w:szCs w:val="24"/>
        </w:rPr>
        <w:t xml:space="preserve">can adequately address those cases where there is a dispute between an exporter and a state. I disagree.  Any comparison between an easily worked </w:t>
      </w:r>
      <w:r w:rsidR="00FC583B" w:rsidRPr="000E0CA0">
        <w:rPr>
          <w:rFonts w:ascii="Times New Roman" w:hAnsi="Times New Roman"/>
          <w:bCs/>
          <w:sz w:val="24"/>
          <w:szCs w:val="24"/>
        </w:rPr>
        <w:t xml:space="preserve">and successful </w:t>
      </w:r>
      <w:r w:rsidR="002F7B72" w:rsidRPr="000E0CA0">
        <w:rPr>
          <w:rFonts w:ascii="Times New Roman" w:hAnsi="Times New Roman"/>
          <w:bCs/>
          <w:sz w:val="24"/>
          <w:szCs w:val="24"/>
        </w:rPr>
        <w:t xml:space="preserve">licence application system and the exigencies of the operation of the Return Directive and the risk of full scale foreign litigation </w:t>
      </w:r>
      <w:r w:rsidR="00FC583B" w:rsidRPr="000E0CA0">
        <w:rPr>
          <w:rFonts w:ascii="Times New Roman" w:hAnsi="Times New Roman"/>
          <w:bCs/>
          <w:sz w:val="24"/>
          <w:szCs w:val="24"/>
        </w:rPr>
        <w:t xml:space="preserve">that </w:t>
      </w:r>
      <w:r w:rsidR="00C95FA2" w:rsidRPr="000E0CA0">
        <w:rPr>
          <w:rFonts w:ascii="Times New Roman" w:hAnsi="Times New Roman"/>
          <w:bCs/>
          <w:sz w:val="24"/>
          <w:szCs w:val="24"/>
        </w:rPr>
        <w:t xml:space="preserve">it can give rise to (and which this case illustrates) </w:t>
      </w:r>
      <w:r w:rsidR="0061167B" w:rsidRPr="000E0CA0">
        <w:rPr>
          <w:rFonts w:ascii="Times New Roman" w:hAnsi="Times New Roman"/>
          <w:bCs/>
          <w:sz w:val="24"/>
          <w:szCs w:val="24"/>
        </w:rPr>
        <w:t>demonstrates just</w:t>
      </w:r>
      <w:r w:rsidR="002F7B72" w:rsidRPr="000E0CA0">
        <w:rPr>
          <w:rFonts w:ascii="Times New Roman" w:hAnsi="Times New Roman"/>
          <w:bCs/>
          <w:sz w:val="24"/>
          <w:szCs w:val="24"/>
        </w:rPr>
        <w:t xml:space="preserve"> why a</w:t>
      </w:r>
      <w:r w:rsidR="0061167B" w:rsidRPr="000E0CA0">
        <w:rPr>
          <w:rFonts w:ascii="Times New Roman" w:hAnsi="Times New Roman"/>
          <w:bCs/>
          <w:sz w:val="24"/>
          <w:szCs w:val="24"/>
        </w:rPr>
        <w:t xml:space="preserve">n advance </w:t>
      </w:r>
      <w:r w:rsidR="002F7B72" w:rsidRPr="000E0CA0">
        <w:rPr>
          <w:rFonts w:ascii="Times New Roman" w:hAnsi="Times New Roman"/>
          <w:bCs/>
          <w:sz w:val="24"/>
          <w:szCs w:val="24"/>
        </w:rPr>
        <w:t>notice</w:t>
      </w:r>
      <w:r w:rsidR="0061167B" w:rsidRPr="000E0CA0">
        <w:rPr>
          <w:rFonts w:ascii="Times New Roman" w:hAnsi="Times New Roman"/>
          <w:bCs/>
          <w:sz w:val="24"/>
          <w:szCs w:val="24"/>
        </w:rPr>
        <w:t xml:space="preserve"> obligation </w:t>
      </w:r>
      <w:r w:rsidR="002F7B72" w:rsidRPr="000E0CA0">
        <w:rPr>
          <w:rFonts w:ascii="Times New Roman" w:hAnsi="Times New Roman"/>
          <w:bCs/>
          <w:sz w:val="24"/>
          <w:szCs w:val="24"/>
        </w:rPr>
        <w:t xml:space="preserve">as part of a licence application regime is just about as good as it gets in terms of proportionality. </w:t>
      </w:r>
    </w:p>
    <w:p w14:paraId="0B8301E6" w14:textId="77777777" w:rsidR="003535D5" w:rsidRDefault="003535D5" w:rsidP="002D37BA">
      <w:pPr>
        <w:pStyle w:val="ListParagraph"/>
        <w:spacing w:line="240" w:lineRule="auto"/>
        <w:rPr>
          <w:rFonts w:ascii="Times New Roman" w:hAnsi="Times New Roman"/>
          <w:bCs/>
          <w:sz w:val="24"/>
          <w:szCs w:val="24"/>
        </w:rPr>
      </w:pPr>
    </w:p>
    <w:p w14:paraId="2281E853" w14:textId="0BF4B3E3" w:rsidR="000B0246" w:rsidRDefault="002F7B72" w:rsidP="002D37BA">
      <w:pPr>
        <w:pStyle w:val="ListParagraph"/>
        <w:numPr>
          <w:ilvl w:val="0"/>
          <w:numId w:val="21"/>
        </w:numPr>
        <w:spacing w:after="0" w:line="240" w:lineRule="auto"/>
        <w:jc w:val="both"/>
        <w:rPr>
          <w:rFonts w:ascii="Times New Roman" w:hAnsi="Times New Roman"/>
          <w:b/>
          <w:bCs/>
          <w:i/>
          <w:iCs/>
          <w:sz w:val="24"/>
          <w:szCs w:val="24"/>
        </w:rPr>
      </w:pPr>
      <w:r w:rsidRPr="000E0CA0">
        <w:rPr>
          <w:rFonts w:ascii="Times New Roman" w:hAnsi="Times New Roman"/>
          <w:b/>
          <w:bCs/>
          <w:i/>
          <w:iCs/>
          <w:sz w:val="24"/>
          <w:szCs w:val="24"/>
        </w:rPr>
        <w:t xml:space="preserve">A1P1 </w:t>
      </w:r>
    </w:p>
    <w:p w14:paraId="45A5CBD5" w14:textId="77777777" w:rsidR="00D22E8C" w:rsidRDefault="00D22E8C" w:rsidP="002D37BA">
      <w:pPr>
        <w:pStyle w:val="ListParagraph"/>
        <w:spacing w:after="0" w:line="240" w:lineRule="auto"/>
        <w:ind w:left="1080"/>
        <w:jc w:val="both"/>
        <w:rPr>
          <w:rFonts w:ascii="Times New Roman" w:hAnsi="Times New Roman"/>
          <w:b/>
          <w:bCs/>
          <w:i/>
          <w:iCs/>
          <w:sz w:val="24"/>
          <w:szCs w:val="24"/>
        </w:rPr>
      </w:pPr>
    </w:p>
    <w:p w14:paraId="6CBA7D02" w14:textId="1586F59E" w:rsidR="002F7B72" w:rsidRPr="000E0CA0" w:rsidRDefault="002F7B72" w:rsidP="002D37BA">
      <w:pPr>
        <w:pStyle w:val="ListParagraph"/>
        <w:numPr>
          <w:ilvl w:val="0"/>
          <w:numId w:val="13"/>
        </w:numPr>
        <w:tabs>
          <w:tab w:val="left" w:pos="709"/>
        </w:tabs>
        <w:spacing w:after="0" w:line="240" w:lineRule="auto"/>
        <w:ind w:hanging="720"/>
        <w:jc w:val="both"/>
        <w:rPr>
          <w:rFonts w:ascii="Times New Roman" w:hAnsi="Times New Roman"/>
          <w:bCs/>
          <w:sz w:val="24"/>
          <w:szCs w:val="24"/>
        </w:rPr>
      </w:pPr>
      <w:r w:rsidRPr="000E0CA0">
        <w:rPr>
          <w:rFonts w:ascii="Times New Roman" w:hAnsi="Times New Roman"/>
          <w:bCs/>
          <w:sz w:val="24"/>
          <w:szCs w:val="24"/>
        </w:rPr>
        <w:t>Finally</w:t>
      </w:r>
      <w:r w:rsidR="003535D5" w:rsidRPr="000E0CA0">
        <w:rPr>
          <w:rFonts w:ascii="Times New Roman" w:hAnsi="Times New Roman"/>
          <w:bCs/>
          <w:sz w:val="24"/>
          <w:szCs w:val="24"/>
        </w:rPr>
        <w:t xml:space="preserve"> -</w:t>
      </w:r>
      <w:r w:rsidRPr="000E0CA0">
        <w:rPr>
          <w:rFonts w:ascii="Times New Roman" w:hAnsi="Times New Roman"/>
          <w:bCs/>
          <w:sz w:val="24"/>
          <w:szCs w:val="24"/>
        </w:rPr>
        <w:t xml:space="preserve"> A1P1.  This argument did not loom large.  The Appellant puts the argument in the following way. The </w:t>
      </w:r>
      <w:r w:rsidR="00C63F63" w:rsidRPr="000E0CA0">
        <w:rPr>
          <w:rFonts w:ascii="Times New Roman" w:hAnsi="Times New Roman"/>
          <w:bCs/>
          <w:sz w:val="24"/>
          <w:szCs w:val="24"/>
        </w:rPr>
        <w:t xml:space="preserve">Return Directive balances the interests of a Member State seeking recovery of its national treasures with the legitimate property rights of the owners of those cultural objects.  So, Article 8(1) requires the competent authority of the requesting </w:t>
      </w:r>
      <w:r w:rsidR="00454194" w:rsidRPr="000E0CA0">
        <w:rPr>
          <w:rFonts w:ascii="Times New Roman" w:hAnsi="Times New Roman"/>
          <w:bCs/>
          <w:sz w:val="24"/>
          <w:szCs w:val="24"/>
        </w:rPr>
        <w:t xml:space="preserve">Member </w:t>
      </w:r>
      <w:r w:rsidR="00C63F63" w:rsidRPr="000E0CA0">
        <w:rPr>
          <w:rFonts w:ascii="Times New Roman" w:hAnsi="Times New Roman"/>
          <w:bCs/>
          <w:sz w:val="24"/>
          <w:szCs w:val="24"/>
        </w:rPr>
        <w:t xml:space="preserve">State to bring proceedings within three years of becoming aware of the location of the cultural object and of the identity of its possessor or holder.   Here the Italian authorities brought no proceedings within the required time frame for return of the painting from the UK.  Article 10 of the Return Directive provides that </w:t>
      </w:r>
      <w:r w:rsidR="00454194" w:rsidRPr="000E0CA0">
        <w:rPr>
          <w:rFonts w:ascii="Times New Roman" w:hAnsi="Times New Roman"/>
          <w:bCs/>
          <w:sz w:val="24"/>
          <w:szCs w:val="24"/>
        </w:rPr>
        <w:t xml:space="preserve">where </w:t>
      </w:r>
      <w:r w:rsidR="00C63F63" w:rsidRPr="000E0CA0">
        <w:rPr>
          <w:rFonts w:ascii="Times New Roman" w:hAnsi="Times New Roman"/>
          <w:bCs/>
          <w:i/>
          <w:iCs/>
          <w:sz w:val="24"/>
          <w:szCs w:val="24"/>
        </w:rPr>
        <w:t>“</w:t>
      </w:r>
      <w:r w:rsidR="00055FBE" w:rsidRPr="000E0CA0">
        <w:rPr>
          <w:rFonts w:ascii="Times New Roman" w:hAnsi="Times New Roman"/>
          <w:bCs/>
          <w:i/>
          <w:iCs/>
          <w:sz w:val="24"/>
          <w:szCs w:val="24"/>
        </w:rPr>
        <w:t xml:space="preserve">… </w:t>
      </w:r>
      <w:r w:rsidR="00C63F63" w:rsidRPr="000E0CA0">
        <w:rPr>
          <w:rFonts w:ascii="Times New Roman" w:hAnsi="Times New Roman"/>
          <w:bCs/>
          <w:i/>
          <w:iCs/>
          <w:sz w:val="24"/>
          <w:szCs w:val="24"/>
        </w:rPr>
        <w:t>return of the object is ordered, the competent court in the requested Member State shall award the possessor fair compensation according to the circumstances of the case, provided that the possessor demonstrates that he exercised due care and attention in acquiring the object</w:t>
      </w:r>
      <w:r w:rsidR="00C63F63" w:rsidRPr="000E0CA0">
        <w:rPr>
          <w:rFonts w:ascii="Times New Roman" w:hAnsi="Times New Roman"/>
          <w:bCs/>
          <w:sz w:val="24"/>
          <w:szCs w:val="24"/>
        </w:rPr>
        <w:t xml:space="preserve">”.    </w:t>
      </w:r>
      <w:r w:rsidR="00CD5BD8">
        <w:rPr>
          <w:rFonts w:ascii="Times New Roman" w:hAnsi="Times New Roman"/>
          <w:bCs/>
          <w:sz w:val="24"/>
          <w:szCs w:val="24"/>
        </w:rPr>
        <w:t xml:space="preserve">It </w:t>
      </w:r>
      <w:r w:rsidR="00C63F63" w:rsidRPr="000E0CA0">
        <w:rPr>
          <w:rFonts w:ascii="Times New Roman" w:hAnsi="Times New Roman"/>
          <w:bCs/>
          <w:sz w:val="24"/>
          <w:szCs w:val="24"/>
        </w:rPr>
        <w:t xml:space="preserve">also provides that </w:t>
      </w:r>
      <w:r w:rsidR="00E65E00" w:rsidRPr="000E0CA0">
        <w:rPr>
          <w:rFonts w:ascii="Times New Roman" w:hAnsi="Times New Roman"/>
          <w:bCs/>
          <w:sz w:val="24"/>
          <w:szCs w:val="24"/>
        </w:rPr>
        <w:t xml:space="preserve">the </w:t>
      </w:r>
      <w:r w:rsidR="00C63F63" w:rsidRPr="000E0CA0">
        <w:rPr>
          <w:rFonts w:ascii="Times New Roman" w:hAnsi="Times New Roman"/>
          <w:bCs/>
          <w:sz w:val="24"/>
          <w:szCs w:val="24"/>
        </w:rPr>
        <w:t xml:space="preserve">“… </w:t>
      </w:r>
      <w:r w:rsidR="00C63F63" w:rsidRPr="000E0CA0">
        <w:rPr>
          <w:rFonts w:ascii="Times New Roman" w:hAnsi="Times New Roman"/>
          <w:bCs/>
          <w:i/>
          <w:iCs/>
          <w:sz w:val="24"/>
          <w:szCs w:val="24"/>
        </w:rPr>
        <w:t>requesting Member State shall pay that compensation upon return of the object</w:t>
      </w:r>
      <w:r w:rsidR="00C63F63" w:rsidRPr="000E0CA0">
        <w:rPr>
          <w:rFonts w:ascii="Times New Roman" w:hAnsi="Times New Roman"/>
          <w:bCs/>
          <w:sz w:val="24"/>
          <w:szCs w:val="24"/>
        </w:rPr>
        <w:t>.”  The duty to pay compensation ensures observance of the fundamental rights</w:t>
      </w:r>
      <w:r w:rsidR="00055FBE" w:rsidRPr="000E0CA0">
        <w:rPr>
          <w:rFonts w:ascii="Times New Roman" w:hAnsi="Times New Roman"/>
          <w:bCs/>
          <w:sz w:val="24"/>
          <w:szCs w:val="24"/>
        </w:rPr>
        <w:t xml:space="preserve"> (</w:t>
      </w:r>
      <w:r w:rsidR="00C63F63" w:rsidRPr="000E0CA0">
        <w:rPr>
          <w:rFonts w:ascii="Times New Roman" w:hAnsi="Times New Roman"/>
          <w:bCs/>
          <w:sz w:val="24"/>
          <w:szCs w:val="24"/>
        </w:rPr>
        <w:t xml:space="preserve">Article 17 of the </w:t>
      </w:r>
      <w:r w:rsidR="00B67C2D" w:rsidRPr="000E0CA0">
        <w:rPr>
          <w:rFonts w:ascii="Times New Roman" w:hAnsi="Times New Roman"/>
          <w:bCs/>
          <w:sz w:val="24"/>
          <w:szCs w:val="24"/>
        </w:rPr>
        <w:t>Fundamental Charter a</w:t>
      </w:r>
      <w:r w:rsidRPr="000E0CA0">
        <w:rPr>
          <w:rFonts w:ascii="Times New Roman" w:hAnsi="Times New Roman"/>
          <w:bCs/>
          <w:sz w:val="24"/>
          <w:szCs w:val="24"/>
        </w:rPr>
        <w:t>nd A1P1</w:t>
      </w:r>
      <w:r w:rsidR="00282FC2" w:rsidRPr="000E0CA0">
        <w:rPr>
          <w:rFonts w:ascii="Times New Roman" w:hAnsi="Times New Roman"/>
          <w:bCs/>
          <w:sz w:val="24"/>
          <w:szCs w:val="24"/>
        </w:rPr>
        <w:t>)</w:t>
      </w:r>
      <w:r w:rsidR="00C63F63" w:rsidRPr="000E0CA0">
        <w:rPr>
          <w:rFonts w:ascii="Times New Roman" w:hAnsi="Times New Roman"/>
          <w:bCs/>
          <w:sz w:val="24"/>
          <w:szCs w:val="24"/>
        </w:rPr>
        <w:t xml:space="preserve"> </w:t>
      </w:r>
      <w:r w:rsidR="00CD5BD8">
        <w:rPr>
          <w:rFonts w:ascii="Times New Roman" w:hAnsi="Times New Roman"/>
          <w:bCs/>
          <w:sz w:val="24"/>
          <w:szCs w:val="24"/>
        </w:rPr>
        <w:t xml:space="preserve">for </w:t>
      </w:r>
      <w:r w:rsidR="00C63F63" w:rsidRPr="000E0CA0">
        <w:rPr>
          <w:rFonts w:ascii="Times New Roman" w:hAnsi="Times New Roman"/>
          <w:bCs/>
          <w:sz w:val="24"/>
          <w:szCs w:val="24"/>
        </w:rPr>
        <w:t>respect for their property.</w:t>
      </w:r>
      <w:r w:rsidR="00282FC2" w:rsidRPr="000E0CA0">
        <w:rPr>
          <w:rFonts w:ascii="Times New Roman" w:hAnsi="Times New Roman"/>
          <w:bCs/>
          <w:sz w:val="24"/>
          <w:szCs w:val="24"/>
        </w:rPr>
        <w:t xml:space="preserve">  </w:t>
      </w:r>
      <w:r w:rsidR="00C63F63" w:rsidRPr="000E0CA0">
        <w:rPr>
          <w:rFonts w:ascii="Times New Roman" w:hAnsi="Times New Roman"/>
          <w:bCs/>
          <w:sz w:val="24"/>
          <w:szCs w:val="24"/>
        </w:rPr>
        <w:t xml:space="preserve">None of these </w:t>
      </w:r>
      <w:r w:rsidRPr="000E0CA0">
        <w:rPr>
          <w:rFonts w:ascii="Times New Roman" w:hAnsi="Times New Roman"/>
          <w:bCs/>
          <w:sz w:val="24"/>
          <w:szCs w:val="24"/>
        </w:rPr>
        <w:t xml:space="preserve">safeguards are </w:t>
      </w:r>
      <w:r w:rsidR="00C63F63" w:rsidRPr="000E0CA0">
        <w:rPr>
          <w:rFonts w:ascii="Times New Roman" w:hAnsi="Times New Roman"/>
          <w:bCs/>
          <w:sz w:val="24"/>
          <w:szCs w:val="24"/>
        </w:rPr>
        <w:t xml:space="preserve">provided for in the Export Regulation.  Applying the principle </w:t>
      </w:r>
      <w:r w:rsidR="00C63F63" w:rsidRPr="000E0CA0">
        <w:rPr>
          <w:rFonts w:ascii="Times New Roman" w:hAnsi="Times New Roman"/>
          <w:bCs/>
          <w:i/>
          <w:sz w:val="24"/>
          <w:szCs w:val="24"/>
        </w:rPr>
        <w:t xml:space="preserve">generalia specialibus non derogant </w:t>
      </w:r>
      <w:r w:rsidR="00C63F63" w:rsidRPr="000E0CA0">
        <w:rPr>
          <w:rFonts w:ascii="Times New Roman" w:hAnsi="Times New Roman"/>
          <w:bCs/>
          <w:iCs/>
          <w:sz w:val="24"/>
          <w:szCs w:val="24"/>
        </w:rPr>
        <w:t>this tells</w:t>
      </w:r>
      <w:r w:rsidR="00C63F63" w:rsidRPr="000E0CA0">
        <w:rPr>
          <w:rFonts w:ascii="Times New Roman" w:hAnsi="Times New Roman"/>
          <w:bCs/>
          <w:i/>
          <w:sz w:val="24"/>
          <w:szCs w:val="24"/>
        </w:rPr>
        <w:t xml:space="preserve"> </w:t>
      </w:r>
      <w:r w:rsidR="00C63F63" w:rsidRPr="000E0CA0">
        <w:rPr>
          <w:rFonts w:ascii="Times New Roman" w:hAnsi="Times New Roman"/>
          <w:bCs/>
          <w:sz w:val="24"/>
          <w:szCs w:val="24"/>
        </w:rPr>
        <w:t>against construing the more general provisions of the Export Regulation in a way that indirectly achieves the same ends but without the accompanying safeguards</w:t>
      </w:r>
      <w:r w:rsidRPr="000E0CA0">
        <w:rPr>
          <w:rFonts w:ascii="Times New Roman" w:hAnsi="Times New Roman"/>
          <w:bCs/>
          <w:sz w:val="24"/>
          <w:szCs w:val="24"/>
        </w:rPr>
        <w:t>, alternatively it is an argument in favour of concluding that the Italian law is disproportionate under Article 36</w:t>
      </w:r>
      <w:r w:rsidR="00EB21D3">
        <w:rPr>
          <w:rFonts w:ascii="Times New Roman" w:hAnsi="Times New Roman"/>
          <w:bCs/>
          <w:sz w:val="24"/>
          <w:szCs w:val="24"/>
        </w:rPr>
        <w:t xml:space="preserve"> </w:t>
      </w:r>
      <w:r w:rsidRPr="000E0CA0">
        <w:rPr>
          <w:rFonts w:ascii="Times New Roman" w:hAnsi="Times New Roman"/>
          <w:bCs/>
          <w:sz w:val="24"/>
          <w:szCs w:val="24"/>
        </w:rPr>
        <w:t>TFEU</w:t>
      </w:r>
      <w:r w:rsidR="00C63F63" w:rsidRPr="000E0CA0">
        <w:rPr>
          <w:rFonts w:ascii="Times New Roman" w:hAnsi="Times New Roman"/>
          <w:bCs/>
          <w:sz w:val="24"/>
          <w:szCs w:val="24"/>
        </w:rPr>
        <w:t>. I disagree with the premise behind this argument. The Export Regulation balance</w:t>
      </w:r>
      <w:r w:rsidRPr="000E0CA0">
        <w:rPr>
          <w:rFonts w:ascii="Times New Roman" w:hAnsi="Times New Roman"/>
          <w:bCs/>
          <w:sz w:val="24"/>
          <w:szCs w:val="24"/>
        </w:rPr>
        <w:t>s</w:t>
      </w:r>
      <w:r w:rsidR="00C63F63" w:rsidRPr="000E0CA0">
        <w:rPr>
          <w:rFonts w:ascii="Times New Roman" w:hAnsi="Times New Roman"/>
          <w:bCs/>
          <w:sz w:val="24"/>
          <w:szCs w:val="24"/>
        </w:rPr>
        <w:t xml:space="preserve"> the rights of the State with </w:t>
      </w:r>
      <w:r w:rsidRPr="000E0CA0">
        <w:rPr>
          <w:rFonts w:ascii="Times New Roman" w:hAnsi="Times New Roman"/>
          <w:bCs/>
          <w:sz w:val="24"/>
          <w:szCs w:val="24"/>
        </w:rPr>
        <w:t xml:space="preserve">those </w:t>
      </w:r>
      <w:r w:rsidR="00C63F63" w:rsidRPr="000E0CA0">
        <w:rPr>
          <w:rFonts w:ascii="Times New Roman" w:hAnsi="Times New Roman"/>
          <w:bCs/>
          <w:sz w:val="24"/>
          <w:szCs w:val="24"/>
        </w:rPr>
        <w:t xml:space="preserve">of the owner.  It is not unlawful by reference to standards of fundamental and human rights for a state to regulate the export of cultural items. </w:t>
      </w:r>
      <w:r w:rsidR="00E65E00" w:rsidRPr="000E0CA0">
        <w:rPr>
          <w:rFonts w:ascii="Times New Roman" w:hAnsi="Times New Roman"/>
          <w:bCs/>
          <w:sz w:val="24"/>
          <w:szCs w:val="24"/>
        </w:rPr>
        <w:t xml:space="preserve"> </w:t>
      </w:r>
      <w:r w:rsidR="00C63F63" w:rsidRPr="000E0CA0">
        <w:rPr>
          <w:rFonts w:ascii="Times New Roman" w:hAnsi="Times New Roman"/>
          <w:bCs/>
          <w:sz w:val="24"/>
          <w:szCs w:val="24"/>
        </w:rPr>
        <w:t xml:space="preserve">If and insofar as there is, however, an issue under, for instance, A1P1 then that is a right that can be pursued </w:t>
      </w:r>
      <w:r w:rsidR="00282FC2" w:rsidRPr="000E0CA0">
        <w:rPr>
          <w:rFonts w:ascii="Times New Roman" w:hAnsi="Times New Roman"/>
          <w:bCs/>
          <w:sz w:val="24"/>
          <w:szCs w:val="24"/>
        </w:rPr>
        <w:t xml:space="preserve">by Mrs Simonis </w:t>
      </w:r>
      <w:r w:rsidR="00C63F63" w:rsidRPr="000E0CA0">
        <w:rPr>
          <w:rFonts w:ascii="Times New Roman" w:hAnsi="Times New Roman"/>
          <w:bCs/>
          <w:sz w:val="24"/>
          <w:szCs w:val="24"/>
        </w:rPr>
        <w:t>in the Italian court</w:t>
      </w:r>
      <w:r w:rsidR="00CD5BD8">
        <w:rPr>
          <w:rFonts w:ascii="Times New Roman" w:hAnsi="Times New Roman"/>
          <w:bCs/>
          <w:sz w:val="24"/>
          <w:szCs w:val="24"/>
        </w:rPr>
        <w:t>s</w:t>
      </w:r>
      <w:r w:rsidR="00C63F63" w:rsidRPr="000E0CA0">
        <w:rPr>
          <w:rFonts w:ascii="Times New Roman" w:hAnsi="Times New Roman"/>
          <w:bCs/>
          <w:sz w:val="24"/>
          <w:szCs w:val="24"/>
        </w:rPr>
        <w:t xml:space="preserve">.  Nothing in EU law or for that matter Italian or English law can prevent Mrs Simonis from pursuing any right to compensation that she believes that she has </w:t>
      </w:r>
      <w:r w:rsidR="00C63F63" w:rsidRPr="000E0CA0">
        <w:rPr>
          <w:rFonts w:ascii="Times New Roman" w:hAnsi="Times New Roman"/>
          <w:bCs/>
          <w:sz w:val="24"/>
          <w:szCs w:val="24"/>
          <w:u w:val="single"/>
        </w:rPr>
        <w:t>in</w:t>
      </w:r>
      <w:r w:rsidR="00C63F63" w:rsidRPr="000E0CA0">
        <w:rPr>
          <w:rFonts w:ascii="Times New Roman" w:hAnsi="Times New Roman"/>
          <w:bCs/>
          <w:sz w:val="24"/>
          <w:szCs w:val="24"/>
        </w:rPr>
        <w:t xml:space="preserve"> Italy</w:t>
      </w:r>
      <w:r w:rsidR="00E13FBF">
        <w:rPr>
          <w:rFonts w:ascii="Times New Roman" w:hAnsi="Times New Roman"/>
          <w:bCs/>
          <w:sz w:val="24"/>
          <w:szCs w:val="24"/>
        </w:rPr>
        <w:t xml:space="preserve"> which is the state allegedly depriving her of her rights</w:t>
      </w:r>
      <w:r w:rsidR="00C63F63" w:rsidRPr="000E0CA0">
        <w:rPr>
          <w:rFonts w:ascii="Times New Roman" w:hAnsi="Times New Roman"/>
          <w:bCs/>
          <w:sz w:val="24"/>
          <w:szCs w:val="24"/>
        </w:rPr>
        <w:t>.</w:t>
      </w:r>
      <w:r w:rsidR="00E65E00" w:rsidRPr="000E0CA0">
        <w:rPr>
          <w:rFonts w:ascii="Times New Roman" w:hAnsi="Times New Roman"/>
          <w:bCs/>
          <w:sz w:val="24"/>
          <w:szCs w:val="24"/>
        </w:rPr>
        <w:t xml:space="preserve">  </w:t>
      </w:r>
      <w:r w:rsidRPr="000E0CA0">
        <w:rPr>
          <w:rFonts w:ascii="Times New Roman" w:hAnsi="Times New Roman"/>
          <w:bCs/>
          <w:sz w:val="24"/>
          <w:szCs w:val="24"/>
        </w:rPr>
        <w:t xml:space="preserve">Nothing in these asserted rights affects either the construction or the validity of the Italian law. </w:t>
      </w:r>
    </w:p>
    <w:p w14:paraId="495AB328" w14:textId="77777777" w:rsidR="006A70F9" w:rsidRPr="000E0CA0" w:rsidRDefault="006720FA" w:rsidP="002D37BA">
      <w:pPr>
        <w:pStyle w:val="ListParagraph"/>
        <w:spacing w:after="0" w:line="240" w:lineRule="auto"/>
        <w:ind w:left="0"/>
        <w:jc w:val="both"/>
        <w:rPr>
          <w:rFonts w:ascii="Times New Roman" w:hAnsi="Times New Roman"/>
          <w:bCs/>
          <w:sz w:val="24"/>
          <w:szCs w:val="24"/>
        </w:rPr>
      </w:pPr>
      <w:r w:rsidRPr="000E0CA0">
        <w:rPr>
          <w:rFonts w:ascii="Times New Roman" w:hAnsi="Times New Roman"/>
          <w:bCs/>
          <w:sz w:val="24"/>
          <w:szCs w:val="24"/>
        </w:rPr>
        <w:t xml:space="preserve"> </w:t>
      </w:r>
    </w:p>
    <w:p w14:paraId="3797E212" w14:textId="77777777" w:rsidR="00A318AE" w:rsidRPr="00CD5BD8" w:rsidRDefault="00F33DE1" w:rsidP="002D37BA">
      <w:pPr>
        <w:pStyle w:val="ListParagraph"/>
        <w:numPr>
          <w:ilvl w:val="0"/>
          <w:numId w:val="21"/>
        </w:numPr>
        <w:spacing w:after="0" w:line="240" w:lineRule="auto"/>
        <w:jc w:val="both"/>
        <w:rPr>
          <w:rFonts w:ascii="Times New Roman" w:hAnsi="Times New Roman"/>
          <w:b/>
          <w:i/>
          <w:sz w:val="24"/>
          <w:szCs w:val="24"/>
        </w:rPr>
      </w:pPr>
      <w:r w:rsidRPr="00CD5BD8">
        <w:rPr>
          <w:rFonts w:ascii="Times New Roman" w:hAnsi="Times New Roman"/>
          <w:b/>
          <w:i/>
          <w:sz w:val="24"/>
          <w:szCs w:val="24"/>
        </w:rPr>
        <w:t>Conclusion on r</w:t>
      </w:r>
      <w:r w:rsidR="00A318AE" w:rsidRPr="00CD5BD8">
        <w:rPr>
          <w:rFonts w:ascii="Times New Roman" w:hAnsi="Times New Roman"/>
          <w:b/>
          <w:i/>
          <w:sz w:val="24"/>
          <w:szCs w:val="24"/>
        </w:rPr>
        <w:t>eference to the Court of Justice</w:t>
      </w:r>
    </w:p>
    <w:p w14:paraId="58C88C87" w14:textId="77777777" w:rsidR="00A318AE" w:rsidRPr="000E0CA0" w:rsidRDefault="00A318AE" w:rsidP="002D37BA">
      <w:pPr>
        <w:pStyle w:val="ListParagraph"/>
        <w:spacing w:line="240" w:lineRule="auto"/>
        <w:rPr>
          <w:rFonts w:ascii="Times New Roman" w:hAnsi="Times New Roman"/>
          <w:bCs/>
          <w:sz w:val="24"/>
          <w:szCs w:val="24"/>
        </w:rPr>
      </w:pPr>
    </w:p>
    <w:p w14:paraId="20C3F588" w14:textId="77777777" w:rsidR="00BE3587" w:rsidRPr="000E0CA0" w:rsidRDefault="00CD5BD8" w:rsidP="002D37BA">
      <w:pPr>
        <w:pStyle w:val="ListParagraph"/>
        <w:numPr>
          <w:ilvl w:val="0"/>
          <w:numId w:val="13"/>
        </w:numPr>
        <w:tabs>
          <w:tab w:val="left" w:pos="709"/>
        </w:tabs>
        <w:spacing w:after="0" w:line="240" w:lineRule="auto"/>
        <w:ind w:hanging="720"/>
        <w:jc w:val="both"/>
        <w:rPr>
          <w:rFonts w:ascii="Times New Roman" w:hAnsi="Times New Roman"/>
          <w:bCs/>
          <w:sz w:val="24"/>
          <w:szCs w:val="24"/>
        </w:rPr>
      </w:pPr>
      <w:r>
        <w:rPr>
          <w:rFonts w:ascii="Times New Roman" w:hAnsi="Times New Roman"/>
          <w:bCs/>
          <w:sz w:val="24"/>
          <w:szCs w:val="24"/>
        </w:rPr>
        <w:t>Although i</w:t>
      </w:r>
      <w:r w:rsidR="00BB0C5B" w:rsidRPr="000E0CA0">
        <w:rPr>
          <w:rFonts w:ascii="Times New Roman" w:hAnsi="Times New Roman"/>
          <w:bCs/>
          <w:sz w:val="24"/>
          <w:szCs w:val="24"/>
        </w:rPr>
        <w:t xml:space="preserve">n theory this Court could refer the legality of the Italian law </w:t>
      </w:r>
      <w:r w:rsidR="00E65E00" w:rsidRPr="000E0CA0">
        <w:rPr>
          <w:rFonts w:ascii="Times New Roman" w:hAnsi="Times New Roman"/>
          <w:bCs/>
          <w:sz w:val="24"/>
          <w:szCs w:val="24"/>
        </w:rPr>
        <w:t>to the Court</w:t>
      </w:r>
      <w:r w:rsidR="001B17FA" w:rsidRPr="000E0CA0">
        <w:rPr>
          <w:rFonts w:ascii="Times New Roman" w:hAnsi="Times New Roman"/>
          <w:bCs/>
          <w:sz w:val="24"/>
          <w:szCs w:val="24"/>
        </w:rPr>
        <w:t>,</w:t>
      </w:r>
      <w:r w:rsidR="00BB0C5B" w:rsidRPr="000E0CA0">
        <w:rPr>
          <w:rFonts w:ascii="Times New Roman" w:hAnsi="Times New Roman"/>
          <w:bCs/>
          <w:sz w:val="24"/>
          <w:szCs w:val="24"/>
        </w:rPr>
        <w:t xml:space="preserve"> I do not consider that a reference is justified.  There is no arguable case that </w:t>
      </w:r>
      <w:r w:rsidR="00E65E00" w:rsidRPr="000E0CA0">
        <w:rPr>
          <w:rFonts w:ascii="Times New Roman" w:hAnsi="Times New Roman"/>
          <w:bCs/>
          <w:sz w:val="24"/>
          <w:szCs w:val="24"/>
        </w:rPr>
        <w:t>Italian law is invalid</w:t>
      </w:r>
      <w:r w:rsidR="00BB0C5B" w:rsidRPr="000E0CA0">
        <w:rPr>
          <w:rFonts w:ascii="Times New Roman" w:hAnsi="Times New Roman"/>
          <w:bCs/>
          <w:sz w:val="24"/>
          <w:szCs w:val="24"/>
        </w:rPr>
        <w:t xml:space="preserve">.  In any event a reference is a matter of discretion.  </w:t>
      </w:r>
      <w:r w:rsidR="0083744D" w:rsidRPr="000E0CA0">
        <w:rPr>
          <w:rFonts w:ascii="Times New Roman" w:hAnsi="Times New Roman"/>
          <w:bCs/>
          <w:sz w:val="24"/>
          <w:szCs w:val="24"/>
        </w:rPr>
        <w:t xml:space="preserve">If </w:t>
      </w:r>
      <w:r w:rsidR="00BB0C5B" w:rsidRPr="000E0CA0">
        <w:rPr>
          <w:rFonts w:ascii="Times New Roman" w:hAnsi="Times New Roman"/>
          <w:bCs/>
          <w:sz w:val="24"/>
          <w:szCs w:val="24"/>
        </w:rPr>
        <w:t>the Appellant is so confident that she would be entitled to an export licence as of right</w:t>
      </w:r>
      <w:r w:rsidR="00F33DE1" w:rsidRPr="000E0CA0">
        <w:rPr>
          <w:rFonts w:ascii="Times New Roman" w:hAnsi="Times New Roman"/>
          <w:bCs/>
          <w:sz w:val="24"/>
          <w:szCs w:val="24"/>
        </w:rPr>
        <w:t>,</w:t>
      </w:r>
      <w:r w:rsidR="00BB0C5B" w:rsidRPr="000E0CA0">
        <w:rPr>
          <w:rFonts w:ascii="Times New Roman" w:hAnsi="Times New Roman"/>
          <w:bCs/>
          <w:sz w:val="24"/>
          <w:szCs w:val="24"/>
        </w:rPr>
        <w:t xml:space="preserve"> then she has not had the courage of her conviction and accepted the offer of an export licence back to Italy from the Arts Council. If she is </w:t>
      </w:r>
      <w:r w:rsidR="00F33DE1" w:rsidRPr="000E0CA0">
        <w:rPr>
          <w:rFonts w:ascii="Times New Roman" w:hAnsi="Times New Roman"/>
          <w:bCs/>
          <w:sz w:val="24"/>
          <w:szCs w:val="24"/>
        </w:rPr>
        <w:t>correct</w:t>
      </w:r>
      <w:r w:rsidR="0083744D" w:rsidRPr="000E0CA0">
        <w:rPr>
          <w:rFonts w:ascii="Times New Roman" w:hAnsi="Times New Roman"/>
          <w:bCs/>
          <w:sz w:val="24"/>
          <w:szCs w:val="24"/>
        </w:rPr>
        <w:t>,</w:t>
      </w:r>
      <w:r w:rsidR="00BB0C5B" w:rsidRPr="000E0CA0">
        <w:rPr>
          <w:rFonts w:ascii="Times New Roman" w:hAnsi="Times New Roman"/>
          <w:bCs/>
          <w:sz w:val="24"/>
          <w:szCs w:val="24"/>
        </w:rPr>
        <w:t xml:space="preserve"> the</w:t>
      </w:r>
      <w:r w:rsidR="0083744D" w:rsidRPr="000E0CA0">
        <w:rPr>
          <w:rFonts w:ascii="Times New Roman" w:hAnsi="Times New Roman"/>
          <w:bCs/>
          <w:sz w:val="24"/>
          <w:szCs w:val="24"/>
        </w:rPr>
        <w:t>n</w:t>
      </w:r>
      <w:r w:rsidR="00BB0C5B" w:rsidRPr="000E0CA0">
        <w:rPr>
          <w:rFonts w:ascii="Times New Roman" w:hAnsi="Times New Roman"/>
          <w:bCs/>
          <w:sz w:val="24"/>
          <w:szCs w:val="24"/>
        </w:rPr>
        <w:t xml:space="preserve"> upon return </w:t>
      </w:r>
      <w:r w:rsidR="00F33DE1" w:rsidRPr="000E0CA0">
        <w:rPr>
          <w:rFonts w:ascii="Times New Roman" w:hAnsi="Times New Roman"/>
          <w:bCs/>
          <w:sz w:val="24"/>
          <w:szCs w:val="24"/>
        </w:rPr>
        <w:t xml:space="preserve">of the painting </w:t>
      </w:r>
      <w:r w:rsidR="00BB0C5B" w:rsidRPr="000E0CA0">
        <w:rPr>
          <w:rFonts w:ascii="Times New Roman" w:hAnsi="Times New Roman"/>
          <w:bCs/>
          <w:sz w:val="24"/>
          <w:szCs w:val="24"/>
        </w:rPr>
        <w:t xml:space="preserve">to Italy she will obtain the necessary </w:t>
      </w:r>
      <w:r w:rsidR="00F33DE1" w:rsidRPr="000E0CA0">
        <w:rPr>
          <w:rFonts w:ascii="Times New Roman" w:hAnsi="Times New Roman"/>
          <w:bCs/>
          <w:sz w:val="24"/>
          <w:szCs w:val="24"/>
        </w:rPr>
        <w:t xml:space="preserve">export </w:t>
      </w:r>
      <w:r w:rsidR="00BB0C5B" w:rsidRPr="000E0CA0">
        <w:rPr>
          <w:rFonts w:ascii="Times New Roman" w:hAnsi="Times New Roman"/>
          <w:bCs/>
          <w:sz w:val="24"/>
          <w:szCs w:val="24"/>
        </w:rPr>
        <w:t>licence.</w:t>
      </w:r>
      <w:r w:rsidR="00E65E00" w:rsidRPr="000E0CA0">
        <w:rPr>
          <w:rFonts w:ascii="Times New Roman" w:hAnsi="Times New Roman"/>
          <w:bCs/>
          <w:sz w:val="24"/>
          <w:szCs w:val="24"/>
        </w:rPr>
        <w:t xml:space="preserve">  </w:t>
      </w:r>
      <w:r w:rsidR="0083744D" w:rsidRPr="000E0CA0">
        <w:rPr>
          <w:rFonts w:ascii="Times New Roman" w:hAnsi="Times New Roman"/>
          <w:bCs/>
          <w:sz w:val="24"/>
          <w:szCs w:val="24"/>
        </w:rPr>
        <w:t xml:space="preserve">Doing this </w:t>
      </w:r>
      <w:r w:rsidR="00BB0C5B" w:rsidRPr="000E0CA0">
        <w:rPr>
          <w:rFonts w:ascii="Times New Roman" w:hAnsi="Times New Roman"/>
          <w:bCs/>
          <w:sz w:val="24"/>
          <w:szCs w:val="24"/>
        </w:rPr>
        <w:t>wo</w:t>
      </w:r>
      <w:r w:rsidR="0083744D" w:rsidRPr="000E0CA0">
        <w:rPr>
          <w:rFonts w:ascii="Times New Roman" w:hAnsi="Times New Roman"/>
          <w:bCs/>
          <w:sz w:val="24"/>
          <w:szCs w:val="24"/>
        </w:rPr>
        <w:t>u</w:t>
      </w:r>
      <w:r w:rsidR="00BB0C5B" w:rsidRPr="000E0CA0">
        <w:rPr>
          <w:rFonts w:ascii="Times New Roman" w:hAnsi="Times New Roman"/>
          <w:bCs/>
          <w:sz w:val="24"/>
          <w:szCs w:val="24"/>
        </w:rPr>
        <w:t>ld be a quicker</w:t>
      </w:r>
      <w:r w:rsidR="00F33DE1" w:rsidRPr="000E0CA0">
        <w:rPr>
          <w:rFonts w:ascii="Times New Roman" w:hAnsi="Times New Roman"/>
          <w:bCs/>
          <w:sz w:val="24"/>
          <w:szCs w:val="24"/>
        </w:rPr>
        <w:t>, cheaper</w:t>
      </w:r>
      <w:r w:rsidR="00BB0C5B" w:rsidRPr="000E0CA0">
        <w:rPr>
          <w:rFonts w:ascii="Times New Roman" w:hAnsi="Times New Roman"/>
          <w:bCs/>
          <w:sz w:val="24"/>
          <w:szCs w:val="24"/>
        </w:rPr>
        <w:t xml:space="preserve"> and less complex and controversial way of resolving this </w:t>
      </w:r>
      <w:r w:rsidR="0036349E" w:rsidRPr="000E0CA0">
        <w:rPr>
          <w:rFonts w:ascii="Times New Roman" w:hAnsi="Times New Roman"/>
          <w:bCs/>
          <w:sz w:val="24"/>
          <w:szCs w:val="24"/>
        </w:rPr>
        <w:t>issue than</w:t>
      </w:r>
      <w:r w:rsidR="0083744D" w:rsidRPr="000E0CA0">
        <w:rPr>
          <w:rFonts w:ascii="Times New Roman" w:hAnsi="Times New Roman"/>
          <w:bCs/>
          <w:sz w:val="24"/>
          <w:szCs w:val="24"/>
        </w:rPr>
        <w:t xml:space="preserve"> </w:t>
      </w:r>
      <w:r w:rsidR="00BB0C5B" w:rsidRPr="000E0CA0">
        <w:rPr>
          <w:rFonts w:ascii="Times New Roman" w:hAnsi="Times New Roman"/>
          <w:bCs/>
          <w:sz w:val="24"/>
          <w:szCs w:val="24"/>
        </w:rPr>
        <w:t>a reference to the Court of Justice.</w:t>
      </w:r>
    </w:p>
    <w:p w14:paraId="18AF17C2" w14:textId="77777777" w:rsidR="00BB0C5B" w:rsidRPr="00CD5BD8" w:rsidRDefault="00BB0C5B" w:rsidP="002D37BA">
      <w:pPr>
        <w:pStyle w:val="ParaLevel1"/>
        <w:tabs>
          <w:tab w:val="clear" w:pos="1996"/>
          <w:tab w:val="num" w:pos="709"/>
        </w:tabs>
        <w:ind w:left="709" w:hanging="709"/>
        <w:rPr>
          <w:b/>
          <w:szCs w:val="24"/>
          <w:u w:val="single"/>
        </w:rPr>
      </w:pPr>
      <w:r w:rsidRPr="00CD5BD8">
        <w:rPr>
          <w:b/>
          <w:szCs w:val="24"/>
          <w:u w:val="single"/>
        </w:rPr>
        <w:t xml:space="preserve">Conclusion </w:t>
      </w:r>
    </w:p>
    <w:p w14:paraId="102F2D8B" w14:textId="77777777" w:rsidR="00F6315D" w:rsidRDefault="00BB0C5B" w:rsidP="002D37BA">
      <w:pPr>
        <w:pStyle w:val="ListParagraph"/>
        <w:numPr>
          <w:ilvl w:val="0"/>
          <w:numId w:val="13"/>
        </w:numPr>
        <w:tabs>
          <w:tab w:val="left" w:pos="709"/>
        </w:tabs>
        <w:spacing w:after="0" w:line="240" w:lineRule="auto"/>
        <w:ind w:hanging="720"/>
        <w:jc w:val="both"/>
        <w:rPr>
          <w:rFonts w:ascii="Times New Roman" w:hAnsi="Times New Roman"/>
          <w:bCs/>
          <w:sz w:val="24"/>
          <w:szCs w:val="24"/>
        </w:rPr>
      </w:pPr>
      <w:r w:rsidRPr="000E0CA0">
        <w:rPr>
          <w:rFonts w:ascii="Times New Roman" w:hAnsi="Times New Roman"/>
          <w:bCs/>
          <w:sz w:val="24"/>
          <w:szCs w:val="24"/>
        </w:rPr>
        <w:t>For all the above reasons I would reject this appeal</w:t>
      </w:r>
      <w:r w:rsidR="00FC1485" w:rsidRPr="000E0CA0">
        <w:rPr>
          <w:rFonts w:ascii="Times New Roman" w:hAnsi="Times New Roman"/>
          <w:bCs/>
          <w:sz w:val="24"/>
          <w:szCs w:val="24"/>
        </w:rPr>
        <w:t>.</w:t>
      </w:r>
    </w:p>
    <w:p w14:paraId="0E6B0E16" w14:textId="77777777" w:rsidR="00F6315D" w:rsidRPr="00785597" w:rsidRDefault="00F6315D" w:rsidP="002D37BA">
      <w:pPr>
        <w:pStyle w:val="ParaHeading"/>
        <w:rPr>
          <w:b/>
        </w:rPr>
      </w:pPr>
      <w:r w:rsidRPr="00785597">
        <w:rPr>
          <w:b/>
        </w:rPr>
        <w:t>Lord Justice Arnold:</w:t>
      </w:r>
    </w:p>
    <w:p w14:paraId="3C082282" w14:textId="77777777" w:rsidR="00F6315D" w:rsidRDefault="005E73A2" w:rsidP="002D37BA">
      <w:pPr>
        <w:pStyle w:val="ListParagraph"/>
        <w:numPr>
          <w:ilvl w:val="0"/>
          <w:numId w:val="13"/>
        </w:numPr>
        <w:spacing w:after="0" w:line="240" w:lineRule="auto"/>
        <w:ind w:left="709" w:hanging="709"/>
        <w:jc w:val="both"/>
        <w:rPr>
          <w:rFonts w:ascii="Times New Roman" w:hAnsi="Times New Roman"/>
          <w:bCs/>
          <w:sz w:val="24"/>
          <w:szCs w:val="24"/>
        </w:rPr>
      </w:pPr>
      <w:r>
        <w:rPr>
          <w:rFonts w:ascii="Times New Roman" w:hAnsi="Times New Roman"/>
          <w:bCs/>
          <w:sz w:val="24"/>
          <w:szCs w:val="24"/>
        </w:rPr>
        <w:t xml:space="preserve">  </w:t>
      </w:r>
      <w:r w:rsidR="00F6315D">
        <w:rPr>
          <w:rFonts w:ascii="Times New Roman" w:hAnsi="Times New Roman"/>
          <w:bCs/>
          <w:sz w:val="24"/>
          <w:szCs w:val="24"/>
        </w:rPr>
        <w:t>I agree</w:t>
      </w:r>
      <w:r w:rsidR="00785597">
        <w:rPr>
          <w:rFonts w:ascii="Times New Roman" w:hAnsi="Times New Roman"/>
          <w:bCs/>
          <w:sz w:val="24"/>
          <w:szCs w:val="24"/>
        </w:rPr>
        <w:t>.</w:t>
      </w:r>
    </w:p>
    <w:p w14:paraId="1F2097C4" w14:textId="77777777" w:rsidR="00F6315D" w:rsidRPr="00785597" w:rsidRDefault="00F6315D" w:rsidP="002D37BA">
      <w:pPr>
        <w:pStyle w:val="ParaHeading"/>
        <w:rPr>
          <w:b/>
        </w:rPr>
      </w:pPr>
      <w:r w:rsidRPr="00785597">
        <w:rPr>
          <w:b/>
        </w:rPr>
        <w:t>Lord Justice Underhill:</w:t>
      </w:r>
    </w:p>
    <w:p w14:paraId="406AF911" w14:textId="77777777" w:rsidR="00F6315D" w:rsidRPr="00F6315D" w:rsidRDefault="005E73A2" w:rsidP="002D37BA">
      <w:pPr>
        <w:pStyle w:val="ListParagraph"/>
        <w:numPr>
          <w:ilvl w:val="0"/>
          <w:numId w:val="13"/>
        </w:numPr>
        <w:spacing w:after="0" w:line="240" w:lineRule="auto"/>
        <w:ind w:hanging="720"/>
        <w:jc w:val="both"/>
        <w:rPr>
          <w:rFonts w:ascii="Times New Roman" w:hAnsi="Times New Roman"/>
          <w:bCs/>
          <w:sz w:val="24"/>
          <w:szCs w:val="24"/>
        </w:rPr>
      </w:pPr>
      <w:r>
        <w:rPr>
          <w:rFonts w:ascii="Times New Roman" w:hAnsi="Times New Roman"/>
          <w:bCs/>
          <w:sz w:val="24"/>
          <w:szCs w:val="24"/>
        </w:rPr>
        <w:t xml:space="preserve">  </w:t>
      </w:r>
      <w:r w:rsidR="00F6315D">
        <w:rPr>
          <w:rFonts w:ascii="Times New Roman" w:hAnsi="Times New Roman"/>
          <w:bCs/>
          <w:sz w:val="24"/>
          <w:szCs w:val="24"/>
        </w:rPr>
        <w:t xml:space="preserve">I also agree. </w:t>
      </w:r>
    </w:p>
    <w:sectPr w:rsidR="00F6315D" w:rsidRPr="00F6315D" w:rsidSect="002D37BA">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0499C" w14:textId="77777777" w:rsidR="000B7828" w:rsidRDefault="000B7828">
      <w:r>
        <w:separator/>
      </w:r>
    </w:p>
  </w:endnote>
  <w:endnote w:type="continuationSeparator" w:id="0">
    <w:p w14:paraId="295323F9" w14:textId="77777777" w:rsidR="000B7828" w:rsidRDefault="000B7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917AE" w14:textId="77777777" w:rsidR="002D37BA" w:rsidRDefault="002D3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07A91" w14:textId="77777777" w:rsidR="00055FBE" w:rsidRDefault="00055FBE">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E7042" w14:textId="77777777" w:rsidR="002D37BA" w:rsidRDefault="002D37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FD2C1" w14:textId="3C12F5A2" w:rsidR="00055FBE" w:rsidRPr="002D37BA" w:rsidRDefault="00055FBE" w:rsidP="002D3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AA7B3" w14:textId="77777777" w:rsidR="000B7828" w:rsidRDefault="000B7828">
      <w:r>
        <w:separator/>
      </w:r>
    </w:p>
  </w:footnote>
  <w:footnote w:type="continuationSeparator" w:id="0">
    <w:p w14:paraId="684F987D" w14:textId="77777777" w:rsidR="000B7828" w:rsidRDefault="000B7828">
      <w:r>
        <w:continuationSeparator/>
      </w:r>
    </w:p>
  </w:footnote>
  <w:footnote w:id="1">
    <w:p w14:paraId="4CADCD82" w14:textId="52F9ACE6" w:rsidR="001E12A4" w:rsidRPr="00D82D8C" w:rsidRDefault="001E12A4" w:rsidP="00FB4173">
      <w:pPr>
        <w:pStyle w:val="ParaLevel1"/>
        <w:numPr>
          <w:ilvl w:val="0"/>
          <w:numId w:val="0"/>
        </w:numPr>
        <w:ind w:left="567" w:hanging="567"/>
        <w:rPr>
          <w:szCs w:val="24"/>
        </w:rPr>
      </w:pPr>
      <w:r w:rsidRPr="00D82D8C">
        <w:rPr>
          <w:rStyle w:val="FootnoteReference"/>
          <w:szCs w:val="24"/>
        </w:rPr>
        <w:footnoteRef/>
      </w:r>
      <w:r w:rsidR="00FB4173">
        <w:rPr>
          <w:szCs w:val="24"/>
        </w:rPr>
        <w:t xml:space="preserve"> </w:t>
      </w:r>
      <w:r w:rsidR="00FB4173">
        <w:rPr>
          <w:szCs w:val="24"/>
        </w:rPr>
        <w:tab/>
      </w:r>
      <w:r w:rsidRPr="00D82D8C">
        <w:rPr>
          <w:szCs w:val="24"/>
        </w:rPr>
        <w:t>Agreement on the withdrawal of the United Kingdom of Great Britain and Northern Ireland from the European Union and the European Atomic Energy Community</w:t>
      </w:r>
      <w:r w:rsidR="000E0CA0" w:rsidRPr="00D82D8C">
        <w:rPr>
          <w:szCs w:val="24"/>
        </w:rPr>
        <w:t xml:space="preserve"> (19</w:t>
      </w:r>
      <w:r w:rsidR="000E0CA0" w:rsidRPr="00D82D8C">
        <w:rPr>
          <w:szCs w:val="24"/>
          <w:vertAlign w:val="superscript"/>
        </w:rPr>
        <w:t>th</w:t>
      </w:r>
      <w:r w:rsidR="000E0CA0" w:rsidRPr="00D82D8C">
        <w:rPr>
          <w:szCs w:val="24"/>
        </w:rPr>
        <w:t xml:space="preserve"> October 2019).</w:t>
      </w:r>
      <w:r w:rsidR="00F0139E" w:rsidRPr="00D82D8C">
        <w:rPr>
          <w:szCs w:val="24"/>
        </w:rPr>
        <w:t xml:space="preserve"> </w:t>
      </w:r>
    </w:p>
  </w:footnote>
  <w:footnote w:id="2">
    <w:p w14:paraId="7226CAE7" w14:textId="7B7326E7" w:rsidR="00FB4173" w:rsidRPr="00D82D8C" w:rsidRDefault="0007217B" w:rsidP="000D2DDC">
      <w:pPr>
        <w:pStyle w:val="FootnoteText"/>
        <w:ind w:left="567" w:hanging="567"/>
        <w:rPr>
          <w:rFonts w:ascii="Times New Roman" w:hAnsi="Times New Roman"/>
          <w:sz w:val="24"/>
          <w:szCs w:val="24"/>
        </w:rPr>
      </w:pPr>
      <w:r w:rsidRPr="00D82D8C">
        <w:rPr>
          <w:rStyle w:val="FootnoteReference"/>
          <w:rFonts w:ascii="Times New Roman" w:hAnsi="Times New Roman"/>
          <w:sz w:val="24"/>
          <w:szCs w:val="24"/>
        </w:rPr>
        <w:footnoteRef/>
      </w:r>
      <w:r w:rsidRPr="00D82D8C">
        <w:rPr>
          <w:rFonts w:ascii="Times New Roman" w:hAnsi="Times New Roman"/>
          <w:sz w:val="24"/>
          <w:szCs w:val="24"/>
        </w:rPr>
        <w:t xml:space="preserve"> </w:t>
      </w:r>
      <w:r w:rsidR="00FB4173">
        <w:rPr>
          <w:rFonts w:ascii="Times New Roman" w:hAnsi="Times New Roman"/>
          <w:sz w:val="24"/>
          <w:szCs w:val="24"/>
        </w:rPr>
        <w:tab/>
      </w:r>
      <w:r w:rsidRPr="00D82D8C">
        <w:rPr>
          <w:rFonts w:ascii="Times New Roman" w:hAnsi="Times New Roman"/>
          <w:sz w:val="24"/>
          <w:szCs w:val="24"/>
        </w:rPr>
        <w:t xml:space="preserve">See generally sections 1, 1A and 1B and 7A EUWA.  The European Communities Act 1972 is maintained in force until the </w:t>
      </w:r>
      <w:r w:rsidR="0028147B">
        <w:rPr>
          <w:rFonts w:ascii="Times New Roman" w:hAnsi="Times New Roman"/>
          <w:sz w:val="24"/>
          <w:szCs w:val="24"/>
        </w:rPr>
        <w:t xml:space="preserve">end of the </w:t>
      </w:r>
      <w:r w:rsidRPr="00D82D8C">
        <w:rPr>
          <w:rFonts w:ascii="Times New Roman" w:hAnsi="Times New Roman"/>
          <w:sz w:val="24"/>
          <w:szCs w:val="24"/>
        </w:rPr>
        <w:t xml:space="preserve">IP. </w:t>
      </w:r>
    </w:p>
  </w:footnote>
  <w:footnote w:id="3">
    <w:p w14:paraId="0526857F" w14:textId="3D138DE4" w:rsidR="00FB4173" w:rsidRPr="00D82D8C" w:rsidRDefault="000E0CA0" w:rsidP="000D2DDC">
      <w:pPr>
        <w:pStyle w:val="FootnoteText"/>
        <w:ind w:left="567" w:hanging="567"/>
        <w:rPr>
          <w:rFonts w:ascii="Times New Roman" w:hAnsi="Times New Roman"/>
          <w:sz w:val="24"/>
          <w:szCs w:val="24"/>
        </w:rPr>
      </w:pPr>
      <w:r w:rsidRPr="00D82D8C">
        <w:rPr>
          <w:rStyle w:val="FootnoteReference"/>
          <w:rFonts w:ascii="Times New Roman" w:hAnsi="Times New Roman"/>
          <w:sz w:val="24"/>
          <w:szCs w:val="24"/>
        </w:rPr>
        <w:footnoteRef/>
      </w:r>
      <w:r w:rsidRPr="00D82D8C">
        <w:rPr>
          <w:rFonts w:ascii="Times New Roman" w:hAnsi="Times New Roman"/>
          <w:sz w:val="24"/>
          <w:szCs w:val="24"/>
        </w:rPr>
        <w:t xml:space="preserve"> </w:t>
      </w:r>
      <w:r w:rsidR="00FB4173">
        <w:rPr>
          <w:rFonts w:ascii="Times New Roman" w:hAnsi="Times New Roman"/>
          <w:sz w:val="24"/>
          <w:szCs w:val="24"/>
        </w:rPr>
        <w:tab/>
      </w:r>
      <w:r w:rsidRPr="00D82D8C">
        <w:rPr>
          <w:rFonts w:ascii="Times New Roman" w:hAnsi="Times New Roman"/>
          <w:sz w:val="24"/>
          <w:szCs w:val="24"/>
        </w:rPr>
        <w:t>Withdrawal Agreement Article 2(a)</w:t>
      </w:r>
      <w:r w:rsidR="0028147B">
        <w:rPr>
          <w:rFonts w:ascii="Times New Roman" w:hAnsi="Times New Roman"/>
          <w:sz w:val="24"/>
          <w:szCs w:val="24"/>
        </w:rPr>
        <w:t>.</w:t>
      </w:r>
    </w:p>
  </w:footnote>
  <w:footnote w:id="4">
    <w:p w14:paraId="6304C762" w14:textId="42D612E3" w:rsidR="00FB4173" w:rsidRPr="00D82D8C" w:rsidRDefault="001E12A4" w:rsidP="000D2DDC">
      <w:pPr>
        <w:pStyle w:val="FootnoteText"/>
        <w:ind w:left="567" w:hanging="567"/>
        <w:rPr>
          <w:rFonts w:ascii="Times New Roman" w:hAnsi="Times New Roman"/>
          <w:sz w:val="24"/>
          <w:szCs w:val="24"/>
        </w:rPr>
      </w:pPr>
      <w:r w:rsidRPr="00D82D8C">
        <w:rPr>
          <w:rStyle w:val="FootnoteReference"/>
          <w:rFonts w:ascii="Times New Roman" w:hAnsi="Times New Roman"/>
          <w:sz w:val="24"/>
          <w:szCs w:val="24"/>
        </w:rPr>
        <w:footnoteRef/>
      </w:r>
      <w:r w:rsidRPr="00D82D8C">
        <w:rPr>
          <w:rFonts w:ascii="Times New Roman" w:hAnsi="Times New Roman"/>
          <w:sz w:val="24"/>
          <w:szCs w:val="24"/>
        </w:rPr>
        <w:t xml:space="preserve"> </w:t>
      </w:r>
      <w:r w:rsidR="00FB4173">
        <w:rPr>
          <w:rFonts w:ascii="Times New Roman" w:hAnsi="Times New Roman"/>
          <w:sz w:val="24"/>
          <w:szCs w:val="24"/>
        </w:rPr>
        <w:tab/>
      </w:r>
      <w:r w:rsidRPr="00D82D8C">
        <w:rPr>
          <w:rFonts w:ascii="Times New Roman" w:hAnsi="Times New Roman"/>
          <w:sz w:val="24"/>
          <w:szCs w:val="24"/>
        </w:rPr>
        <w:t xml:space="preserve">Withdrawal </w:t>
      </w:r>
      <w:r w:rsidR="00F0139E" w:rsidRPr="00D82D8C">
        <w:rPr>
          <w:rFonts w:ascii="Times New Roman" w:hAnsi="Times New Roman"/>
          <w:sz w:val="24"/>
          <w:szCs w:val="24"/>
        </w:rPr>
        <w:t xml:space="preserve">Agreement </w:t>
      </w:r>
      <w:r w:rsidRPr="00D82D8C">
        <w:rPr>
          <w:rFonts w:ascii="Times New Roman" w:hAnsi="Times New Roman"/>
          <w:sz w:val="24"/>
          <w:szCs w:val="24"/>
        </w:rPr>
        <w:t>Article</w:t>
      </w:r>
      <w:r w:rsidR="00F0139E" w:rsidRPr="00D82D8C">
        <w:rPr>
          <w:rFonts w:ascii="Times New Roman" w:hAnsi="Times New Roman"/>
          <w:sz w:val="24"/>
          <w:szCs w:val="24"/>
        </w:rPr>
        <w:t>s</w:t>
      </w:r>
      <w:r w:rsidRPr="00D82D8C">
        <w:rPr>
          <w:rFonts w:ascii="Times New Roman" w:hAnsi="Times New Roman"/>
          <w:sz w:val="24"/>
          <w:szCs w:val="24"/>
        </w:rPr>
        <w:t xml:space="preserve"> 4 </w:t>
      </w:r>
      <w:r w:rsidR="00F0139E" w:rsidRPr="00D82D8C">
        <w:rPr>
          <w:rFonts w:ascii="Times New Roman" w:hAnsi="Times New Roman"/>
          <w:sz w:val="24"/>
          <w:szCs w:val="24"/>
        </w:rPr>
        <w:t>and 126-12</w:t>
      </w:r>
      <w:r w:rsidR="008E05C0" w:rsidRPr="00D82D8C">
        <w:rPr>
          <w:rFonts w:ascii="Times New Roman" w:hAnsi="Times New Roman"/>
          <w:sz w:val="24"/>
          <w:szCs w:val="24"/>
        </w:rPr>
        <w:t>7</w:t>
      </w:r>
      <w:r w:rsidR="0028147B">
        <w:rPr>
          <w:rFonts w:ascii="Times New Roman" w:hAnsi="Times New Roman"/>
          <w:sz w:val="24"/>
          <w:szCs w:val="24"/>
        </w:rPr>
        <w:t>.</w:t>
      </w:r>
    </w:p>
  </w:footnote>
  <w:footnote w:id="5">
    <w:p w14:paraId="4E6F678D" w14:textId="29873355" w:rsidR="00FB4173" w:rsidRPr="00D82D8C" w:rsidRDefault="00D82D8C" w:rsidP="000D2DDC">
      <w:pPr>
        <w:pStyle w:val="FootnoteText"/>
        <w:ind w:left="567" w:hanging="567"/>
        <w:rPr>
          <w:rFonts w:ascii="Times New Roman" w:hAnsi="Times New Roman"/>
          <w:sz w:val="24"/>
          <w:szCs w:val="24"/>
        </w:rPr>
      </w:pPr>
      <w:r w:rsidRPr="00D82D8C">
        <w:rPr>
          <w:rStyle w:val="FootnoteReference"/>
          <w:rFonts w:ascii="Times New Roman" w:hAnsi="Times New Roman"/>
          <w:sz w:val="24"/>
          <w:szCs w:val="24"/>
        </w:rPr>
        <w:footnoteRef/>
      </w:r>
      <w:r w:rsidRPr="00D82D8C">
        <w:rPr>
          <w:rFonts w:ascii="Times New Roman" w:hAnsi="Times New Roman"/>
          <w:sz w:val="24"/>
          <w:szCs w:val="24"/>
        </w:rPr>
        <w:t xml:space="preserve"> </w:t>
      </w:r>
      <w:r w:rsidR="00FB4173">
        <w:rPr>
          <w:rFonts w:ascii="Times New Roman" w:hAnsi="Times New Roman"/>
          <w:sz w:val="24"/>
          <w:szCs w:val="24"/>
        </w:rPr>
        <w:tab/>
      </w:r>
      <w:r w:rsidRPr="00D82D8C">
        <w:rPr>
          <w:rFonts w:ascii="Times New Roman" w:hAnsi="Times New Roman"/>
          <w:sz w:val="24"/>
          <w:szCs w:val="24"/>
        </w:rPr>
        <w:t>Section 5(1) EUWA</w:t>
      </w:r>
      <w:r>
        <w:rPr>
          <w:rFonts w:ascii="Times New Roman" w:hAnsi="Times New Roman"/>
          <w:sz w:val="24"/>
          <w:szCs w:val="24"/>
        </w:rPr>
        <w:t>.</w:t>
      </w:r>
    </w:p>
  </w:footnote>
  <w:footnote w:id="6">
    <w:p w14:paraId="533FB695" w14:textId="03D980E8" w:rsidR="000E0CA0" w:rsidRPr="00D82D8C" w:rsidRDefault="000E0CA0" w:rsidP="000D2DDC">
      <w:pPr>
        <w:pStyle w:val="FootnoteText"/>
        <w:ind w:left="567" w:hanging="567"/>
        <w:rPr>
          <w:rFonts w:ascii="Times New Roman" w:hAnsi="Times New Roman"/>
          <w:sz w:val="24"/>
          <w:szCs w:val="24"/>
        </w:rPr>
      </w:pPr>
      <w:r w:rsidRPr="00D82D8C">
        <w:rPr>
          <w:rStyle w:val="FootnoteReference"/>
          <w:rFonts w:ascii="Times New Roman" w:hAnsi="Times New Roman"/>
          <w:sz w:val="24"/>
          <w:szCs w:val="24"/>
        </w:rPr>
        <w:footnoteRef/>
      </w:r>
      <w:r w:rsidRPr="00D82D8C">
        <w:rPr>
          <w:rFonts w:ascii="Times New Roman" w:hAnsi="Times New Roman"/>
          <w:sz w:val="24"/>
          <w:szCs w:val="24"/>
        </w:rPr>
        <w:t xml:space="preserve"> </w:t>
      </w:r>
      <w:r w:rsidR="00FB4173">
        <w:rPr>
          <w:rFonts w:ascii="Times New Roman" w:hAnsi="Times New Roman"/>
          <w:sz w:val="24"/>
          <w:szCs w:val="24"/>
        </w:rPr>
        <w:tab/>
      </w:r>
      <w:r w:rsidR="008E05C0" w:rsidRPr="00D82D8C">
        <w:rPr>
          <w:rFonts w:ascii="Times New Roman" w:hAnsi="Times New Roman"/>
          <w:sz w:val="24"/>
          <w:szCs w:val="24"/>
        </w:rPr>
        <w:t xml:space="preserve">Withdrawal Agreement </w:t>
      </w:r>
      <w:r w:rsidRPr="00D82D8C">
        <w:rPr>
          <w:rFonts w:ascii="Times New Roman" w:hAnsi="Times New Roman"/>
          <w:sz w:val="24"/>
          <w:szCs w:val="24"/>
        </w:rPr>
        <w:t>Article 4(</w:t>
      </w:r>
      <w:r w:rsidR="008E05C0" w:rsidRPr="00D82D8C">
        <w:rPr>
          <w:rFonts w:ascii="Times New Roman" w:hAnsi="Times New Roman"/>
          <w:sz w:val="24"/>
          <w:szCs w:val="24"/>
        </w:rPr>
        <w:t>2</w:t>
      </w:r>
      <w:r w:rsidRPr="00D82D8C">
        <w:rPr>
          <w:rFonts w:ascii="Times New Roman" w:hAnsi="Times New Roman"/>
          <w:sz w:val="24"/>
          <w:szCs w:val="24"/>
        </w:rPr>
        <w:t>)</w:t>
      </w:r>
      <w:r w:rsidR="0028147B">
        <w:rPr>
          <w:rFonts w:ascii="Times New Roman" w:hAnsi="Times New Roman"/>
          <w:sz w:val="24"/>
          <w:szCs w:val="24"/>
        </w:rPr>
        <w:t>.</w:t>
      </w:r>
      <w:r w:rsidRPr="00D82D8C">
        <w:rPr>
          <w:rFonts w:ascii="Times New Roman" w:hAnsi="Times New Roman"/>
          <w:sz w:val="24"/>
          <w:szCs w:val="24"/>
        </w:rPr>
        <w:t xml:space="preserve"> </w:t>
      </w:r>
    </w:p>
  </w:footnote>
  <w:footnote w:id="7">
    <w:p w14:paraId="4E4C429A" w14:textId="4A32FAE7" w:rsidR="000E0CA0" w:rsidRPr="00D82D8C" w:rsidRDefault="000E0CA0" w:rsidP="000D2DDC">
      <w:pPr>
        <w:suppressAutoHyphens/>
        <w:ind w:left="567" w:hanging="567"/>
        <w:jc w:val="both"/>
        <w:outlineLvl w:val="0"/>
      </w:pPr>
      <w:r w:rsidRPr="00D82D8C">
        <w:rPr>
          <w:rStyle w:val="FootnoteReference"/>
        </w:rPr>
        <w:footnoteRef/>
      </w:r>
      <w:r w:rsidRPr="00D82D8C">
        <w:t xml:space="preserve"> </w:t>
      </w:r>
      <w:r w:rsidR="00FB4173">
        <w:tab/>
      </w:r>
      <w:r w:rsidRPr="00D82D8C">
        <w:t>See Article 4(3) and (4) Withdrawal Agreement.</w:t>
      </w:r>
    </w:p>
  </w:footnote>
  <w:footnote w:id="8">
    <w:p w14:paraId="5EA3EAEE" w14:textId="20D059B8" w:rsidR="000E0CA0" w:rsidRPr="00D82D8C" w:rsidRDefault="000E0CA0" w:rsidP="000D2DDC">
      <w:pPr>
        <w:pStyle w:val="FootnoteText"/>
        <w:ind w:left="567" w:hanging="567"/>
        <w:rPr>
          <w:rFonts w:ascii="Times New Roman" w:hAnsi="Times New Roman"/>
          <w:sz w:val="24"/>
          <w:szCs w:val="24"/>
        </w:rPr>
      </w:pPr>
      <w:r w:rsidRPr="00D82D8C">
        <w:rPr>
          <w:rStyle w:val="FootnoteReference"/>
          <w:rFonts w:ascii="Times New Roman" w:hAnsi="Times New Roman"/>
          <w:sz w:val="24"/>
          <w:szCs w:val="24"/>
        </w:rPr>
        <w:footnoteRef/>
      </w:r>
      <w:r w:rsidRPr="00D82D8C">
        <w:rPr>
          <w:rFonts w:ascii="Times New Roman" w:hAnsi="Times New Roman"/>
          <w:sz w:val="24"/>
          <w:szCs w:val="24"/>
        </w:rPr>
        <w:t xml:space="preserve"> </w:t>
      </w:r>
      <w:r w:rsidR="00FB4173">
        <w:rPr>
          <w:rFonts w:ascii="Times New Roman" w:hAnsi="Times New Roman"/>
          <w:sz w:val="24"/>
          <w:szCs w:val="24"/>
        </w:rPr>
        <w:tab/>
      </w:r>
      <w:r w:rsidRPr="00D82D8C">
        <w:rPr>
          <w:rFonts w:ascii="Times New Roman" w:hAnsi="Times New Roman"/>
          <w:sz w:val="24"/>
          <w:szCs w:val="24"/>
        </w:rPr>
        <w:t>Withdrawal Agreement Article 86(2)</w:t>
      </w:r>
      <w:r w:rsidR="0028147B">
        <w:rPr>
          <w:rFonts w:ascii="Times New Roman" w:hAnsi="Times New Roman"/>
          <w:sz w:val="24"/>
          <w:szCs w:val="24"/>
        </w:rPr>
        <w:t>.</w:t>
      </w:r>
    </w:p>
  </w:footnote>
  <w:footnote w:id="9">
    <w:p w14:paraId="51789642" w14:textId="311FF0FE" w:rsidR="00055FBE" w:rsidRPr="00D82D8C" w:rsidRDefault="00055FBE" w:rsidP="00FB4173">
      <w:pPr>
        <w:pStyle w:val="FootnoteText"/>
        <w:ind w:left="567" w:hanging="567"/>
        <w:jc w:val="both"/>
        <w:rPr>
          <w:rFonts w:ascii="Times New Roman" w:hAnsi="Times New Roman"/>
          <w:sz w:val="24"/>
          <w:szCs w:val="24"/>
        </w:rPr>
      </w:pPr>
      <w:r w:rsidRPr="00D82D8C">
        <w:rPr>
          <w:rStyle w:val="FootnoteReference"/>
          <w:rFonts w:ascii="Times New Roman" w:hAnsi="Times New Roman"/>
          <w:sz w:val="24"/>
          <w:szCs w:val="24"/>
        </w:rPr>
        <w:footnoteRef/>
      </w:r>
      <w:r w:rsidRPr="00D82D8C">
        <w:rPr>
          <w:rFonts w:ascii="Times New Roman" w:hAnsi="Times New Roman"/>
          <w:sz w:val="24"/>
          <w:szCs w:val="24"/>
        </w:rPr>
        <w:t xml:space="preserve"> </w:t>
      </w:r>
      <w:r w:rsidR="00FB4173">
        <w:rPr>
          <w:rFonts w:ascii="Times New Roman" w:hAnsi="Times New Roman"/>
          <w:sz w:val="24"/>
          <w:szCs w:val="24"/>
        </w:rPr>
        <w:tab/>
      </w:r>
      <w:r w:rsidRPr="00D82D8C">
        <w:rPr>
          <w:rFonts w:ascii="Times New Roman" w:hAnsi="Times New Roman"/>
          <w:sz w:val="24"/>
          <w:szCs w:val="24"/>
        </w:rPr>
        <w:t>The full title is the “</w:t>
      </w:r>
      <w:r w:rsidRPr="00D82D8C">
        <w:rPr>
          <w:rFonts w:ascii="Times New Roman" w:hAnsi="Times New Roman"/>
          <w:i/>
          <w:iCs/>
          <w:sz w:val="24"/>
          <w:szCs w:val="24"/>
        </w:rPr>
        <w:t>Codice dei Beni Culturali e del Paesaggio</w:t>
      </w:r>
      <w:r w:rsidRPr="00D82D8C">
        <w:rPr>
          <w:rFonts w:ascii="Times New Roman" w:hAnsi="Times New Roman"/>
          <w:sz w:val="24"/>
          <w:szCs w:val="24"/>
        </w:rPr>
        <w:t>”</w:t>
      </w:r>
      <w:r w:rsidR="00320316">
        <w:rPr>
          <w:rFonts w:ascii="Times New Roman" w:hAnsi="Times New Roman"/>
          <w:sz w:val="24"/>
          <w:szCs w:val="24"/>
        </w:rPr>
        <w:t>.</w:t>
      </w:r>
    </w:p>
  </w:footnote>
  <w:footnote w:id="10">
    <w:p w14:paraId="1A294E1A" w14:textId="66AE3DFC" w:rsidR="00C52CE0" w:rsidRPr="00D82D8C" w:rsidRDefault="00C52CE0" w:rsidP="00E021D1">
      <w:pPr>
        <w:pStyle w:val="FootnoteText"/>
        <w:ind w:left="709" w:hanging="709"/>
        <w:jc w:val="both"/>
        <w:rPr>
          <w:rFonts w:ascii="Times New Roman" w:hAnsi="Times New Roman"/>
          <w:sz w:val="24"/>
          <w:szCs w:val="24"/>
        </w:rPr>
      </w:pPr>
      <w:r w:rsidRPr="00D82D8C">
        <w:rPr>
          <w:rStyle w:val="FootnoteReference"/>
          <w:rFonts w:ascii="Times New Roman" w:hAnsi="Times New Roman"/>
          <w:sz w:val="24"/>
          <w:szCs w:val="24"/>
        </w:rPr>
        <w:footnoteRef/>
      </w:r>
      <w:r w:rsidRPr="00D82D8C">
        <w:rPr>
          <w:rFonts w:ascii="Times New Roman" w:hAnsi="Times New Roman"/>
          <w:sz w:val="24"/>
          <w:szCs w:val="24"/>
        </w:rPr>
        <w:t xml:space="preserve"> </w:t>
      </w:r>
      <w:r w:rsidR="00E021D1">
        <w:rPr>
          <w:rFonts w:ascii="Times New Roman" w:hAnsi="Times New Roman"/>
          <w:sz w:val="24"/>
          <w:szCs w:val="24"/>
        </w:rPr>
        <w:tab/>
      </w:r>
      <w:r w:rsidRPr="00D82D8C">
        <w:rPr>
          <w:rFonts w:ascii="Times New Roman" w:hAnsi="Times New Roman"/>
          <w:sz w:val="24"/>
          <w:szCs w:val="24"/>
        </w:rPr>
        <w:t xml:space="preserve">Report from the Commission to the European </w:t>
      </w:r>
      <w:r w:rsidR="00761F85">
        <w:rPr>
          <w:rFonts w:ascii="Times New Roman" w:hAnsi="Times New Roman"/>
          <w:sz w:val="24"/>
          <w:szCs w:val="24"/>
        </w:rPr>
        <w:t>P</w:t>
      </w:r>
      <w:r w:rsidRPr="00D82D8C">
        <w:rPr>
          <w:rFonts w:ascii="Times New Roman" w:hAnsi="Times New Roman"/>
          <w:sz w:val="24"/>
          <w:szCs w:val="24"/>
        </w:rPr>
        <w:t>arliament, the Council and the European Economic and Social Committee, on the implementation of Council Regulation (EC) No 116/2009 of December 2008 on the export of cultural goods 1 January 2014 - 31 December 2017 (Com (2019) 429 final (26</w:t>
      </w:r>
      <w:r w:rsidRPr="00D82D8C">
        <w:rPr>
          <w:rFonts w:ascii="Times New Roman" w:hAnsi="Times New Roman"/>
          <w:sz w:val="24"/>
          <w:szCs w:val="24"/>
          <w:vertAlign w:val="superscript"/>
        </w:rPr>
        <w:t>th</w:t>
      </w:r>
      <w:r w:rsidRPr="00D82D8C">
        <w:rPr>
          <w:rFonts w:ascii="Times New Roman" w:hAnsi="Times New Roman"/>
          <w:sz w:val="24"/>
          <w:szCs w:val="24"/>
        </w:rPr>
        <w:t xml:space="preserve"> September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3E918" w14:textId="77777777" w:rsidR="002D37BA" w:rsidRDefault="002D37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76BE4" w14:textId="77777777" w:rsidR="002D37BA" w:rsidRDefault="002D37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4E834" w14:textId="77777777" w:rsidR="002D37BA" w:rsidRDefault="002D37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00" w:type="dxa"/>
      <w:tblInd w:w="108" w:type="dxa"/>
      <w:tblLayout w:type="fixed"/>
      <w:tblLook w:val="0000" w:firstRow="0" w:lastRow="0" w:firstColumn="0" w:lastColumn="0" w:noHBand="0" w:noVBand="0"/>
    </w:tblPr>
    <w:tblGrid>
      <w:gridCol w:w="4680"/>
      <w:gridCol w:w="4320"/>
    </w:tblGrid>
    <w:tr w:rsidR="00055FBE" w14:paraId="61E352BE" w14:textId="77777777">
      <w:tc>
        <w:tcPr>
          <w:tcW w:w="4680" w:type="dxa"/>
        </w:tcPr>
        <w:p w14:paraId="7BB79856" w14:textId="7D896327" w:rsidR="00055FBE" w:rsidRPr="002D37BA" w:rsidRDefault="002D37BA">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320" w:type="dxa"/>
        </w:tcPr>
        <w:p w14:paraId="4D5C1D78" w14:textId="77777777" w:rsidR="00055FBE" w:rsidRDefault="00B1367D">
          <w:pPr>
            <w:pStyle w:val="Header"/>
            <w:jc w:val="right"/>
            <w:rPr>
              <w:rFonts w:ascii="Times New Roman" w:hAnsi="Times New Roman"/>
              <w:sz w:val="16"/>
            </w:rPr>
          </w:pPr>
          <w:r>
            <w:rPr>
              <w:rFonts w:ascii="Times New Roman" w:hAnsi="Times New Roman"/>
              <w:sz w:val="16"/>
            </w:rPr>
            <w:t>Simonis v Arts Council England &amp; Others</w:t>
          </w:r>
        </w:p>
      </w:tc>
    </w:tr>
  </w:tbl>
  <w:p w14:paraId="68EA2E2B" w14:textId="77777777" w:rsidR="00055FBE" w:rsidRDefault="00055FBE">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A42"/>
    <w:multiLevelType w:val="hybridMultilevel"/>
    <w:tmpl w:val="4E185920"/>
    <w:lvl w:ilvl="0" w:tplc="409AE94A">
      <w:start w:val="2"/>
      <w:numFmt w:val="bullet"/>
      <w:lvlText w:val="-"/>
      <w:lvlJc w:val="left"/>
      <w:pPr>
        <w:ind w:left="1494" w:hanging="360"/>
      </w:pPr>
      <w:rPr>
        <w:rFonts w:ascii="Times New Roman" w:eastAsia="Calibri"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 w15:restartNumberingAfterBreak="0">
    <w:nsid w:val="1C674F29"/>
    <w:multiLevelType w:val="hybridMultilevel"/>
    <w:tmpl w:val="C152D920"/>
    <w:lvl w:ilvl="0" w:tplc="AD507F9A">
      <w:start w:val="2"/>
      <w:numFmt w:val="bullet"/>
      <w:lvlText w:val="-"/>
      <w:lvlJc w:val="left"/>
      <w:pPr>
        <w:ind w:left="1494" w:hanging="360"/>
      </w:pPr>
      <w:rPr>
        <w:rFonts w:ascii="Times New Roman" w:eastAsia="Calibri"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 w15:restartNumberingAfterBreak="0">
    <w:nsid w:val="1D1F5A34"/>
    <w:multiLevelType w:val="hybridMultilevel"/>
    <w:tmpl w:val="5804F784"/>
    <w:lvl w:ilvl="0" w:tplc="2D00AB6E">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76726"/>
    <w:multiLevelType w:val="hybridMultilevel"/>
    <w:tmpl w:val="05E6ACAC"/>
    <w:lvl w:ilvl="0" w:tplc="FD7C071C">
      <w:start w:val="2"/>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8377F73"/>
    <w:multiLevelType w:val="hybridMultilevel"/>
    <w:tmpl w:val="908A9DC2"/>
    <w:lvl w:ilvl="0" w:tplc="81284128">
      <w:start w:val="1"/>
      <w:numFmt w:val="decimal"/>
      <w:lvlText w:val="%1."/>
      <w:lvlJc w:val="left"/>
      <w:pPr>
        <w:ind w:left="720" w:hanging="360"/>
      </w:pPr>
      <w:rPr>
        <w:rFonts w:hint="default"/>
        <w:b w:val="0"/>
        <w:bCs w:val="0"/>
        <w:i w:val="0"/>
        <w:i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9B66A4"/>
    <w:multiLevelType w:val="hybridMultilevel"/>
    <w:tmpl w:val="C928BC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34180D"/>
    <w:multiLevelType w:val="hybridMultilevel"/>
    <w:tmpl w:val="6448B87A"/>
    <w:lvl w:ilvl="0" w:tplc="BB3431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6F7130"/>
    <w:multiLevelType w:val="hybridMultilevel"/>
    <w:tmpl w:val="F8F8FB06"/>
    <w:lvl w:ilvl="0" w:tplc="E5BA9BD4">
      <w:start w:val="1"/>
      <w:numFmt w:val="decimal"/>
      <w:lvlText w:val="%1."/>
      <w:lvlJc w:val="left"/>
      <w:pPr>
        <w:ind w:left="1080" w:hanging="360"/>
      </w:pPr>
      <w:rPr>
        <w:rFonts w:hint="default"/>
        <w:i w:val="0"/>
        <w:i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5A46210"/>
    <w:multiLevelType w:val="hybridMultilevel"/>
    <w:tmpl w:val="0E5AF69A"/>
    <w:lvl w:ilvl="0" w:tplc="81284128">
      <w:start w:val="1"/>
      <w:numFmt w:val="decimal"/>
      <w:lvlText w:val="%1."/>
      <w:lvlJc w:val="left"/>
      <w:pPr>
        <w:ind w:left="720" w:hanging="360"/>
      </w:pPr>
      <w:rPr>
        <w:rFonts w:hint="default"/>
        <w:b w:val="0"/>
        <w:bCs w:val="0"/>
        <w:i w:val="0"/>
        <w:i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804E29"/>
    <w:multiLevelType w:val="hybridMultilevel"/>
    <w:tmpl w:val="834C67E4"/>
    <w:lvl w:ilvl="0" w:tplc="241477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2F5EF1"/>
    <w:multiLevelType w:val="hybridMultilevel"/>
    <w:tmpl w:val="30B0308E"/>
    <w:lvl w:ilvl="0" w:tplc="52167D2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B60A72"/>
    <w:multiLevelType w:val="hybridMultilevel"/>
    <w:tmpl w:val="FFF62924"/>
    <w:lvl w:ilvl="0" w:tplc="183AD2DC">
      <w:start w:val="2"/>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2F96D08"/>
    <w:multiLevelType w:val="hybridMultilevel"/>
    <w:tmpl w:val="6122CA16"/>
    <w:lvl w:ilvl="0" w:tplc="063A3ED8">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D2347D8"/>
    <w:multiLevelType w:val="hybridMultilevel"/>
    <w:tmpl w:val="B416203E"/>
    <w:lvl w:ilvl="0" w:tplc="669E5468">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15" w15:restartNumberingAfterBreak="0">
    <w:nsid w:val="61571878"/>
    <w:multiLevelType w:val="multilevel"/>
    <w:tmpl w:val="BDB20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EB7D67"/>
    <w:multiLevelType w:val="hybridMultilevel"/>
    <w:tmpl w:val="7C264EF2"/>
    <w:lvl w:ilvl="0" w:tplc="9B0E1518">
      <w:start w:val="2"/>
      <w:numFmt w:val="bullet"/>
      <w:lvlText w:val="-"/>
      <w:lvlJc w:val="left"/>
      <w:pPr>
        <w:ind w:left="720" w:hanging="360"/>
      </w:pPr>
      <w:rPr>
        <w:rFonts w:ascii="Georgia" w:eastAsia="Calibri"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340C01"/>
    <w:multiLevelType w:val="hybridMultilevel"/>
    <w:tmpl w:val="D17AC9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4577607"/>
    <w:multiLevelType w:val="hybridMultilevel"/>
    <w:tmpl w:val="449A5D38"/>
    <w:lvl w:ilvl="0" w:tplc="81284128">
      <w:start w:val="1"/>
      <w:numFmt w:val="decimal"/>
      <w:lvlText w:val="%1."/>
      <w:lvlJc w:val="left"/>
      <w:pPr>
        <w:ind w:left="720" w:hanging="360"/>
      </w:pPr>
      <w:rPr>
        <w:rFonts w:hint="default"/>
        <w:b w:val="0"/>
        <w:bCs w:val="0"/>
        <w:i w:val="0"/>
        <w:i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D70B9F"/>
    <w:multiLevelType w:val="multilevel"/>
    <w:tmpl w:val="189EB2C0"/>
    <w:lvl w:ilvl="0">
      <w:start w:val="1"/>
      <w:numFmt w:val="upperLetter"/>
      <w:pStyle w:val="ParaLevel1"/>
      <w:lvlText w:val="%1."/>
      <w:lvlJc w:val="left"/>
      <w:pPr>
        <w:tabs>
          <w:tab w:val="num" w:pos="1996"/>
        </w:tabs>
        <w:ind w:left="1996" w:hanging="720"/>
      </w:pPr>
      <w:rPr>
        <w:rFonts w:ascii="Times New Roman" w:eastAsia="Times New Roman" w:hAnsi="Times New Roman" w:cs="Times New Roman"/>
        <w:b/>
        <w:bCs/>
        <w:i w:val="0"/>
        <w:u w:val="none"/>
      </w:rPr>
    </w:lvl>
    <w:lvl w:ilvl="1">
      <w:start w:val="1"/>
      <w:numFmt w:val="lowerRoman"/>
      <w:pStyle w:val="ParaLevel2"/>
      <w:lvlText w:val="%2)"/>
      <w:lvlJc w:val="left"/>
      <w:pPr>
        <w:tabs>
          <w:tab w:val="num" w:pos="2552"/>
        </w:tabs>
        <w:ind w:left="2552" w:hanging="709"/>
      </w:pPr>
      <w:rPr>
        <w:rFonts w:hint="default"/>
        <w:b w:val="0"/>
        <w:i w:val="0"/>
      </w:rPr>
    </w:lvl>
    <w:lvl w:ilvl="2">
      <w:start w:val="1"/>
      <w:numFmt w:val="lowerLetter"/>
      <w:pStyle w:val="ParaLevel3"/>
      <w:lvlText w:val="%3)"/>
      <w:lvlJc w:val="left"/>
      <w:pPr>
        <w:tabs>
          <w:tab w:val="num" w:pos="3261"/>
        </w:tabs>
        <w:ind w:left="3261" w:hanging="709"/>
      </w:pPr>
      <w:rPr>
        <w:rFonts w:hint="default"/>
      </w:rPr>
    </w:lvl>
    <w:lvl w:ilvl="3">
      <w:start w:val="1"/>
      <w:numFmt w:val="lowerRoman"/>
      <w:pStyle w:val="ParaLevel4"/>
      <w:lvlText w:val="%4)"/>
      <w:lvlJc w:val="left"/>
      <w:pPr>
        <w:tabs>
          <w:tab w:val="num" w:pos="4341"/>
        </w:tabs>
        <w:ind w:left="3970" w:hanging="709"/>
      </w:pPr>
      <w:rPr>
        <w:rFonts w:hint="default"/>
      </w:rPr>
    </w:lvl>
    <w:lvl w:ilvl="4">
      <w:start w:val="1"/>
      <w:numFmt w:val="lowerLetter"/>
      <w:pStyle w:val="ParaLevel5"/>
      <w:lvlText w:val="(%5)"/>
      <w:lvlJc w:val="left"/>
      <w:pPr>
        <w:tabs>
          <w:tab w:val="num" w:pos="4679"/>
        </w:tabs>
        <w:ind w:left="4679" w:hanging="709"/>
      </w:pPr>
      <w:rPr>
        <w:rFonts w:hint="default"/>
      </w:rPr>
    </w:lvl>
    <w:lvl w:ilvl="5">
      <w:start w:val="1"/>
      <w:numFmt w:val="lowerRoman"/>
      <w:pStyle w:val="ParaLevel6"/>
      <w:lvlText w:val="(%6)"/>
      <w:lvlJc w:val="left"/>
      <w:pPr>
        <w:tabs>
          <w:tab w:val="num" w:pos="5759"/>
        </w:tabs>
        <w:ind w:left="5388" w:hanging="709"/>
      </w:pPr>
      <w:rPr>
        <w:rFonts w:hint="default"/>
      </w:rPr>
    </w:lvl>
    <w:lvl w:ilvl="6">
      <w:start w:val="1"/>
      <w:numFmt w:val="lowerLetter"/>
      <w:pStyle w:val="ParaLevel7"/>
      <w:lvlText w:val="(%7)"/>
      <w:lvlJc w:val="left"/>
      <w:pPr>
        <w:tabs>
          <w:tab w:val="num" w:pos="6097"/>
        </w:tabs>
        <w:ind w:left="6097" w:hanging="709"/>
      </w:pPr>
      <w:rPr>
        <w:rFonts w:hint="default"/>
      </w:rPr>
    </w:lvl>
    <w:lvl w:ilvl="7">
      <w:start w:val="1"/>
      <w:numFmt w:val="lowerRoman"/>
      <w:pStyle w:val="ParaLevel8"/>
      <w:lvlText w:val="(%8)"/>
      <w:lvlJc w:val="left"/>
      <w:pPr>
        <w:tabs>
          <w:tab w:val="num" w:pos="7177"/>
        </w:tabs>
        <w:ind w:left="6806" w:hanging="709"/>
      </w:pPr>
      <w:rPr>
        <w:rFonts w:hint="default"/>
      </w:rPr>
    </w:lvl>
    <w:lvl w:ilvl="8">
      <w:start w:val="1"/>
      <w:numFmt w:val="lowerLetter"/>
      <w:pStyle w:val="ParaLevel9"/>
      <w:lvlText w:val="(%9)"/>
      <w:lvlJc w:val="left"/>
      <w:pPr>
        <w:tabs>
          <w:tab w:val="num" w:pos="7515"/>
        </w:tabs>
        <w:ind w:left="7515" w:hanging="709"/>
      </w:pPr>
      <w:rPr>
        <w:rFonts w:hint="default"/>
      </w:rPr>
    </w:lvl>
  </w:abstractNum>
  <w:abstractNum w:abstractNumId="20" w15:restartNumberingAfterBreak="0">
    <w:nsid w:val="7EF6099D"/>
    <w:multiLevelType w:val="multilevel"/>
    <w:tmpl w:val="07FCAE38"/>
    <w:lvl w:ilvl="0">
      <w:start w:val="1"/>
      <w:numFmt w:val="decimal"/>
      <w:lvlText w:val="%1."/>
      <w:lvlJc w:val="left"/>
      <w:pPr>
        <w:ind w:left="360" w:hanging="360"/>
      </w:pPr>
      <w:rPr>
        <w:rFonts w:hint="default"/>
        <w:b w:val="0"/>
        <w:i w:val="0"/>
        <w:lang w:val="en-G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19"/>
  </w:num>
  <w:num w:numId="3">
    <w:abstractNumId w:val="19"/>
  </w:num>
  <w:num w:numId="4">
    <w:abstractNumId w:val="19"/>
  </w:num>
  <w:num w:numId="5">
    <w:abstractNumId w:val="19"/>
  </w:num>
  <w:num w:numId="6">
    <w:abstractNumId w:val="19"/>
  </w:num>
  <w:num w:numId="7">
    <w:abstractNumId w:val="19"/>
  </w:num>
  <w:num w:numId="8">
    <w:abstractNumId w:val="19"/>
  </w:num>
  <w:num w:numId="9">
    <w:abstractNumId w:val="19"/>
  </w:num>
  <w:num w:numId="10">
    <w:abstractNumId w:val="14"/>
  </w:num>
  <w:num w:numId="11">
    <w:abstractNumId w:val="5"/>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0"/>
  </w:num>
  <w:num w:numId="15">
    <w:abstractNumId w:val="2"/>
  </w:num>
  <w:num w:numId="16">
    <w:abstractNumId w:val="7"/>
  </w:num>
  <w:num w:numId="17">
    <w:abstractNumId w:val="13"/>
  </w:num>
  <w:num w:numId="18">
    <w:abstractNumId w:val="16"/>
  </w:num>
  <w:num w:numId="19">
    <w:abstractNumId w:val="1"/>
  </w:num>
  <w:num w:numId="20">
    <w:abstractNumId w:val="0"/>
  </w:num>
  <w:num w:numId="21">
    <w:abstractNumId w:val="11"/>
  </w:num>
  <w:num w:numId="22">
    <w:abstractNumId w:val="15"/>
  </w:num>
  <w:num w:numId="23">
    <w:abstractNumId w:val="18"/>
  </w:num>
  <w:num w:numId="24">
    <w:abstractNumId w:val="4"/>
  </w:num>
  <w:num w:numId="25">
    <w:abstractNumId w:val="3"/>
  </w:num>
  <w:num w:numId="26">
    <w:abstractNumId w:val="12"/>
  </w:num>
  <w:num w:numId="27">
    <w:abstractNumId w:val="10"/>
  </w:num>
  <w:num w:numId="28">
    <w:abstractNumId w:val="6"/>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34F"/>
    <w:rsid w:val="00006AA8"/>
    <w:rsid w:val="00017E34"/>
    <w:rsid w:val="00021B45"/>
    <w:rsid w:val="00021BE4"/>
    <w:rsid w:val="00033CF0"/>
    <w:rsid w:val="00034A2B"/>
    <w:rsid w:val="000410F5"/>
    <w:rsid w:val="00046042"/>
    <w:rsid w:val="00046AC0"/>
    <w:rsid w:val="00046B2C"/>
    <w:rsid w:val="00055FBE"/>
    <w:rsid w:val="000567C6"/>
    <w:rsid w:val="00063F8A"/>
    <w:rsid w:val="00064FEA"/>
    <w:rsid w:val="00066642"/>
    <w:rsid w:val="0007217B"/>
    <w:rsid w:val="00075F11"/>
    <w:rsid w:val="000769D5"/>
    <w:rsid w:val="00077A61"/>
    <w:rsid w:val="00077DD3"/>
    <w:rsid w:val="00083388"/>
    <w:rsid w:val="0009261C"/>
    <w:rsid w:val="00093A2D"/>
    <w:rsid w:val="000A1F95"/>
    <w:rsid w:val="000A2B18"/>
    <w:rsid w:val="000A38CB"/>
    <w:rsid w:val="000A4A22"/>
    <w:rsid w:val="000A60BC"/>
    <w:rsid w:val="000A6825"/>
    <w:rsid w:val="000B0246"/>
    <w:rsid w:val="000B2C28"/>
    <w:rsid w:val="000B39AF"/>
    <w:rsid w:val="000B4305"/>
    <w:rsid w:val="000B6CC2"/>
    <w:rsid w:val="000B75F7"/>
    <w:rsid w:val="000B7828"/>
    <w:rsid w:val="000C19D8"/>
    <w:rsid w:val="000C5502"/>
    <w:rsid w:val="000C5DE7"/>
    <w:rsid w:val="000D139F"/>
    <w:rsid w:val="000D2A98"/>
    <w:rsid w:val="000D2DDC"/>
    <w:rsid w:val="000E0CA0"/>
    <w:rsid w:val="000F4609"/>
    <w:rsid w:val="000F57B2"/>
    <w:rsid w:val="000F64E8"/>
    <w:rsid w:val="00104926"/>
    <w:rsid w:val="001212BF"/>
    <w:rsid w:val="00123DCA"/>
    <w:rsid w:val="00124D24"/>
    <w:rsid w:val="00134141"/>
    <w:rsid w:val="001356B6"/>
    <w:rsid w:val="0014198A"/>
    <w:rsid w:val="00144C16"/>
    <w:rsid w:val="00147676"/>
    <w:rsid w:val="00161909"/>
    <w:rsid w:val="001662BB"/>
    <w:rsid w:val="00166CD2"/>
    <w:rsid w:val="001702FB"/>
    <w:rsid w:val="00170C43"/>
    <w:rsid w:val="00176B4D"/>
    <w:rsid w:val="00181681"/>
    <w:rsid w:val="001833CC"/>
    <w:rsid w:val="0018752E"/>
    <w:rsid w:val="001920D2"/>
    <w:rsid w:val="00192D24"/>
    <w:rsid w:val="00197022"/>
    <w:rsid w:val="00197BF6"/>
    <w:rsid w:val="001A14AE"/>
    <w:rsid w:val="001A1BB4"/>
    <w:rsid w:val="001A310F"/>
    <w:rsid w:val="001A647E"/>
    <w:rsid w:val="001A71E8"/>
    <w:rsid w:val="001B17FA"/>
    <w:rsid w:val="001C42F9"/>
    <w:rsid w:val="001D1754"/>
    <w:rsid w:val="001D40CA"/>
    <w:rsid w:val="001D4FDA"/>
    <w:rsid w:val="001E12A4"/>
    <w:rsid w:val="001E639D"/>
    <w:rsid w:val="001E75FF"/>
    <w:rsid w:val="001F4065"/>
    <w:rsid w:val="002011C0"/>
    <w:rsid w:val="0020787B"/>
    <w:rsid w:val="0021600D"/>
    <w:rsid w:val="002166D5"/>
    <w:rsid w:val="00230AE6"/>
    <w:rsid w:val="00235622"/>
    <w:rsid w:val="00235831"/>
    <w:rsid w:val="00243E70"/>
    <w:rsid w:val="00244151"/>
    <w:rsid w:val="002460F5"/>
    <w:rsid w:val="00247BEE"/>
    <w:rsid w:val="00250128"/>
    <w:rsid w:val="00251019"/>
    <w:rsid w:val="00254941"/>
    <w:rsid w:val="0025638F"/>
    <w:rsid w:val="00257EAD"/>
    <w:rsid w:val="002600E4"/>
    <w:rsid w:val="002628E2"/>
    <w:rsid w:val="002662AF"/>
    <w:rsid w:val="002668C1"/>
    <w:rsid w:val="00266CE6"/>
    <w:rsid w:val="00267E86"/>
    <w:rsid w:val="0028147B"/>
    <w:rsid w:val="0028245F"/>
    <w:rsid w:val="00282878"/>
    <w:rsid w:val="00282FC2"/>
    <w:rsid w:val="0028475B"/>
    <w:rsid w:val="00292389"/>
    <w:rsid w:val="002B21BD"/>
    <w:rsid w:val="002B2905"/>
    <w:rsid w:val="002C48EE"/>
    <w:rsid w:val="002D37BA"/>
    <w:rsid w:val="002E1EC5"/>
    <w:rsid w:val="002F3D30"/>
    <w:rsid w:val="002F7B72"/>
    <w:rsid w:val="0031485B"/>
    <w:rsid w:val="0031596A"/>
    <w:rsid w:val="00320316"/>
    <w:rsid w:val="003216F6"/>
    <w:rsid w:val="00321D35"/>
    <w:rsid w:val="0032602A"/>
    <w:rsid w:val="00335575"/>
    <w:rsid w:val="00337662"/>
    <w:rsid w:val="00337F77"/>
    <w:rsid w:val="00340C52"/>
    <w:rsid w:val="00344401"/>
    <w:rsid w:val="003535D5"/>
    <w:rsid w:val="003627D0"/>
    <w:rsid w:val="0036349E"/>
    <w:rsid w:val="00364C84"/>
    <w:rsid w:val="00365DBB"/>
    <w:rsid w:val="0036754B"/>
    <w:rsid w:val="0036771E"/>
    <w:rsid w:val="0037236E"/>
    <w:rsid w:val="00384108"/>
    <w:rsid w:val="003970CA"/>
    <w:rsid w:val="003A494B"/>
    <w:rsid w:val="003C7A46"/>
    <w:rsid w:val="003D6064"/>
    <w:rsid w:val="003E6C02"/>
    <w:rsid w:val="003E7F25"/>
    <w:rsid w:val="003F0517"/>
    <w:rsid w:val="003F0FFE"/>
    <w:rsid w:val="003F6D9D"/>
    <w:rsid w:val="00401BBA"/>
    <w:rsid w:val="00402686"/>
    <w:rsid w:val="004031EF"/>
    <w:rsid w:val="00413F3F"/>
    <w:rsid w:val="00420DD6"/>
    <w:rsid w:val="0042104F"/>
    <w:rsid w:val="00421253"/>
    <w:rsid w:val="00422685"/>
    <w:rsid w:val="00423ADF"/>
    <w:rsid w:val="00442D6F"/>
    <w:rsid w:val="0044529B"/>
    <w:rsid w:val="00446DBB"/>
    <w:rsid w:val="00451BC6"/>
    <w:rsid w:val="00454194"/>
    <w:rsid w:val="0046292A"/>
    <w:rsid w:val="00466CA4"/>
    <w:rsid w:val="004732FD"/>
    <w:rsid w:val="00481351"/>
    <w:rsid w:val="00481FB1"/>
    <w:rsid w:val="0048428D"/>
    <w:rsid w:val="00485055"/>
    <w:rsid w:val="004962C4"/>
    <w:rsid w:val="00496AF8"/>
    <w:rsid w:val="004A4832"/>
    <w:rsid w:val="004B0E6F"/>
    <w:rsid w:val="004B1186"/>
    <w:rsid w:val="004B5974"/>
    <w:rsid w:val="004B6B77"/>
    <w:rsid w:val="004D0669"/>
    <w:rsid w:val="004F47D3"/>
    <w:rsid w:val="004F671E"/>
    <w:rsid w:val="00500CE6"/>
    <w:rsid w:val="0050328F"/>
    <w:rsid w:val="00505B8A"/>
    <w:rsid w:val="0051687C"/>
    <w:rsid w:val="0052112C"/>
    <w:rsid w:val="00537D1C"/>
    <w:rsid w:val="00542AC2"/>
    <w:rsid w:val="005436EC"/>
    <w:rsid w:val="005514DA"/>
    <w:rsid w:val="0055537F"/>
    <w:rsid w:val="00557030"/>
    <w:rsid w:val="00567F14"/>
    <w:rsid w:val="005734F1"/>
    <w:rsid w:val="00574710"/>
    <w:rsid w:val="00575035"/>
    <w:rsid w:val="00581F9A"/>
    <w:rsid w:val="00585704"/>
    <w:rsid w:val="00590C0B"/>
    <w:rsid w:val="00594865"/>
    <w:rsid w:val="00595B47"/>
    <w:rsid w:val="005A0401"/>
    <w:rsid w:val="005B1A93"/>
    <w:rsid w:val="005C2D0F"/>
    <w:rsid w:val="005C47EB"/>
    <w:rsid w:val="005D2DE5"/>
    <w:rsid w:val="005D6D86"/>
    <w:rsid w:val="005E2342"/>
    <w:rsid w:val="005E3747"/>
    <w:rsid w:val="005E4B36"/>
    <w:rsid w:val="005E5E7E"/>
    <w:rsid w:val="005E67D8"/>
    <w:rsid w:val="005E713D"/>
    <w:rsid w:val="005E73A2"/>
    <w:rsid w:val="00602099"/>
    <w:rsid w:val="0061064A"/>
    <w:rsid w:val="0061167B"/>
    <w:rsid w:val="00613E10"/>
    <w:rsid w:val="0061652A"/>
    <w:rsid w:val="006241B3"/>
    <w:rsid w:val="00627CEB"/>
    <w:rsid w:val="0063668B"/>
    <w:rsid w:val="00641A9C"/>
    <w:rsid w:val="00643DCB"/>
    <w:rsid w:val="0064402B"/>
    <w:rsid w:val="0065006D"/>
    <w:rsid w:val="006529D6"/>
    <w:rsid w:val="00654CF8"/>
    <w:rsid w:val="00661157"/>
    <w:rsid w:val="00661974"/>
    <w:rsid w:val="00664DC9"/>
    <w:rsid w:val="00671F00"/>
    <w:rsid w:val="006720FA"/>
    <w:rsid w:val="00680F9C"/>
    <w:rsid w:val="00686361"/>
    <w:rsid w:val="00693379"/>
    <w:rsid w:val="00693A08"/>
    <w:rsid w:val="006A274A"/>
    <w:rsid w:val="006A70F9"/>
    <w:rsid w:val="006B1A00"/>
    <w:rsid w:val="006B23CB"/>
    <w:rsid w:val="006B3F49"/>
    <w:rsid w:val="006B468E"/>
    <w:rsid w:val="006B5D52"/>
    <w:rsid w:val="006B6342"/>
    <w:rsid w:val="006C2171"/>
    <w:rsid w:val="006C7594"/>
    <w:rsid w:val="006D0E3C"/>
    <w:rsid w:val="006D2849"/>
    <w:rsid w:val="006D5DDE"/>
    <w:rsid w:val="006D70BF"/>
    <w:rsid w:val="006D7F89"/>
    <w:rsid w:val="006E354E"/>
    <w:rsid w:val="006E721B"/>
    <w:rsid w:val="00711B70"/>
    <w:rsid w:val="007200F6"/>
    <w:rsid w:val="00721381"/>
    <w:rsid w:val="00731B6E"/>
    <w:rsid w:val="00740F76"/>
    <w:rsid w:val="00761924"/>
    <w:rsid w:val="00761F85"/>
    <w:rsid w:val="00767A44"/>
    <w:rsid w:val="007738F9"/>
    <w:rsid w:val="00776E62"/>
    <w:rsid w:val="00777D53"/>
    <w:rsid w:val="00785597"/>
    <w:rsid w:val="007906D3"/>
    <w:rsid w:val="007973B9"/>
    <w:rsid w:val="007A2020"/>
    <w:rsid w:val="007A50B0"/>
    <w:rsid w:val="007A604C"/>
    <w:rsid w:val="007D0352"/>
    <w:rsid w:val="007D2305"/>
    <w:rsid w:val="007E034E"/>
    <w:rsid w:val="007E2ED4"/>
    <w:rsid w:val="007E31FB"/>
    <w:rsid w:val="007E509B"/>
    <w:rsid w:val="007E60A5"/>
    <w:rsid w:val="007F3B2B"/>
    <w:rsid w:val="00804633"/>
    <w:rsid w:val="0080729B"/>
    <w:rsid w:val="008078F8"/>
    <w:rsid w:val="00812EFD"/>
    <w:rsid w:val="00817F38"/>
    <w:rsid w:val="00827B37"/>
    <w:rsid w:val="0083744D"/>
    <w:rsid w:val="0084281C"/>
    <w:rsid w:val="00842E86"/>
    <w:rsid w:val="00845B05"/>
    <w:rsid w:val="008476C6"/>
    <w:rsid w:val="00854567"/>
    <w:rsid w:val="00860062"/>
    <w:rsid w:val="00864C77"/>
    <w:rsid w:val="00870AA2"/>
    <w:rsid w:val="00872123"/>
    <w:rsid w:val="00886639"/>
    <w:rsid w:val="00895858"/>
    <w:rsid w:val="008A1EEE"/>
    <w:rsid w:val="008B0AA7"/>
    <w:rsid w:val="008B1B7C"/>
    <w:rsid w:val="008B24CE"/>
    <w:rsid w:val="008C58DC"/>
    <w:rsid w:val="008C76C3"/>
    <w:rsid w:val="008E05C0"/>
    <w:rsid w:val="008E13EB"/>
    <w:rsid w:val="008E2BAB"/>
    <w:rsid w:val="008F27AB"/>
    <w:rsid w:val="009038D1"/>
    <w:rsid w:val="0090705E"/>
    <w:rsid w:val="009108FD"/>
    <w:rsid w:val="009151FA"/>
    <w:rsid w:val="0092565D"/>
    <w:rsid w:val="00930A5F"/>
    <w:rsid w:val="00934E51"/>
    <w:rsid w:val="00942FC8"/>
    <w:rsid w:val="009431BF"/>
    <w:rsid w:val="0094600A"/>
    <w:rsid w:val="00947D49"/>
    <w:rsid w:val="00952F13"/>
    <w:rsid w:val="00957201"/>
    <w:rsid w:val="0096567F"/>
    <w:rsid w:val="00971229"/>
    <w:rsid w:val="00975CCB"/>
    <w:rsid w:val="00983475"/>
    <w:rsid w:val="009852AE"/>
    <w:rsid w:val="00994F09"/>
    <w:rsid w:val="0099587C"/>
    <w:rsid w:val="009A0E19"/>
    <w:rsid w:val="009A22EB"/>
    <w:rsid w:val="009A61B6"/>
    <w:rsid w:val="009B2C7D"/>
    <w:rsid w:val="009B54B7"/>
    <w:rsid w:val="009C1DE1"/>
    <w:rsid w:val="009C772F"/>
    <w:rsid w:val="009D2282"/>
    <w:rsid w:val="009D2C1C"/>
    <w:rsid w:val="009E4ED8"/>
    <w:rsid w:val="009E58F5"/>
    <w:rsid w:val="009E6E4A"/>
    <w:rsid w:val="009E72AA"/>
    <w:rsid w:val="009F131B"/>
    <w:rsid w:val="009F3A4A"/>
    <w:rsid w:val="009F40A8"/>
    <w:rsid w:val="009F425D"/>
    <w:rsid w:val="00A003D2"/>
    <w:rsid w:val="00A12C5F"/>
    <w:rsid w:val="00A1589D"/>
    <w:rsid w:val="00A2211B"/>
    <w:rsid w:val="00A25217"/>
    <w:rsid w:val="00A2580A"/>
    <w:rsid w:val="00A26A1D"/>
    <w:rsid w:val="00A318AE"/>
    <w:rsid w:val="00A36506"/>
    <w:rsid w:val="00A36F61"/>
    <w:rsid w:val="00A4128C"/>
    <w:rsid w:val="00A41B17"/>
    <w:rsid w:val="00A42937"/>
    <w:rsid w:val="00A46B36"/>
    <w:rsid w:val="00A46E79"/>
    <w:rsid w:val="00A57215"/>
    <w:rsid w:val="00A622ED"/>
    <w:rsid w:val="00A80D43"/>
    <w:rsid w:val="00A8416B"/>
    <w:rsid w:val="00A947FC"/>
    <w:rsid w:val="00AA234F"/>
    <w:rsid w:val="00AA3B16"/>
    <w:rsid w:val="00AA3EDB"/>
    <w:rsid w:val="00AC28E3"/>
    <w:rsid w:val="00AD0C36"/>
    <w:rsid w:val="00AD1275"/>
    <w:rsid w:val="00AD1B72"/>
    <w:rsid w:val="00AD2718"/>
    <w:rsid w:val="00AD4DF3"/>
    <w:rsid w:val="00AE64F5"/>
    <w:rsid w:val="00AF078A"/>
    <w:rsid w:val="00AF5552"/>
    <w:rsid w:val="00AF7455"/>
    <w:rsid w:val="00B018E2"/>
    <w:rsid w:val="00B1367D"/>
    <w:rsid w:val="00B13BCE"/>
    <w:rsid w:val="00B16C34"/>
    <w:rsid w:val="00B35EBC"/>
    <w:rsid w:val="00B368A6"/>
    <w:rsid w:val="00B43B4E"/>
    <w:rsid w:val="00B441A3"/>
    <w:rsid w:val="00B50C32"/>
    <w:rsid w:val="00B51761"/>
    <w:rsid w:val="00B53347"/>
    <w:rsid w:val="00B549E7"/>
    <w:rsid w:val="00B67C2D"/>
    <w:rsid w:val="00B67E11"/>
    <w:rsid w:val="00B72F7D"/>
    <w:rsid w:val="00B74472"/>
    <w:rsid w:val="00B75EEB"/>
    <w:rsid w:val="00B76313"/>
    <w:rsid w:val="00B84905"/>
    <w:rsid w:val="00B87DFF"/>
    <w:rsid w:val="00B912C0"/>
    <w:rsid w:val="00B969EA"/>
    <w:rsid w:val="00B97037"/>
    <w:rsid w:val="00BA5392"/>
    <w:rsid w:val="00BA5757"/>
    <w:rsid w:val="00BB0C5B"/>
    <w:rsid w:val="00BB21A3"/>
    <w:rsid w:val="00BB65F5"/>
    <w:rsid w:val="00BB6652"/>
    <w:rsid w:val="00BC2AF5"/>
    <w:rsid w:val="00BC4FAA"/>
    <w:rsid w:val="00BC7832"/>
    <w:rsid w:val="00BD790B"/>
    <w:rsid w:val="00BE3587"/>
    <w:rsid w:val="00BE6A21"/>
    <w:rsid w:val="00BF0C19"/>
    <w:rsid w:val="00BF1237"/>
    <w:rsid w:val="00BF75B4"/>
    <w:rsid w:val="00C022AE"/>
    <w:rsid w:val="00C104D6"/>
    <w:rsid w:val="00C10EFD"/>
    <w:rsid w:val="00C1603F"/>
    <w:rsid w:val="00C26875"/>
    <w:rsid w:val="00C33680"/>
    <w:rsid w:val="00C33D5F"/>
    <w:rsid w:val="00C52CE0"/>
    <w:rsid w:val="00C53313"/>
    <w:rsid w:val="00C57956"/>
    <w:rsid w:val="00C60C00"/>
    <w:rsid w:val="00C60C42"/>
    <w:rsid w:val="00C62A8D"/>
    <w:rsid w:val="00C63F63"/>
    <w:rsid w:val="00C67036"/>
    <w:rsid w:val="00C675FA"/>
    <w:rsid w:val="00C70877"/>
    <w:rsid w:val="00C71F7F"/>
    <w:rsid w:val="00C80C07"/>
    <w:rsid w:val="00C813DC"/>
    <w:rsid w:val="00C84486"/>
    <w:rsid w:val="00C901D4"/>
    <w:rsid w:val="00C93C4B"/>
    <w:rsid w:val="00C95FA2"/>
    <w:rsid w:val="00CA0EAA"/>
    <w:rsid w:val="00CA1FC1"/>
    <w:rsid w:val="00CA39BB"/>
    <w:rsid w:val="00CB4B98"/>
    <w:rsid w:val="00CB680C"/>
    <w:rsid w:val="00CD5375"/>
    <w:rsid w:val="00CD556F"/>
    <w:rsid w:val="00CD5BD8"/>
    <w:rsid w:val="00CE21A7"/>
    <w:rsid w:val="00CF0DE1"/>
    <w:rsid w:val="00CF11DC"/>
    <w:rsid w:val="00D034B4"/>
    <w:rsid w:val="00D03828"/>
    <w:rsid w:val="00D07EE4"/>
    <w:rsid w:val="00D14A18"/>
    <w:rsid w:val="00D17E48"/>
    <w:rsid w:val="00D22B13"/>
    <w:rsid w:val="00D22E8C"/>
    <w:rsid w:val="00D26ECE"/>
    <w:rsid w:val="00D30854"/>
    <w:rsid w:val="00D31B1C"/>
    <w:rsid w:val="00D5010D"/>
    <w:rsid w:val="00D60867"/>
    <w:rsid w:val="00D6119C"/>
    <w:rsid w:val="00D623CF"/>
    <w:rsid w:val="00D7726A"/>
    <w:rsid w:val="00D82D8C"/>
    <w:rsid w:val="00D92AB1"/>
    <w:rsid w:val="00D94AB2"/>
    <w:rsid w:val="00D94BF9"/>
    <w:rsid w:val="00D95330"/>
    <w:rsid w:val="00D979ED"/>
    <w:rsid w:val="00DA0614"/>
    <w:rsid w:val="00DA1A0E"/>
    <w:rsid w:val="00DA227E"/>
    <w:rsid w:val="00DD309D"/>
    <w:rsid w:val="00DE1FAB"/>
    <w:rsid w:val="00E021D1"/>
    <w:rsid w:val="00E13C54"/>
    <w:rsid w:val="00E13FBF"/>
    <w:rsid w:val="00E165EB"/>
    <w:rsid w:val="00E22C3B"/>
    <w:rsid w:val="00E22F38"/>
    <w:rsid w:val="00E241EA"/>
    <w:rsid w:val="00E26927"/>
    <w:rsid w:val="00E27FC8"/>
    <w:rsid w:val="00E30079"/>
    <w:rsid w:val="00E31866"/>
    <w:rsid w:val="00E33A40"/>
    <w:rsid w:val="00E36E5E"/>
    <w:rsid w:val="00E42847"/>
    <w:rsid w:val="00E568AF"/>
    <w:rsid w:val="00E56E7E"/>
    <w:rsid w:val="00E60FD2"/>
    <w:rsid w:val="00E65C9A"/>
    <w:rsid w:val="00E65E00"/>
    <w:rsid w:val="00E70678"/>
    <w:rsid w:val="00E7198A"/>
    <w:rsid w:val="00E83062"/>
    <w:rsid w:val="00E90AFA"/>
    <w:rsid w:val="00EA7DB0"/>
    <w:rsid w:val="00EB1CC8"/>
    <w:rsid w:val="00EB21D3"/>
    <w:rsid w:val="00EB55BE"/>
    <w:rsid w:val="00EB60C6"/>
    <w:rsid w:val="00EC175B"/>
    <w:rsid w:val="00EC1E1C"/>
    <w:rsid w:val="00EC2197"/>
    <w:rsid w:val="00EC6B60"/>
    <w:rsid w:val="00EC7611"/>
    <w:rsid w:val="00EE1210"/>
    <w:rsid w:val="00EE318A"/>
    <w:rsid w:val="00F0103E"/>
    <w:rsid w:val="00F0139E"/>
    <w:rsid w:val="00F02B9D"/>
    <w:rsid w:val="00F0369A"/>
    <w:rsid w:val="00F039A8"/>
    <w:rsid w:val="00F1025A"/>
    <w:rsid w:val="00F25354"/>
    <w:rsid w:val="00F32A57"/>
    <w:rsid w:val="00F33DE1"/>
    <w:rsid w:val="00F34BE0"/>
    <w:rsid w:val="00F36708"/>
    <w:rsid w:val="00F41734"/>
    <w:rsid w:val="00F42ED5"/>
    <w:rsid w:val="00F4652B"/>
    <w:rsid w:val="00F56188"/>
    <w:rsid w:val="00F5709C"/>
    <w:rsid w:val="00F57134"/>
    <w:rsid w:val="00F6315D"/>
    <w:rsid w:val="00F6754B"/>
    <w:rsid w:val="00F74D10"/>
    <w:rsid w:val="00F860AE"/>
    <w:rsid w:val="00FA082E"/>
    <w:rsid w:val="00FB4173"/>
    <w:rsid w:val="00FB44EF"/>
    <w:rsid w:val="00FC1381"/>
    <w:rsid w:val="00FC1485"/>
    <w:rsid w:val="00FC583B"/>
    <w:rsid w:val="00FC6370"/>
    <w:rsid w:val="00FD22D1"/>
    <w:rsid w:val="00FD671A"/>
    <w:rsid w:val="00FF2FCB"/>
    <w:rsid w:val="00FF4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DD6035"/>
  <w15:chartTrackingRefBased/>
  <w15:docId w15:val="{F827BC34-EB0F-4C43-9C61-FDC8C8FB3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1"/>
      </w:numPr>
      <w:suppressAutoHyphens/>
      <w:spacing w:before="240" w:after="240"/>
      <w:jc w:val="both"/>
      <w:outlineLvl w:val="1"/>
    </w:pPr>
    <w:rPr>
      <w:szCs w:val="20"/>
    </w:rPr>
  </w:style>
  <w:style w:type="paragraph" w:customStyle="1" w:styleId="ParaLevel3">
    <w:name w:val="ParaLevel3"/>
    <w:basedOn w:val="Normal"/>
    <w:pPr>
      <w:numPr>
        <w:ilvl w:val="2"/>
        <w:numId w:val="1"/>
      </w:numPr>
      <w:suppressAutoHyphens/>
      <w:spacing w:before="240" w:after="240"/>
      <w:jc w:val="both"/>
      <w:outlineLvl w:val="2"/>
    </w:pPr>
    <w:rPr>
      <w:szCs w:val="20"/>
    </w:rPr>
  </w:style>
  <w:style w:type="paragraph" w:customStyle="1" w:styleId="ParaLevel4">
    <w:name w:val="ParaLevel4"/>
    <w:basedOn w:val="Normal"/>
    <w:pPr>
      <w:numPr>
        <w:ilvl w:val="3"/>
        <w:numId w:val="1"/>
      </w:numPr>
      <w:suppressAutoHyphens/>
      <w:spacing w:before="240" w:after="240"/>
      <w:jc w:val="both"/>
      <w:outlineLvl w:val="3"/>
    </w:pPr>
    <w:rPr>
      <w:szCs w:val="20"/>
    </w:rPr>
  </w:style>
  <w:style w:type="paragraph" w:customStyle="1" w:styleId="ParaLevel5">
    <w:name w:val="ParaLevel5"/>
    <w:basedOn w:val="Normal"/>
    <w:pPr>
      <w:numPr>
        <w:ilvl w:val="4"/>
        <w:numId w:val="1"/>
      </w:numPr>
      <w:suppressAutoHyphens/>
      <w:spacing w:before="240" w:after="240"/>
      <w:jc w:val="both"/>
      <w:outlineLvl w:val="4"/>
    </w:pPr>
    <w:rPr>
      <w:szCs w:val="20"/>
    </w:rPr>
  </w:style>
  <w:style w:type="paragraph" w:customStyle="1" w:styleId="ParaLevel6">
    <w:name w:val="ParaLevel6"/>
    <w:basedOn w:val="Normal"/>
    <w:pPr>
      <w:numPr>
        <w:ilvl w:val="5"/>
        <w:numId w:val="1"/>
      </w:numPr>
      <w:suppressAutoHyphens/>
      <w:spacing w:before="240" w:after="240"/>
      <w:jc w:val="both"/>
      <w:outlineLvl w:val="5"/>
    </w:pPr>
    <w:rPr>
      <w:szCs w:val="20"/>
    </w:rPr>
  </w:style>
  <w:style w:type="paragraph" w:customStyle="1" w:styleId="ParaLevel7">
    <w:name w:val="ParaLevel7"/>
    <w:basedOn w:val="Normal"/>
    <w:pPr>
      <w:numPr>
        <w:ilvl w:val="6"/>
        <w:numId w:val="1"/>
      </w:numPr>
      <w:suppressAutoHyphens/>
      <w:spacing w:before="240" w:after="240"/>
      <w:jc w:val="both"/>
      <w:outlineLvl w:val="6"/>
    </w:pPr>
    <w:rPr>
      <w:szCs w:val="20"/>
    </w:rPr>
  </w:style>
  <w:style w:type="paragraph" w:customStyle="1" w:styleId="ParaLevel8">
    <w:name w:val="ParaLevel8"/>
    <w:basedOn w:val="Normal"/>
    <w:pPr>
      <w:numPr>
        <w:ilvl w:val="7"/>
        <w:numId w:val="1"/>
      </w:numPr>
      <w:suppressAutoHyphens/>
      <w:spacing w:before="240" w:after="240"/>
      <w:jc w:val="both"/>
      <w:outlineLvl w:val="7"/>
    </w:pPr>
    <w:rPr>
      <w:szCs w:val="20"/>
    </w:rPr>
  </w:style>
  <w:style w:type="paragraph" w:customStyle="1" w:styleId="ParaLevel9">
    <w:name w:val="ParaLevel9"/>
    <w:basedOn w:val="Normal"/>
    <w:pPr>
      <w:numPr>
        <w:ilvl w:val="8"/>
        <w:numId w:val="1"/>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styleId="BalloonText">
    <w:name w:val="Balloon Text"/>
    <w:basedOn w:val="Normal"/>
    <w:link w:val="BalloonTextChar"/>
    <w:rsid w:val="007973B9"/>
    <w:rPr>
      <w:rFonts w:ascii="Segoe UI" w:hAnsi="Segoe UI" w:cs="Segoe UI"/>
      <w:sz w:val="18"/>
      <w:szCs w:val="18"/>
    </w:rPr>
  </w:style>
  <w:style w:type="paragraph" w:customStyle="1" w:styleId="eMailBlock">
    <w:name w:val="eMailBlock"/>
    <w:basedOn w:val="Title"/>
    <w:rPr>
      <w:sz w:val="26"/>
    </w:rPr>
  </w:style>
  <w:style w:type="character" w:customStyle="1" w:styleId="BalloonTextChar">
    <w:name w:val="Balloon Text Char"/>
    <w:link w:val="BalloonText"/>
    <w:rsid w:val="007973B9"/>
    <w:rPr>
      <w:rFonts w:ascii="Segoe UI" w:hAnsi="Segoe UI" w:cs="Segoe UI"/>
      <w:sz w:val="18"/>
      <w:szCs w:val="18"/>
      <w:lang w:eastAsia="en-US"/>
    </w:rPr>
  </w:style>
  <w:style w:type="paragraph" w:styleId="ListParagraph">
    <w:name w:val="List Paragraph"/>
    <w:aliases w:val="Numbered Paragraph"/>
    <w:basedOn w:val="Normal"/>
    <w:link w:val="ListParagraphChar"/>
    <w:uiPriority w:val="34"/>
    <w:qFormat/>
    <w:rsid w:val="00567F14"/>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Numbered Paragraph Char"/>
    <w:link w:val="ListParagraph"/>
    <w:uiPriority w:val="34"/>
    <w:rsid w:val="00D94BF9"/>
    <w:rPr>
      <w:rFonts w:ascii="Calibri" w:eastAsia="Calibri" w:hAnsi="Calibri"/>
      <w:sz w:val="22"/>
      <w:szCs w:val="22"/>
      <w:lang w:eastAsia="en-US"/>
    </w:rPr>
  </w:style>
  <w:style w:type="paragraph" w:styleId="FootnoteText">
    <w:name w:val="footnote text"/>
    <w:basedOn w:val="Normal"/>
    <w:link w:val="FootnoteTextChar"/>
    <w:uiPriority w:val="99"/>
    <w:unhideWhenUsed/>
    <w:rsid w:val="00FC6370"/>
    <w:rPr>
      <w:rFonts w:ascii="Calibri" w:eastAsia="Calibri" w:hAnsi="Calibri"/>
      <w:sz w:val="20"/>
      <w:szCs w:val="20"/>
    </w:rPr>
  </w:style>
  <w:style w:type="character" w:customStyle="1" w:styleId="FootnoteTextChar">
    <w:name w:val="Footnote Text Char"/>
    <w:link w:val="FootnoteText"/>
    <w:uiPriority w:val="99"/>
    <w:rsid w:val="00FC6370"/>
    <w:rPr>
      <w:rFonts w:ascii="Calibri" w:eastAsia="Calibri" w:hAnsi="Calibri"/>
      <w:lang w:eastAsia="en-US"/>
    </w:rPr>
  </w:style>
  <w:style w:type="character" w:styleId="FootnoteReference">
    <w:name w:val="footnote reference"/>
    <w:uiPriority w:val="99"/>
    <w:unhideWhenUsed/>
    <w:rsid w:val="00FC6370"/>
    <w:rPr>
      <w:vertAlign w:val="superscript"/>
    </w:rPr>
  </w:style>
  <w:style w:type="character" w:customStyle="1" w:styleId="outputecli">
    <w:name w:val="outputecli"/>
    <w:rsid w:val="008B0AA7"/>
  </w:style>
  <w:style w:type="character" w:customStyle="1" w:styleId="FooterChar">
    <w:name w:val="Footer Char"/>
    <w:link w:val="Footer"/>
    <w:uiPriority w:val="99"/>
    <w:rsid w:val="00D07EE4"/>
    <w:rPr>
      <w:rFonts w:ascii="Univers (W1)" w:hAnsi="Univers (W1)"/>
      <w:sz w:val="24"/>
      <w:lang w:eastAsia="en-US"/>
    </w:rPr>
  </w:style>
  <w:style w:type="character" w:styleId="Hyperlink">
    <w:name w:val="Hyperlink"/>
    <w:uiPriority w:val="99"/>
    <w:unhideWhenUsed/>
    <w:rsid w:val="00934E51"/>
    <w:rPr>
      <w:color w:val="0000FF"/>
      <w:u w:val="single"/>
    </w:rPr>
  </w:style>
  <w:style w:type="paragraph" w:styleId="NormalWeb">
    <w:name w:val="Normal (Web)"/>
    <w:basedOn w:val="Normal"/>
    <w:uiPriority w:val="99"/>
    <w:unhideWhenUsed/>
    <w:rsid w:val="004031EF"/>
    <w:pPr>
      <w:spacing w:before="100" w:beforeAutospacing="1" w:after="100" w:afterAutospacing="1"/>
    </w:pPr>
    <w:rPr>
      <w:lang w:eastAsia="en-GB"/>
    </w:rPr>
  </w:style>
  <w:style w:type="character" w:styleId="Strong">
    <w:name w:val="Strong"/>
    <w:uiPriority w:val="22"/>
    <w:qFormat/>
    <w:rsid w:val="004031EF"/>
    <w:rPr>
      <w:b/>
      <w:bCs/>
    </w:rPr>
  </w:style>
  <w:style w:type="character" w:styleId="UnresolvedMention">
    <w:name w:val="Unresolved Mention"/>
    <w:uiPriority w:val="99"/>
    <w:semiHidden/>
    <w:unhideWhenUsed/>
    <w:rsid w:val="003F6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232043">
      <w:bodyDiv w:val="1"/>
      <w:marLeft w:val="0"/>
      <w:marRight w:val="0"/>
      <w:marTop w:val="0"/>
      <w:marBottom w:val="0"/>
      <w:divBdr>
        <w:top w:val="none" w:sz="0" w:space="0" w:color="auto"/>
        <w:left w:val="none" w:sz="0" w:space="0" w:color="auto"/>
        <w:bottom w:val="none" w:sz="0" w:space="0" w:color="auto"/>
        <w:right w:val="none" w:sz="0" w:space="0" w:color="auto"/>
      </w:divBdr>
    </w:div>
    <w:div w:id="1255094391">
      <w:bodyDiv w:val="1"/>
      <w:marLeft w:val="0"/>
      <w:marRight w:val="0"/>
      <w:marTop w:val="0"/>
      <w:marBottom w:val="0"/>
      <w:divBdr>
        <w:top w:val="none" w:sz="0" w:space="0" w:color="auto"/>
        <w:left w:val="none" w:sz="0" w:space="0" w:color="auto"/>
        <w:bottom w:val="none" w:sz="0" w:space="0" w:color="auto"/>
        <w:right w:val="none" w:sz="0" w:space="0" w:color="auto"/>
      </w:divBdr>
    </w:div>
    <w:div w:id="180279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ink/ink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ustomXml" Target="ink/ink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Judgment%20Template\hc_judg2k.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1-27T11:28:37.673"/>
    </inkml:context>
    <inkml:brush xml:id="br0">
      <inkml:brushProperty name="width" value="0.05" units="cm"/>
      <inkml:brushProperty name="height" value="0.05" units="cm"/>
    </inkml:brush>
  </inkml:definitions>
  <inkml:trace contextRef="#ctx0" brushRef="#br0">0 0 32767,'24'19'0,"25"40"0,-18-124 0,146 56 0,21 57 0,-163-14 0,82-5 0,-117 8-5445,0-37 5445,-25 19 0,-23-42 0,16 125 0,-142-55 0,-25-57 0,165 10 0,-84 11 0,118-11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1-27T13:53:36.308"/>
    </inkml:context>
    <inkml:brush xml:id="br0">
      <inkml:brushProperty name="width" value="0.05" units="cm"/>
      <inkml:brushProperty name="height" value="0.05" units="cm"/>
    </inkml:brush>
  </inkml:definitions>
  <inkml:trace contextRef="#ctx0" brushRef="#br0">101 0 32767,'-101'121'0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D71330B0C2549B31E9CAA61AC1BC3" ma:contentTypeVersion="9" ma:contentTypeDescription="Create a new document." ma:contentTypeScope="" ma:versionID="8460558b0323ea72f881ee30b7deca76">
  <xsd:schema xmlns:xsd="http://www.w3.org/2001/XMLSchema" xmlns:xs="http://www.w3.org/2001/XMLSchema" xmlns:p="http://schemas.microsoft.com/office/2006/metadata/properties" xmlns:ns3="a43c54ca-90c5-4eb2-9b56-d69f0a03b442" targetNamespace="http://schemas.microsoft.com/office/2006/metadata/properties" ma:root="true" ma:fieldsID="9503487bdf353cf23dceef1c855ab2ce" ns3:_="">
    <xsd:import namespace="a43c54ca-90c5-4eb2-9b56-d69f0a03b44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c54ca-90c5-4eb2-9b56-d69f0a03b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3287A-1EC9-4900-BDB0-F9C33559E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c54ca-90c5-4eb2-9b56-d69f0a03b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427CB5-62B5-40B3-BB85-0C14B07119D3}">
  <ds:schemaRefs>
    <ds:schemaRef ds:uri="http://schemas.openxmlformats.org/package/2006/metadata/core-properties"/>
    <ds:schemaRef ds:uri="http://purl.org/dc/dcmitype/"/>
    <ds:schemaRef ds:uri="http://www.w3.org/XML/1998/namespace"/>
    <ds:schemaRef ds:uri="http://schemas.microsoft.com/office/2006/documentManagement/types"/>
    <ds:schemaRef ds:uri="http://purl.org/dc/terms/"/>
    <ds:schemaRef ds:uri="a43c54ca-90c5-4eb2-9b56-d69f0a03b442"/>
    <ds:schemaRef ds:uri="http://schemas.microsoft.com/office/2006/metadata/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BD9BE770-2883-45F5-8732-0AB8A2B2D81E}">
  <ds:schemaRefs>
    <ds:schemaRef ds:uri="http://schemas.microsoft.com/sharepoint/v3/contenttype/forms"/>
  </ds:schemaRefs>
</ds:datastoreItem>
</file>

<file path=customXml/itemProps4.xml><?xml version="1.0" encoding="utf-8"?>
<ds:datastoreItem xmlns:ds="http://schemas.openxmlformats.org/officeDocument/2006/customXml" ds:itemID="{D954B83B-1C8B-4FDF-AFC1-C1371622C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hc_judg2k</Template>
  <TotalTime>0</TotalTime>
  <Pages>27</Pages>
  <Words>14720</Words>
  <Characters>83907</Characters>
  <Application>Microsoft Office Word</Application>
  <DocSecurity>4</DocSecurity>
  <Lines>699</Lines>
  <Paragraphs>196</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98431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User</dc:creator>
  <cp:keywords/>
  <dc:description/>
  <cp:lastModifiedBy>Charlotte Hegley</cp:lastModifiedBy>
  <cp:revision>2</cp:revision>
  <cp:lastPrinted>2020-03-12T13:12:00Z</cp:lastPrinted>
  <dcterms:created xsi:type="dcterms:W3CDTF">2020-03-13T15:34:00Z</dcterms:created>
  <dcterms:modified xsi:type="dcterms:W3CDTF">2020-03-13T15:34:00Z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QUEEN'S BENCH DIVISION</vt:lpwstr>
  </property>
  <property fmtid="{D5CDD505-2E9C-101B-9397-08002B2CF9AE}" pid="5" name="SubDivision">
    <vt:lpwstr>ADMINISTRATIVE COURT</vt:lpwstr>
  </property>
  <property fmtid="{D5CDD505-2E9C-101B-9397-08002B2CF9AE}" pid="6" name="ApprovedStage">
    <vt:lpwstr>Approved</vt:lpwstr>
  </property>
  <property fmtid="{D5CDD505-2E9C-101B-9397-08002B2CF9AE}" pid="7" name="NCDiv">
    <vt:lpwstr>Admin</vt:lpwstr>
  </property>
  <property fmtid="{D5CDD505-2E9C-101B-9397-08002B2CF9AE}" pid="8" name="ContentTypeId">
    <vt:lpwstr>0x010100838D71330B0C2549B31E9CAA61AC1BC3</vt:lpwstr>
  </property>
  <property fmtid="{D5CDD505-2E9C-101B-9397-08002B2CF9AE}" pid="9" name="NCCaseNum">
    <vt:lpwstr>C1/2018/1998</vt:lpwstr>
  </property>
  <property fmtid="{D5CDD505-2E9C-101B-9397-08002B2CF9AE}" pid="10" name="NCJudge">
    <vt:lpwstr>LORD JUSTICE UNDERHILL</vt:lpwstr>
  </property>
  <property fmtid="{D5CDD505-2E9C-101B-9397-08002B2CF9AE}" pid="11" name="NCNumber">
    <vt:lpwstr>[2020] EWHC 374 (Admin)</vt:lpwstr>
  </property>
  <property fmtid="{D5CDD505-2E9C-101B-9397-08002B2CF9AE}" pid="12" name="NCJudgeDate">
    <vt:lpwstr>13/03/2020</vt:lpwstr>
  </property>
</Properties>
</file>