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43AFD5" w14:textId="64543825" w:rsidR="00C439A3" w:rsidRDefault="00DB37C0" w:rsidP="00DB37C0">
      <w:pPr>
        <w:jc w:val="center"/>
      </w:pPr>
      <w:bookmarkStart w:id="0" w:name="_GoBack"/>
      <w:bookmarkEnd w:id="0"/>
      <w:r w:rsidRPr="00DB37C0">
        <w:rPr>
          <w:noProof/>
        </w:rPr>
        <w:drawing>
          <wp:inline distT="0" distB="0" distL="0" distR="0" wp14:anchorId="0DFAD077" wp14:editId="1B97D8A1">
            <wp:extent cx="969010" cy="960120"/>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69010" cy="960120"/>
                    </a:xfrm>
                    <a:prstGeom prst="rect">
                      <a:avLst/>
                    </a:prstGeom>
                  </pic:spPr>
                </pic:pic>
              </a:graphicData>
            </a:graphic>
          </wp:inline>
        </w:drawing>
      </w:r>
    </w:p>
    <w:p w14:paraId="3C11AC70" w14:textId="77777777" w:rsidR="00DB37C0" w:rsidRDefault="00DB37C0">
      <w:pPr>
        <w:jc w:val="right"/>
      </w:pPr>
    </w:p>
    <w:p w14:paraId="07BD5D3E" w14:textId="38C5788E" w:rsidR="00C439A3" w:rsidRDefault="00C439A3">
      <w:pPr>
        <w:pStyle w:val="CoverText"/>
        <w:jc w:val="left"/>
        <w:rPr>
          <w:bCs/>
          <w:sz w:val="20"/>
          <w:u w:val="none"/>
        </w:rPr>
      </w:pPr>
      <w:r>
        <w:rPr>
          <w:bCs/>
        </w:rPr>
        <w:t xml:space="preserve">Neutral Citation Number: </w:t>
      </w:r>
      <w:r w:rsidR="00DB37C0">
        <w:rPr>
          <w:bCs/>
        </w:rPr>
        <w:t>[2020] EWCA Civ 637</w:t>
      </w:r>
      <w:r>
        <w:rPr>
          <w:bCs/>
        </w:rPr>
        <w:br/>
      </w:r>
    </w:p>
    <w:p w14:paraId="06AEC55B" w14:textId="77777777" w:rsidR="00C439A3" w:rsidRDefault="00C439A3">
      <w:pPr>
        <w:pStyle w:val="CoverText"/>
        <w:rPr>
          <w:b/>
          <w:spacing w:val="-3"/>
        </w:rPr>
      </w:pPr>
      <w:r>
        <w:t xml:space="preserve">Case No: </w:t>
      </w:r>
      <w:r w:rsidR="00254488">
        <w:t>A4/2019</w:t>
      </w:r>
      <w:r w:rsidR="00013EF7">
        <w:t>/</w:t>
      </w:r>
      <w:r w:rsidR="00254488">
        <w:t>1820 and A4/2019/1833</w:t>
      </w:r>
    </w:p>
    <w:p w14:paraId="79D5DF84" w14:textId="77777777" w:rsidR="00C439A3" w:rsidRDefault="00C439A3">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COURT OF APPEAL (</w:t>
      </w:r>
      <w:r w:rsidR="0095267B">
        <w:t>CIVIL</w:t>
      </w:r>
      <w:r>
        <w:t xml:space="preserve"> DIVISION)</w:t>
      </w:r>
    </w:p>
    <w:p w14:paraId="1CECB248" w14:textId="01824583" w:rsidR="00013EF7" w:rsidRDefault="00C439A3" w:rsidP="00013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ON APPEAL FROM </w:t>
      </w:r>
      <w:r w:rsidR="00DB37C0">
        <w:t>THE HIGH COURT OF JUSTICE</w:t>
      </w:r>
      <w:r w:rsidR="00013EF7">
        <w:br/>
      </w:r>
      <w:r w:rsidR="00DB37C0">
        <w:t>BUSINESS AND PROPERTY COURTS</w:t>
      </w:r>
      <w:r w:rsidR="00013EF7">
        <w:br/>
      </w:r>
      <w:r w:rsidR="00DB37C0">
        <w:t>OF ENGLAND AND WALES</w:t>
      </w:r>
    </w:p>
    <w:p w14:paraId="3F803A37" w14:textId="1BB6540E" w:rsidR="00013EF7" w:rsidRDefault="00DB37C0" w:rsidP="00013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COMMERCIAL COURT (QBD) (Mr Justice Andrew Baker)</w:t>
      </w:r>
    </w:p>
    <w:p w14:paraId="35462374" w14:textId="2EF8D354" w:rsidR="000F3A2F" w:rsidRDefault="00DB37C0" w:rsidP="00013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[2019] EWHC 306 (Comm); [2019] EWHC 786 (Comm); and, [2019] EWHC 1765 (Comm)</w:t>
      </w:r>
    </w:p>
    <w:p w14:paraId="5ECAD9F4" w14:textId="77777777" w:rsidR="00254488" w:rsidRDefault="00254488" w:rsidP="00013EF7">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2718440D" w14:textId="378244C1" w:rsidR="00C439A3" w:rsidRDefault="00DB37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IN THE MATTER OF SECTION 37(1) OF THE SENIOR COURTS ACT 1981</w:t>
      </w:r>
    </w:p>
    <w:p w14:paraId="68F77B77" w14:textId="77777777" w:rsidR="000F3A2F" w:rsidRDefault="000F3A2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9486EC6" w14:textId="2A45553F" w:rsidR="00254488" w:rsidRDefault="00DB37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 xml:space="preserve">AND IN THE MATTER OF RECEIVERSHIPS OVER CERTAIN PROPERTY OF THE </w:t>
      </w:r>
    </w:p>
    <w:p w14:paraId="6ACEAD5E" w14:textId="083B409D" w:rsidR="00254488" w:rsidRDefault="00DB37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r>
        <w:t>LIBYAN INVESTMENT AUTHORITY IN ENGLAND AND WALES</w:t>
      </w:r>
    </w:p>
    <w:p w14:paraId="15DDF0B4" w14:textId="77777777" w:rsidR="00254488" w:rsidRDefault="0025448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pPr>
    </w:p>
    <w:p w14:paraId="7E67DF1C" w14:textId="77777777" w:rsidR="0095267B" w:rsidRDefault="00162CB3">
      <w:pPr>
        <w:pStyle w:val="CoverText"/>
      </w:pPr>
      <w:r>
        <w:t>Royal Courts of Justice,</w:t>
      </w:r>
    </w:p>
    <w:p w14:paraId="71E73E70" w14:textId="77777777" w:rsidR="00C439A3" w:rsidRDefault="00162CB3">
      <w:pPr>
        <w:pStyle w:val="CoverText"/>
      </w:pPr>
      <w:r>
        <w:t>Strand</w:t>
      </w:r>
      <w:r w:rsidR="0095267B">
        <w:t xml:space="preserve">, London, </w:t>
      </w:r>
      <w:r>
        <w:t>WC2A 2LL</w:t>
      </w:r>
    </w:p>
    <w:p w14:paraId="4F5345E6" w14:textId="77777777" w:rsidR="00C439A3" w:rsidRDefault="00C439A3">
      <w:pPr>
        <w:suppressAutoHyphens/>
        <w:jc w:val="right"/>
        <w:rPr>
          <w:spacing w:val="-3"/>
          <w:u w:val="single"/>
        </w:rPr>
      </w:pPr>
    </w:p>
    <w:p w14:paraId="48AD6218" w14:textId="5915347A" w:rsidR="00C439A3" w:rsidRDefault="00C439A3">
      <w:pPr>
        <w:pStyle w:val="CoverText"/>
        <w:rPr>
          <w:b/>
        </w:rPr>
      </w:pPr>
      <w:r>
        <w:t xml:space="preserve">Date: </w:t>
      </w:r>
      <w:r w:rsidR="00DB37C0">
        <w:t>15/05/2020</w:t>
      </w:r>
    </w:p>
    <w:p w14:paraId="3E990EE2" w14:textId="77777777" w:rsidR="00C439A3" w:rsidRDefault="00C439A3">
      <w:pPr>
        <w:suppressAutoHyphens/>
        <w:jc w:val="center"/>
        <w:rPr>
          <w:b/>
          <w:spacing w:val="-3"/>
        </w:rPr>
      </w:pPr>
      <w:r>
        <w:rPr>
          <w:b/>
          <w:spacing w:val="-3"/>
        </w:rPr>
        <w:t>Before :</w:t>
      </w:r>
    </w:p>
    <w:p w14:paraId="10DCB79D" w14:textId="77777777" w:rsidR="00C439A3" w:rsidRDefault="00C439A3">
      <w:pPr>
        <w:suppressAutoHyphens/>
        <w:jc w:val="center"/>
        <w:rPr>
          <w:spacing w:val="-3"/>
        </w:rPr>
      </w:pPr>
    </w:p>
    <w:p w14:paraId="7E7CCEC2" w14:textId="77777777" w:rsidR="00C439A3" w:rsidRDefault="00254488">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LADY JUSTICE KING</w:t>
      </w:r>
    </w:p>
    <w:p w14:paraId="1514E8AF" w14:textId="4D9C3A66" w:rsidR="00C439A3" w:rsidRDefault="00DB37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MALES</w:t>
      </w:r>
      <w:r w:rsidR="00C439A3">
        <w:br/>
      </w:r>
      <w:r w:rsidR="00C439A3">
        <w:rPr>
          <w:b w:val="0"/>
          <w:bCs/>
          <w:u w:val="none"/>
        </w:rPr>
        <w:t>and</w:t>
      </w:r>
    </w:p>
    <w:p w14:paraId="5E2F2CF5" w14:textId="2DBB4931" w:rsidR="00C439A3" w:rsidRDefault="00DB37C0">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r>
        <w:t>LORD JUSTICE POPPLEWELL</w:t>
      </w:r>
    </w:p>
    <w:p w14:paraId="52DC935C" w14:textId="77777777" w:rsidR="00C439A3" w:rsidRDefault="00C439A3">
      <w:pPr>
        <w:suppressAutoHyphens/>
        <w:jc w:val="center"/>
        <w:rPr>
          <w:spacing w:val="-3"/>
        </w:rPr>
      </w:pPr>
      <w:r>
        <w:rPr>
          <w:spacing w:val="-3"/>
        </w:rPr>
        <w:t>- - - - - - - - - - - - - - - - - - - - -</w:t>
      </w:r>
    </w:p>
    <w:p w14:paraId="730E20E3" w14:textId="77777777" w:rsidR="00C439A3" w:rsidRDefault="00C439A3">
      <w:pPr>
        <w:suppressAutoHyphens/>
        <w:jc w:val="center"/>
        <w:rPr>
          <w:b/>
          <w:spacing w:val="-3"/>
        </w:rPr>
      </w:pPr>
      <w:r>
        <w:rPr>
          <w:b/>
          <w:spacing w:val="-3"/>
        </w:rPr>
        <w:t>Between :</w:t>
      </w:r>
    </w:p>
    <w:p w14:paraId="001096F6" w14:textId="77777777" w:rsidR="00C439A3" w:rsidRDefault="00C439A3">
      <w:pPr>
        <w:suppressAutoHyphens/>
        <w:rPr>
          <w:b/>
          <w:spacing w:val="-3"/>
        </w:rPr>
      </w:pPr>
    </w:p>
    <w:tbl>
      <w:tblPr>
        <w:tblW w:w="8964" w:type="dxa"/>
        <w:tblInd w:w="144" w:type="dxa"/>
        <w:tblLayout w:type="fixed"/>
        <w:tblLook w:val="0000" w:firstRow="0" w:lastRow="0" w:firstColumn="0" w:lastColumn="0" w:noHBand="0" w:noVBand="0"/>
      </w:tblPr>
      <w:tblGrid>
        <w:gridCol w:w="985"/>
        <w:gridCol w:w="6096"/>
        <w:gridCol w:w="1883"/>
      </w:tblGrid>
      <w:tr w:rsidR="000F3A2F" w14:paraId="181D7736" w14:textId="77777777" w:rsidTr="00B7486A">
        <w:tc>
          <w:tcPr>
            <w:tcW w:w="985" w:type="dxa"/>
          </w:tcPr>
          <w:p w14:paraId="177BFD76" w14:textId="77777777" w:rsidR="000F3A2F" w:rsidRDefault="000F3A2F">
            <w:pPr>
              <w:suppressAutoHyphens/>
              <w:rPr>
                <w:b/>
                <w:spacing w:val="-3"/>
              </w:rPr>
            </w:pPr>
          </w:p>
        </w:tc>
        <w:tc>
          <w:tcPr>
            <w:tcW w:w="6096" w:type="dxa"/>
          </w:tcPr>
          <w:p w14:paraId="0AB76426" w14:textId="143F886D" w:rsidR="000F3A2F" w:rsidRDefault="00DB37C0">
            <w:pPr>
              <w:suppressAutoHyphens/>
              <w:jc w:val="center"/>
              <w:rPr>
                <w:b/>
                <w:spacing w:val="-3"/>
              </w:rPr>
            </w:pPr>
            <w:r>
              <w:rPr>
                <w:b/>
                <w:spacing w:val="-3"/>
              </w:rPr>
              <w:t>DR ALI MAHMOUD HASSAN MOHAMED</w:t>
            </w:r>
          </w:p>
        </w:tc>
        <w:tc>
          <w:tcPr>
            <w:tcW w:w="1883" w:type="dxa"/>
          </w:tcPr>
          <w:p w14:paraId="3889C37D" w14:textId="77777777" w:rsidR="000F3A2F" w:rsidRDefault="000F3A2F">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pPr>
          </w:p>
        </w:tc>
      </w:tr>
      <w:tr w:rsidR="00254488" w14:paraId="3777649D" w14:textId="77777777" w:rsidTr="00B7486A">
        <w:tc>
          <w:tcPr>
            <w:tcW w:w="985" w:type="dxa"/>
          </w:tcPr>
          <w:p w14:paraId="3D7309FD" w14:textId="77777777" w:rsidR="00254488" w:rsidRDefault="00254488">
            <w:pPr>
              <w:suppressAutoHyphens/>
              <w:rPr>
                <w:b/>
                <w:spacing w:val="-3"/>
              </w:rPr>
            </w:pPr>
          </w:p>
        </w:tc>
        <w:tc>
          <w:tcPr>
            <w:tcW w:w="6096" w:type="dxa"/>
          </w:tcPr>
          <w:p w14:paraId="015311AB" w14:textId="77777777" w:rsidR="00254488" w:rsidRDefault="00254488">
            <w:pPr>
              <w:suppressAutoHyphens/>
              <w:jc w:val="center"/>
              <w:rPr>
                <w:b/>
                <w:spacing w:val="-3"/>
              </w:rPr>
            </w:pPr>
          </w:p>
        </w:tc>
        <w:tc>
          <w:tcPr>
            <w:tcW w:w="1883" w:type="dxa"/>
          </w:tcPr>
          <w:p w14:paraId="6AD99008" w14:textId="77777777" w:rsidR="00254488" w:rsidRPr="008004CD" w:rsidRDefault="008004CD">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 w:val="20"/>
              </w:rPr>
            </w:pPr>
            <w:r w:rsidRPr="008004CD">
              <w:rPr>
                <w:sz w:val="20"/>
              </w:rPr>
              <w:t>Respondent to the Appeals</w:t>
            </w:r>
          </w:p>
        </w:tc>
      </w:tr>
      <w:tr w:rsidR="00C439A3" w14:paraId="0258749B" w14:textId="77777777" w:rsidTr="00B7486A">
        <w:tc>
          <w:tcPr>
            <w:tcW w:w="985" w:type="dxa"/>
          </w:tcPr>
          <w:p w14:paraId="7A5BBB04" w14:textId="77777777" w:rsidR="00C439A3" w:rsidRDefault="00C439A3">
            <w:pPr>
              <w:suppressAutoHyphens/>
              <w:rPr>
                <w:b/>
                <w:spacing w:val="-3"/>
              </w:rPr>
            </w:pPr>
          </w:p>
        </w:tc>
        <w:tc>
          <w:tcPr>
            <w:tcW w:w="6096" w:type="dxa"/>
          </w:tcPr>
          <w:p w14:paraId="2C227C72" w14:textId="77777777" w:rsidR="00C439A3" w:rsidRDefault="00C439A3">
            <w:pPr>
              <w:tabs>
                <w:tab w:val="center" w:pos="3312"/>
              </w:tabs>
              <w:suppressAutoHyphens/>
              <w:jc w:val="center"/>
              <w:rPr>
                <w:b/>
                <w:spacing w:val="-3"/>
              </w:rPr>
            </w:pPr>
            <w:r>
              <w:rPr>
                <w:b/>
                <w:spacing w:val="-3"/>
              </w:rPr>
              <w:t>- and -</w:t>
            </w:r>
          </w:p>
        </w:tc>
        <w:tc>
          <w:tcPr>
            <w:tcW w:w="1883" w:type="dxa"/>
          </w:tcPr>
          <w:p w14:paraId="420CDBC9" w14:textId="77777777" w:rsidR="00C439A3" w:rsidRDefault="00C439A3">
            <w:pPr>
              <w:suppressAutoHyphens/>
              <w:jc w:val="right"/>
              <w:rPr>
                <w:b/>
                <w:spacing w:val="-3"/>
              </w:rPr>
            </w:pPr>
          </w:p>
        </w:tc>
      </w:tr>
      <w:tr w:rsidR="00254488" w14:paraId="0EBEFFED" w14:textId="77777777" w:rsidTr="00B7486A">
        <w:tc>
          <w:tcPr>
            <w:tcW w:w="985" w:type="dxa"/>
          </w:tcPr>
          <w:p w14:paraId="167E15D5" w14:textId="77777777" w:rsidR="00254488" w:rsidRDefault="00254488">
            <w:pPr>
              <w:suppressAutoHyphens/>
              <w:rPr>
                <w:b/>
                <w:spacing w:val="-3"/>
              </w:rPr>
            </w:pPr>
          </w:p>
        </w:tc>
        <w:tc>
          <w:tcPr>
            <w:tcW w:w="6096" w:type="dxa"/>
          </w:tcPr>
          <w:p w14:paraId="7E1856B5" w14:textId="77777777" w:rsidR="00254488" w:rsidRDefault="00254488">
            <w:pPr>
              <w:tabs>
                <w:tab w:val="center" w:pos="3312"/>
              </w:tabs>
              <w:suppressAutoHyphens/>
              <w:jc w:val="center"/>
              <w:rPr>
                <w:b/>
                <w:spacing w:val="-3"/>
              </w:rPr>
            </w:pPr>
          </w:p>
        </w:tc>
        <w:tc>
          <w:tcPr>
            <w:tcW w:w="1883" w:type="dxa"/>
          </w:tcPr>
          <w:p w14:paraId="06C355CB" w14:textId="77777777" w:rsidR="00254488" w:rsidRDefault="00254488">
            <w:pPr>
              <w:suppressAutoHyphens/>
              <w:jc w:val="right"/>
              <w:rPr>
                <w:b/>
                <w:spacing w:val="-3"/>
              </w:rPr>
            </w:pPr>
          </w:p>
        </w:tc>
      </w:tr>
      <w:tr w:rsidR="00013EF7" w14:paraId="64770EC1" w14:textId="77777777" w:rsidTr="00B7486A">
        <w:tc>
          <w:tcPr>
            <w:tcW w:w="985" w:type="dxa"/>
          </w:tcPr>
          <w:p w14:paraId="506CDCE5" w14:textId="77777777" w:rsidR="00013EF7" w:rsidRDefault="00013EF7">
            <w:pPr>
              <w:suppressAutoHyphens/>
              <w:rPr>
                <w:b/>
                <w:spacing w:val="-3"/>
              </w:rPr>
            </w:pPr>
          </w:p>
        </w:tc>
        <w:tc>
          <w:tcPr>
            <w:tcW w:w="6096" w:type="dxa"/>
          </w:tcPr>
          <w:p w14:paraId="7B632710" w14:textId="0ADF64B2" w:rsidR="00013EF7" w:rsidRDefault="00DB37C0">
            <w:pPr>
              <w:tabs>
                <w:tab w:val="center" w:pos="3312"/>
              </w:tabs>
              <w:suppressAutoHyphens/>
              <w:jc w:val="center"/>
              <w:rPr>
                <w:b/>
                <w:spacing w:val="-3"/>
              </w:rPr>
            </w:pPr>
            <w:r>
              <w:rPr>
                <w:b/>
                <w:spacing w:val="-3"/>
              </w:rPr>
              <w:t>(1) MR ABDULMAGID BREISH</w:t>
            </w:r>
          </w:p>
        </w:tc>
        <w:tc>
          <w:tcPr>
            <w:tcW w:w="1883" w:type="dxa"/>
          </w:tcPr>
          <w:p w14:paraId="25DE83E7" w14:textId="77777777" w:rsidR="00013EF7" w:rsidRDefault="00013EF7">
            <w:pPr>
              <w:suppressAutoHyphens/>
              <w:jc w:val="right"/>
              <w:rPr>
                <w:b/>
                <w:spacing w:val="-3"/>
              </w:rPr>
            </w:pPr>
          </w:p>
        </w:tc>
      </w:tr>
      <w:tr w:rsidR="008004CD" w14:paraId="75B76914" w14:textId="77777777" w:rsidTr="00B7486A">
        <w:tc>
          <w:tcPr>
            <w:tcW w:w="985" w:type="dxa"/>
          </w:tcPr>
          <w:p w14:paraId="467DFA26" w14:textId="77777777" w:rsidR="008004CD" w:rsidRDefault="008004CD">
            <w:pPr>
              <w:suppressAutoHyphens/>
              <w:rPr>
                <w:b/>
                <w:spacing w:val="-3"/>
              </w:rPr>
            </w:pPr>
          </w:p>
        </w:tc>
        <w:tc>
          <w:tcPr>
            <w:tcW w:w="6096" w:type="dxa"/>
          </w:tcPr>
          <w:p w14:paraId="69F25D31" w14:textId="77777777" w:rsidR="008004CD" w:rsidRDefault="008004CD">
            <w:pPr>
              <w:tabs>
                <w:tab w:val="center" w:pos="3312"/>
              </w:tabs>
              <w:suppressAutoHyphens/>
              <w:jc w:val="center"/>
              <w:rPr>
                <w:b/>
                <w:spacing w:val="-3"/>
              </w:rPr>
            </w:pPr>
          </w:p>
        </w:tc>
        <w:tc>
          <w:tcPr>
            <w:tcW w:w="1883" w:type="dxa"/>
          </w:tcPr>
          <w:p w14:paraId="11EE1564" w14:textId="77777777" w:rsidR="008004CD" w:rsidRPr="008004CD" w:rsidRDefault="008004CD" w:rsidP="008004CD">
            <w:pPr>
              <w:suppressAutoHyphens/>
              <w:jc w:val="center"/>
              <w:rPr>
                <w:b/>
                <w:spacing w:val="-3"/>
                <w:sz w:val="20"/>
                <w:szCs w:val="20"/>
                <w:u w:val="single"/>
              </w:rPr>
            </w:pPr>
            <w:r w:rsidRPr="008004CD">
              <w:rPr>
                <w:b/>
                <w:spacing w:val="-3"/>
                <w:sz w:val="20"/>
                <w:szCs w:val="20"/>
                <w:u w:val="single"/>
              </w:rPr>
              <w:t>Appellant in Appeal A4/2019/1820</w:t>
            </w:r>
          </w:p>
        </w:tc>
      </w:tr>
      <w:tr w:rsidR="00013EF7" w14:paraId="0D5D905E" w14:textId="77777777" w:rsidTr="00B7486A">
        <w:tc>
          <w:tcPr>
            <w:tcW w:w="985" w:type="dxa"/>
          </w:tcPr>
          <w:p w14:paraId="1847169C" w14:textId="77777777" w:rsidR="00013EF7" w:rsidRDefault="00013EF7">
            <w:pPr>
              <w:suppressAutoHyphens/>
              <w:rPr>
                <w:b/>
                <w:spacing w:val="-3"/>
              </w:rPr>
            </w:pPr>
          </w:p>
        </w:tc>
        <w:tc>
          <w:tcPr>
            <w:tcW w:w="6096" w:type="dxa"/>
          </w:tcPr>
          <w:p w14:paraId="7A3B1956" w14:textId="649A0693" w:rsidR="00013EF7" w:rsidRDefault="00DB37C0">
            <w:pPr>
              <w:tabs>
                <w:tab w:val="center" w:pos="3312"/>
              </w:tabs>
              <w:suppressAutoHyphens/>
              <w:jc w:val="center"/>
              <w:rPr>
                <w:b/>
                <w:spacing w:val="-3"/>
              </w:rPr>
            </w:pPr>
            <w:r>
              <w:rPr>
                <w:b/>
                <w:spacing w:val="-3"/>
              </w:rPr>
              <w:t xml:space="preserve"> (2) DR HUSSEIN MOHAMED HUSSEIN ABDLMORA</w:t>
            </w:r>
          </w:p>
        </w:tc>
        <w:tc>
          <w:tcPr>
            <w:tcW w:w="1883" w:type="dxa"/>
          </w:tcPr>
          <w:p w14:paraId="48480110" w14:textId="77777777" w:rsidR="00013EF7" w:rsidRDefault="00013EF7">
            <w:pPr>
              <w:suppressAutoHyphens/>
              <w:jc w:val="right"/>
              <w:rPr>
                <w:b/>
                <w:spacing w:val="-3"/>
              </w:rPr>
            </w:pPr>
          </w:p>
        </w:tc>
      </w:tr>
      <w:tr w:rsidR="008004CD" w14:paraId="051E6B87" w14:textId="77777777" w:rsidTr="00B7486A">
        <w:tc>
          <w:tcPr>
            <w:tcW w:w="985" w:type="dxa"/>
          </w:tcPr>
          <w:p w14:paraId="5978198C" w14:textId="77777777" w:rsidR="008004CD" w:rsidRDefault="008004CD">
            <w:pPr>
              <w:suppressAutoHyphens/>
              <w:rPr>
                <w:b/>
                <w:spacing w:val="-3"/>
              </w:rPr>
            </w:pPr>
          </w:p>
        </w:tc>
        <w:tc>
          <w:tcPr>
            <w:tcW w:w="6096" w:type="dxa"/>
          </w:tcPr>
          <w:p w14:paraId="6F7900EC" w14:textId="77777777" w:rsidR="008004CD" w:rsidRDefault="008004CD">
            <w:pPr>
              <w:tabs>
                <w:tab w:val="center" w:pos="3312"/>
              </w:tabs>
              <w:suppressAutoHyphens/>
              <w:jc w:val="center"/>
              <w:rPr>
                <w:b/>
                <w:spacing w:val="-3"/>
              </w:rPr>
            </w:pPr>
          </w:p>
        </w:tc>
        <w:tc>
          <w:tcPr>
            <w:tcW w:w="1883" w:type="dxa"/>
          </w:tcPr>
          <w:p w14:paraId="1025619D" w14:textId="77777777" w:rsidR="008004CD" w:rsidRPr="008004CD" w:rsidRDefault="008004CD" w:rsidP="008004CD">
            <w:pPr>
              <w:suppressAutoHyphens/>
              <w:jc w:val="center"/>
              <w:rPr>
                <w:b/>
                <w:spacing w:val="-3"/>
                <w:sz w:val="20"/>
                <w:szCs w:val="20"/>
              </w:rPr>
            </w:pPr>
            <w:r w:rsidRPr="008004CD">
              <w:rPr>
                <w:b/>
                <w:spacing w:val="-3"/>
                <w:sz w:val="20"/>
                <w:szCs w:val="20"/>
                <w:u w:val="single"/>
              </w:rPr>
              <w:t>Appellant in Appeal A4/2019/1833</w:t>
            </w:r>
          </w:p>
        </w:tc>
      </w:tr>
      <w:tr w:rsidR="00254488" w14:paraId="65A5DA7A" w14:textId="77777777" w:rsidTr="00B7486A">
        <w:tc>
          <w:tcPr>
            <w:tcW w:w="985" w:type="dxa"/>
          </w:tcPr>
          <w:p w14:paraId="7B0FC2F3" w14:textId="77777777" w:rsidR="00254488" w:rsidRDefault="00254488">
            <w:pPr>
              <w:suppressAutoHyphens/>
              <w:rPr>
                <w:b/>
                <w:spacing w:val="-3"/>
              </w:rPr>
            </w:pPr>
          </w:p>
        </w:tc>
        <w:tc>
          <w:tcPr>
            <w:tcW w:w="6096" w:type="dxa"/>
          </w:tcPr>
          <w:p w14:paraId="26B6EB3A" w14:textId="52D7BFEF" w:rsidR="00254488" w:rsidRDefault="00DB37C0">
            <w:pPr>
              <w:tabs>
                <w:tab w:val="center" w:pos="3312"/>
              </w:tabs>
              <w:suppressAutoHyphens/>
              <w:jc w:val="center"/>
              <w:rPr>
                <w:b/>
                <w:spacing w:val="-3"/>
              </w:rPr>
            </w:pPr>
            <w:r>
              <w:rPr>
                <w:b/>
                <w:spacing w:val="-3"/>
              </w:rPr>
              <w:t>(3) MARK JAMES SHAW &amp; SHANE MICHAEL CROOKS</w:t>
            </w:r>
          </w:p>
        </w:tc>
        <w:tc>
          <w:tcPr>
            <w:tcW w:w="1883" w:type="dxa"/>
          </w:tcPr>
          <w:p w14:paraId="526AC8CA" w14:textId="77777777" w:rsidR="00254488" w:rsidRDefault="00254488">
            <w:pPr>
              <w:suppressAutoHyphens/>
              <w:jc w:val="right"/>
              <w:rPr>
                <w:b/>
                <w:spacing w:val="-3"/>
              </w:rPr>
            </w:pPr>
          </w:p>
        </w:tc>
      </w:tr>
      <w:tr w:rsidR="00254488" w14:paraId="52EC1924" w14:textId="77777777" w:rsidTr="00B7486A">
        <w:tc>
          <w:tcPr>
            <w:tcW w:w="985" w:type="dxa"/>
          </w:tcPr>
          <w:p w14:paraId="26BB6625" w14:textId="77777777" w:rsidR="00254488" w:rsidRDefault="00254488">
            <w:pPr>
              <w:suppressAutoHyphens/>
              <w:rPr>
                <w:b/>
                <w:spacing w:val="-3"/>
              </w:rPr>
            </w:pPr>
          </w:p>
        </w:tc>
        <w:tc>
          <w:tcPr>
            <w:tcW w:w="6096" w:type="dxa"/>
          </w:tcPr>
          <w:p w14:paraId="7E4A5B86" w14:textId="0B43EFBE" w:rsidR="00254488" w:rsidRDefault="00DB37C0">
            <w:pPr>
              <w:tabs>
                <w:tab w:val="center" w:pos="3312"/>
              </w:tabs>
              <w:suppressAutoHyphens/>
              <w:jc w:val="center"/>
              <w:rPr>
                <w:b/>
                <w:spacing w:val="-3"/>
              </w:rPr>
            </w:pPr>
            <w:r>
              <w:rPr>
                <w:b/>
                <w:spacing w:val="-3"/>
              </w:rPr>
              <w:t>(acting in their capacity as Receiver and Manager)</w:t>
            </w:r>
          </w:p>
        </w:tc>
        <w:tc>
          <w:tcPr>
            <w:tcW w:w="1883" w:type="dxa"/>
          </w:tcPr>
          <w:p w14:paraId="05A62BD4" w14:textId="77777777" w:rsidR="00254488" w:rsidRDefault="00254488">
            <w:pPr>
              <w:suppressAutoHyphens/>
              <w:jc w:val="right"/>
              <w:rPr>
                <w:b/>
                <w:spacing w:val="-3"/>
              </w:rPr>
            </w:pPr>
          </w:p>
        </w:tc>
      </w:tr>
      <w:tr w:rsidR="00254488" w14:paraId="6119B0AE" w14:textId="77777777" w:rsidTr="00B7486A">
        <w:tc>
          <w:tcPr>
            <w:tcW w:w="985" w:type="dxa"/>
          </w:tcPr>
          <w:p w14:paraId="468D4B9A" w14:textId="77777777" w:rsidR="00254488" w:rsidRDefault="00254488">
            <w:pPr>
              <w:suppressAutoHyphens/>
              <w:rPr>
                <w:b/>
                <w:spacing w:val="-3"/>
              </w:rPr>
            </w:pPr>
          </w:p>
        </w:tc>
        <w:tc>
          <w:tcPr>
            <w:tcW w:w="6096" w:type="dxa"/>
          </w:tcPr>
          <w:p w14:paraId="359A1E66" w14:textId="6541705C" w:rsidR="00254488" w:rsidRDefault="00DB37C0">
            <w:pPr>
              <w:tabs>
                <w:tab w:val="center" w:pos="3312"/>
              </w:tabs>
              <w:suppressAutoHyphens/>
              <w:jc w:val="center"/>
              <w:rPr>
                <w:b/>
                <w:spacing w:val="-3"/>
              </w:rPr>
            </w:pPr>
            <w:r>
              <w:rPr>
                <w:b/>
                <w:spacing w:val="-3"/>
              </w:rPr>
              <w:t>(4) THE LIBYAN INVESTMENT AUTHORITY</w:t>
            </w:r>
          </w:p>
        </w:tc>
        <w:tc>
          <w:tcPr>
            <w:tcW w:w="1883" w:type="dxa"/>
          </w:tcPr>
          <w:p w14:paraId="748D0585" w14:textId="77777777" w:rsidR="00254488" w:rsidRDefault="00254488">
            <w:pPr>
              <w:suppressAutoHyphens/>
              <w:jc w:val="right"/>
              <w:rPr>
                <w:b/>
                <w:spacing w:val="-3"/>
              </w:rPr>
            </w:pPr>
          </w:p>
        </w:tc>
      </w:tr>
      <w:tr w:rsidR="00B04949" w14:paraId="506DEA6C" w14:textId="77777777" w:rsidTr="00B7486A">
        <w:tc>
          <w:tcPr>
            <w:tcW w:w="985" w:type="dxa"/>
          </w:tcPr>
          <w:p w14:paraId="319BFCAC" w14:textId="77777777" w:rsidR="00B04949" w:rsidRDefault="00B04949">
            <w:pPr>
              <w:suppressAutoHyphens/>
              <w:rPr>
                <w:b/>
                <w:spacing w:val="-3"/>
              </w:rPr>
            </w:pPr>
          </w:p>
        </w:tc>
        <w:tc>
          <w:tcPr>
            <w:tcW w:w="6096" w:type="dxa"/>
          </w:tcPr>
          <w:p w14:paraId="483916D2" w14:textId="4D76446B" w:rsidR="00B04949" w:rsidRDefault="00DB37C0">
            <w:pPr>
              <w:tabs>
                <w:tab w:val="center" w:pos="3312"/>
              </w:tabs>
              <w:suppressAutoHyphens/>
              <w:jc w:val="center"/>
              <w:rPr>
                <w:b/>
                <w:spacing w:val="-3"/>
              </w:rPr>
            </w:pPr>
            <w:r>
              <w:rPr>
                <w:b/>
                <w:spacing w:val="-3"/>
              </w:rPr>
              <w:t>(5) DR MOHSEN DERREGIA</w:t>
            </w:r>
          </w:p>
        </w:tc>
        <w:tc>
          <w:tcPr>
            <w:tcW w:w="1883" w:type="dxa"/>
          </w:tcPr>
          <w:p w14:paraId="512D42F1" w14:textId="77777777" w:rsidR="00B04949" w:rsidRDefault="00B04949">
            <w:pPr>
              <w:suppressAutoHyphens/>
              <w:jc w:val="right"/>
              <w:rPr>
                <w:b/>
                <w:spacing w:val="-3"/>
              </w:rPr>
            </w:pPr>
          </w:p>
        </w:tc>
      </w:tr>
      <w:tr w:rsidR="00C439A3" w14:paraId="5C476005" w14:textId="77777777" w:rsidTr="00B7486A">
        <w:tc>
          <w:tcPr>
            <w:tcW w:w="985" w:type="dxa"/>
          </w:tcPr>
          <w:p w14:paraId="23C70708" w14:textId="77777777" w:rsidR="00C439A3" w:rsidRDefault="00C439A3">
            <w:pPr>
              <w:suppressAutoHyphens/>
              <w:rPr>
                <w:b/>
                <w:spacing w:val="-3"/>
              </w:rPr>
            </w:pPr>
          </w:p>
        </w:tc>
        <w:tc>
          <w:tcPr>
            <w:tcW w:w="6096" w:type="dxa"/>
          </w:tcPr>
          <w:p w14:paraId="2565708F" w14:textId="77777777" w:rsidR="00C439A3" w:rsidRDefault="00C439A3">
            <w:pPr>
              <w:tabs>
                <w:tab w:val="center" w:pos="3312"/>
              </w:tabs>
              <w:suppressAutoHyphens/>
              <w:jc w:val="center"/>
              <w:rPr>
                <w:b/>
                <w:spacing w:val="-3"/>
              </w:rPr>
            </w:pPr>
          </w:p>
        </w:tc>
        <w:tc>
          <w:tcPr>
            <w:tcW w:w="1883" w:type="dxa"/>
          </w:tcPr>
          <w:p w14:paraId="3F9BEFB2" w14:textId="77777777" w:rsidR="00C439A3" w:rsidRPr="00B7486A" w:rsidRDefault="00D41E1A">
            <w:pPr>
              <w:pStyle w:val="CoverMain"/>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sz w:val="20"/>
              </w:rPr>
            </w:pPr>
            <w:r w:rsidRPr="00B7486A">
              <w:rPr>
                <w:sz w:val="20"/>
              </w:rPr>
              <w:t>Respondents</w:t>
            </w:r>
          </w:p>
        </w:tc>
      </w:tr>
    </w:tbl>
    <w:p w14:paraId="393B9049" w14:textId="77777777" w:rsidR="00C439A3" w:rsidRDefault="00C439A3">
      <w:pPr>
        <w:suppressAutoHyphens/>
        <w:rPr>
          <w:b/>
          <w:spacing w:val="-3"/>
        </w:rPr>
      </w:pPr>
    </w:p>
    <w:p w14:paraId="3D1B0CA6" w14:textId="77777777" w:rsidR="00C439A3" w:rsidRDefault="00C439A3">
      <w:pPr>
        <w:suppressAutoHyphens/>
        <w:jc w:val="center"/>
        <w:rPr>
          <w:spacing w:val="-3"/>
        </w:rPr>
      </w:pPr>
      <w:r>
        <w:rPr>
          <w:spacing w:val="-3"/>
        </w:rPr>
        <w:t>- - - - - - - - - - - - - - - - - - - - -</w:t>
      </w:r>
    </w:p>
    <w:p w14:paraId="51C104C2" w14:textId="77777777" w:rsidR="00C439A3" w:rsidRDefault="00C439A3">
      <w:pPr>
        <w:suppressAutoHyphens/>
        <w:jc w:val="center"/>
        <w:rPr>
          <w:spacing w:val="-3"/>
        </w:rPr>
      </w:pPr>
      <w:r>
        <w:rPr>
          <w:spacing w:val="-3"/>
        </w:rPr>
        <w:t>- - - - - - - - - - - - - - - - - - - - -</w:t>
      </w:r>
    </w:p>
    <w:p w14:paraId="74E0791D" w14:textId="1C3BD60D" w:rsidR="00C439A3" w:rsidRDefault="00DB37C0">
      <w:pPr>
        <w:suppressAutoHyphens/>
        <w:jc w:val="center"/>
        <w:rPr>
          <w:spacing w:val="-3"/>
        </w:rPr>
      </w:pPr>
      <w:r>
        <w:rPr>
          <w:b/>
          <w:spacing w:val="-3"/>
        </w:rPr>
        <w:lastRenderedPageBreak/>
        <w:t>Christopher Pymont QC, Timothy Otty QC and Benjamin John</w:t>
      </w:r>
    </w:p>
    <w:p w14:paraId="62934A4A" w14:textId="664B9DAF" w:rsidR="00B7486A" w:rsidRDefault="00B7486A" w:rsidP="00B7486A">
      <w:pPr>
        <w:suppressAutoHyphens/>
        <w:jc w:val="center"/>
        <w:rPr>
          <w:b/>
          <w:spacing w:val="-3"/>
        </w:rPr>
      </w:pPr>
      <w:r>
        <w:rPr>
          <w:bCs/>
          <w:spacing w:val="-3"/>
        </w:rPr>
        <w:t xml:space="preserve">(instructed by </w:t>
      </w:r>
      <w:r w:rsidR="00DB37C0">
        <w:rPr>
          <w:b/>
          <w:spacing w:val="-3"/>
        </w:rPr>
        <w:t>Macfarlanes LLP</w:t>
      </w:r>
      <w:r>
        <w:rPr>
          <w:bCs/>
          <w:spacing w:val="-3"/>
        </w:rPr>
        <w:t xml:space="preserve">) for the </w:t>
      </w:r>
      <w:r w:rsidR="00DB37C0">
        <w:rPr>
          <w:b/>
          <w:spacing w:val="-3"/>
        </w:rPr>
        <w:t>Respondent to the Appeals</w:t>
      </w:r>
    </w:p>
    <w:p w14:paraId="4795E35B" w14:textId="44FAFB3E" w:rsidR="00C439A3" w:rsidRDefault="00DB37C0">
      <w:pPr>
        <w:suppressAutoHyphens/>
        <w:jc w:val="center"/>
        <w:rPr>
          <w:b/>
          <w:spacing w:val="-3"/>
        </w:rPr>
      </w:pPr>
      <w:r>
        <w:rPr>
          <w:b/>
          <w:spacing w:val="-3"/>
        </w:rPr>
        <w:t>Shaheed Fatima QC and Eesvan Krishnan</w:t>
      </w:r>
      <w:r w:rsidR="00C439A3">
        <w:rPr>
          <w:bCs/>
          <w:spacing w:val="-3"/>
        </w:rPr>
        <w:t xml:space="preserve"> (instructed by </w:t>
      </w:r>
      <w:r>
        <w:rPr>
          <w:b/>
          <w:spacing w:val="-3"/>
        </w:rPr>
        <w:t>Stephenson Harwood LLP</w:t>
      </w:r>
      <w:r w:rsidR="00C439A3">
        <w:rPr>
          <w:bCs/>
          <w:spacing w:val="-3"/>
        </w:rPr>
        <w:t xml:space="preserve">) for the </w:t>
      </w:r>
      <w:r>
        <w:rPr>
          <w:b/>
          <w:spacing w:val="-3"/>
        </w:rPr>
        <w:t>Appellant in Appeal No. A4/2019/1820</w:t>
      </w:r>
    </w:p>
    <w:p w14:paraId="5C3FF82B" w14:textId="385C93AD" w:rsidR="00280C3B" w:rsidRDefault="00DB37C0" w:rsidP="00280C3B">
      <w:pPr>
        <w:suppressAutoHyphens/>
        <w:jc w:val="center"/>
        <w:rPr>
          <w:b/>
          <w:spacing w:val="-3"/>
        </w:rPr>
      </w:pPr>
      <w:r>
        <w:rPr>
          <w:b/>
          <w:spacing w:val="-3"/>
        </w:rPr>
        <w:t>Thomas Sprange QC and Kabir Bhalla</w:t>
      </w:r>
      <w:r w:rsidR="00280C3B">
        <w:rPr>
          <w:bCs/>
          <w:spacing w:val="-3"/>
        </w:rPr>
        <w:t xml:space="preserve"> (instructed by </w:t>
      </w:r>
      <w:r>
        <w:rPr>
          <w:b/>
          <w:spacing w:val="-3"/>
        </w:rPr>
        <w:t>King &amp; Spalding International LLP</w:t>
      </w:r>
      <w:r w:rsidR="00280C3B">
        <w:rPr>
          <w:bCs/>
          <w:spacing w:val="-3"/>
        </w:rPr>
        <w:t xml:space="preserve">) for the </w:t>
      </w:r>
      <w:r>
        <w:rPr>
          <w:b/>
          <w:spacing w:val="-3"/>
        </w:rPr>
        <w:t>Appellant in Appeal No. A4/2019/1833</w:t>
      </w:r>
    </w:p>
    <w:p w14:paraId="7E093E96" w14:textId="3DC82169" w:rsidR="00805C21" w:rsidRPr="00DB37C0" w:rsidRDefault="00A843A2" w:rsidP="00280C3B">
      <w:pPr>
        <w:suppressAutoHyphens/>
        <w:jc w:val="center"/>
        <w:rPr>
          <w:b/>
          <w:bCs/>
          <w:lang w:eastAsia="en-GB"/>
        </w:rPr>
      </w:pPr>
      <w:r w:rsidRPr="00DB37C0">
        <w:rPr>
          <w:b/>
          <w:bCs/>
          <w:lang w:eastAsia="en-GB"/>
        </w:rPr>
        <w:t xml:space="preserve">Felicity Toube QC </w:t>
      </w:r>
      <w:r w:rsidR="00A65BF9" w:rsidRPr="00DB37C0">
        <w:rPr>
          <w:lang w:eastAsia="en-GB"/>
        </w:rPr>
        <w:t>(instructed by</w:t>
      </w:r>
      <w:r w:rsidR="00665CEB" w:rsidRPr="00DB37C0">
        <w:rPr>
          <w:lang w:eastAsia="en-GB"/>
        </w:rPr>
        <w:t xml:space="preserve"> </w:t>
      </w:r>
      <w:r w:rsidR="00665CEB" w:rsidRPr="00DB37C0">
        <w:rPr>
          <w:b/>
          <w:bCs/>
          <w:lang w:eastAsia="en-GB"/>
        </w:rPr>
        <w:t>Quinn Emmanuel Urqhart &amp; Sullivan</w:t>
      </w:r>
      <w:r w:rsidR="00E826BC" w:rsidRPr="00DB37C0">
        <w:rPr>
          <w:b/>
          <w:bCs/>
          <w:lang w:eastAsia="en-GB"/>
        </w:rPr>
        <w:t xml:space="preserve"> UK LLP</w:t>
      </w:r>
      <w:r w:rsidR="00407C05" w:rsidRPr="00DB37C0">
        <w:rPr>
          <w:lang w:eastAsia="en-GB"/>
        </w:rPr>
        <w:t xml:space="preserve">) </w:t>
      </w:r>
      <w:r w:rsidR="007F4454" w:rsidRPr="00DB37C0">
        <w:rPr>
          <w:b/>
          <w:bCs/>
          <w:lang w:eastAsia="en-GB"/>
        </w:rPr>
        <w:t xml:space="preserve">for the </w:t>
      </w:r>
      <w:r w:rsidR="00B04949" w:rsidRPr="00DB37C0">
        <w:rPr>
          <w:b/>
          <w:bCs/>
          <w:lang w:eastAsia="en-GB"/>
        </w:rPr>
        <w:t>Third</w:t>
      </w:r>
      <w:r w:rsidR="00AC3C42" w:rsidRPr="00DB37C0">
        <w:rPr>
          <w:b/>
          <w:bCs/>
          <w:lang w:eastAsia="en-GB"/>
        </w:rPr>
        <w:t xml:space="preserve"> Respondent</w:t>
      </w:r>
      <w:r w:rsidR="000819F1" w:rsidRPr="00DB37C0">
        <w:rPr>
          <w:b/>
          <w:bCs/>
          <w:lang w:eastAsia="en-GB"/>
        </w:rPr>
        <w:t>s</w:t>
      </w:r>
      <w:r w:rsidR="00AC3C42" w:rsidRPr="00DB37C0">
        <w:rPr>
          <w:b/>
          <w:bCs/>
          <w:lang w:eastAsia="en-GB"/>
        </w:rPr>
        <w:t xml:space="preserve"> </w:t>
      </w:r>
    </w:p>
    <w:p w14:paraId="7F636E39" w14:textId="3B4305CF" w:rsidR="00C439A3" w:rsidRPr="00DB37C0" w:rsidRDefault="00805C21">
      <w:pPr>
        <w:suppressAutoHyphens/>
        <w:jc w:val="center"/>
        <w:rPr>
          <w:b/>
          <w:bCs/>
          <w:lang w:eastAsia="en-GB"/>
        </w:rPr>
      </w:pPr>
      <w:r w:rsidRPr="00DB37C0">
        <w:rPr>
          <w:b/>
          <w:bCs/>
          <w:lang w:eastAsia="en-GB"/>
        </w:rPr>
        <w:t xml:space="preserve">The </w:t>
      </w:r>
      <w:r w:rsidR="00B04949" w:rsidRPr="00DB37C0">
        <w:rPr>
          <w:b/>
          <w:bCs/>
          <w:lang w:eastAsia="en-GB"/>
        </w:rPr>
        <w:t>Fourth and Fifth Respondent</w:t>
      </w:r>
      <w:r w:rsidRPr="00DB37C0">
        <w:rPr>
          <w:b/>
          <w:bCs/>
          <w:lang w:eastAsia="en-GB"/>
        </w:rPr>
        <w:t>s did not appear and were not represented</w:t>
      </w:r>
    </w:p>
    <w:p w14:paraId="1542A374" w14:textId="77777777" w:rsidR="00A843A2" w:rsidRDefault="00A843A2">
      <w:pPr>
        <w:suppressAutoHyphens/>
        <w:jc w:val="center"/>
        <w:rPr>
          <w:b/>
          <w:spacing w:val="-3"/>
        </w:rPr>
      </w:pPr>
    </w:p>
    <w:p w14:paraId="24888AA7" w14:textId="7FBDABC5" w:rsidR="00C439A3" w:rsidRDefault="00C439A3">
      <w:pPr>
        <w:suppressAutoHyphens/>
        <w:jc w:val="center"/>
        <w:rPr>
          <w:spacing w:val="-3"/>
        </w:rPr>
      </w:pPr>
      <w:r>
        <w:rPr>
          <w:spacing w:val="-3"/>
        </w:rPr>
        <w:t xml:space="preserve">Hearing date : </w:t>
      </w:r>
      <w:r w:rsidR="00DB37C0">
        <w:rPr>
          <w:spacing w:val="-3"/>
        </w:rPr>
        <w:t>28 April 2020</w:t>
      </w:r>
    </w:p>
    <w:p w14:paraId="253BEB95" w14:textId="77777777" w:rsidR="00C439A3" w:rsidRDefault="00C439A3">
      <w:pPr>
        <w:suppressAutoHyphens/>
        <w:jc w:val="center"/>
        <w:rPr>
          <w:spacing w:val="-3"/>
        </w:rPr>
      </w:pPr>
      <w:r>
        <w:rPr>
          <w:spacing w:val="-3"/>
        </w:rPr>
        <w:t>- - - - - - - - - - - - - - - - - - - - -</w:t>
      </w:r>
    </w:p>
    <w:p w14:paraId="06C96E7A" w14:textId="6C0A797D" w:rsidR="00C439A3" w:rsidRDefault="00DB37C0" w:rsidP="00DB37C0">
      <w:pPr>
        <w:pStyle w:val="CoverDesc"/>
      </w:pPr>
      <w:r>
        <w:t>Approved Judgment</w:t>
      </w:r>
    </w:p>
    <w:p w14:paraId="789FEC66" w14:textId="77777777" w:rsidR="00C439A3" w:rsidRDefault="00C439A3">
      <w:pPr>
        <w:pStyle w:val="CoverDesc"/>
        <w:rPr>
          <w:sz w:val="24"/>
        </w:rPr>
      </w:pPr>
    </w:p>
    <w:p w14:paraId="00533A12" w14:textId="77777777" w:rsidR="00C439A3" w:rsidRDefault="00C439A3"/>
    <w:p w14:paraId="72BFD72D" w14:textId="77777777" w:rsidR="00CD44C8" w:rsidRPr="00811C87" w:rsidRDefault="00CD44C8" w:rsidP="00CD44C8">
      <w:pPr>
        <w:pStyle w:val="CoverDesc"/>
        <w:pBdr>
          <w:top w:val="single" w:sz="4" w:space="1" w:color="auto"/>
          <w:left w:val="single" w:sz="4" w:space="4" w:color="auto"/>
          <w:bottom w:val="single" w:sz="4" w:space="1" w:color="auto"/>
          <w:right w:val="single" w:sz="4" w:space="4" w:color="auto"/>
        </w:pBdr>
        <w:rPr>
          <w:sz w:val="24"/>
          <w:szCs w:val="24"/>
        </w:rPr>
      </w:pPr>
      <w:r w:rsidRPr="00811C87">
        <w:rPr>
          <w:sz w:val="24"/>
          <w:szCs w:val="24"/>
        </w:rPr>
        <w:t>Covid-19 Protocol:</w:t>
      </w:r>
    </w:p>
    <w:p w14:paraId="44AED9B3" w14:textId="03B84A94" w:rsidR="00CD44C8" w:rsidRPr="00811C87" w:rsidRDefault="00CD44C8" w:rsidP="00CD44C8">
      <w:pPr>
        <w:pStyle w:val="CoverDesc"/>
        <w:pBdr>
          <w:top w:val="single" w:sz="4" w:space="1" w:color="auto"/>
          <w:left w:val="single" w:sz="4" w:space="4" w:color="auto"/>
          <w:bottom w:val="single" w:sz="4" w:space="1" w:color="auto"/>
          <w:right w:val="single" w:sz="4" w:space="4" w:color="auto"/>
        </w:pBdr>
        <w:rPr>
          <w:sz w:val="24"/>
          <w:szCs w:val="24"/>
        </w:rPr>
      </w:pPr>
      <w:r w:rsidRPr="00811C87">
        <w:rPr>
          <w:sz w:val="24"/>
          <w:szCs w:val="24"/>
        </w:rPr>
        <w:t>This judgment was handed down remotely by circulation to the parties’ representatives by email, release</w:t>
      </w:r>
      <w:r>
        <w:rPr>
          <w:sz w:val="24"/>
          <w:szCs w:val="24"/>
        </w:rPr>
        <w:t>d</w:t>
      </w:r>
      <w:r w:rsidRPr="00811C87">
        <w:rPr>
          <w:sz w:val="24"/>
          <w:szCs w:val="24"/>
        </w:rPr>
        <w:t xml:space="preserve"> to BAILII and publication on the Courts and Tribunal Judiciary website (press.enquiries@judiciary.uk).  The date and time for hand-down is deemed to </w:t>
      </w:r>
      <w:r>
        <w:rPr>
          <w:sz w:val="24"/>
          <w:szCs w:val="24"/>
        </w:rPr>
        <w:t>be 10:30am on Friday, 15 May</w:t>
      </w:r>
      <w:r w:rsidRPr="00811C87">
        <w:rPr>
          <w:sz w:val="24"/>
          <w:szCs w:val="24"/>
        </w:rPr>
        <w:t xml:space="preserve"> 2020.</w:t>
      </w:r>
    </w:p>
    <w:p w14:paraId="13E785BB" w14:textId="77777777" w:rsidR="00C439A3" w:rsidRDefault="00C439A3" w:rsidP="00CD44C8">
      <w:pPr>
        <w:jc w:val="center"/>
        <w:sectPr w:rsidR="00C439A3">
          <w:footerReference w:type="default" r:id="rId11"/>
          <w:pgSz w:w="11909" w:h="16834" w:code="9"/>
          <w:pgMar w:top="720" w:right="1440" w:bottom="720" w:left="1440" w:header="720" w:footer="720" w:gutter="0"/>
          <w:pgNumType w:start="1"/>
          <w:cols w:space="720"/>
        </w:sectPr>
      </w:pPr>
    </w:p>
    <w:p w14:paraId="34020B76" w14:textId="3142CE37" w:rsidR="00C439A3" w:rsidRDefault="00DB37C0">
      <w:pPr>
        <w:spacing w:after="240"/>
        <w:sectPr w:rsidR="00C439A3">
          <w:headerReference w:type="default" r:id="rId12"/>
          <w:footerReference w:type="default" r:id="rId13"/>
          <w:pgSz w:w="11906" w:h="16838" w:code="9"/>
          <w:pgMar w:top="1440" w:right="1440" w:bottom="1440" w:left="1440" w:header="709" w:footer="709" w:gutter="0"/>
          <w:cols w:space="708"/>
          <w:docGrid w:linePitch="360"/>
        </w:sectPr>
      </w:pPr>
      <w:r>
        <w:rPr>
          <w:b/>
        </w:rPr>
        <w:lastRenderedPageBreak/>
        <w:t>Lord Justice Popplewell</w:t>
      </w:r>
      <w:r w:rsidR="00C439A3">
        <w:rPr>
          <w:b/>
        </w:rPr>
        <w:t xml:space="preserve"> :</w:t>
      </w:r>
      <w:r w:rsidR="00C439A3">
        <w:t xml:space="preserve"> </w:t>
      </w:r>
    </w:p>
    <w:p w14:paraId="08763802" w14:textId="54D7D931" w:rsidR="0095267B" w:rsidRPr="00541B3D" w:rsidRDefault="00541B3D" w:rsidP="00DB37C0">
      <w:pPr>
        <w:pStyle w:val="ParaLevel1"/>
        <w:numPr>
          <w:ilvl w:val="0"/>
          <w:numId w:val="0"/>
        </w:numPr>
        <w:rPr>
          <w:b/>
          <w:bCs/>
        </w:rPr>
      </w:pPr>
      <w:r w:rsidRPr="00541B3D">
        <w:rPr>
          <w:b/>
          <w:bCs/>
        </w:rPr>
        <w:t>Introduction</w:t>
      </w:r>
    </w:p>
    <w:p w14:paraId="4D64FCEA" w14:textId="4CEE03CA" w:rsidR="00194E8F" w:rsidRDefault="00541B3D" w:rsidP="00DB37C0">
      <w:pPr>
        <w:pStyle w:val="ParaLevel1"/>
      </w:pPr>
      <w:r>
        <w:t>This appea</w:t>
      </w:r>
      <w:r w:rsidR="009B10CC">
        <w:t>l</w:t>
      </w:r>
      <w:r w:rsidR="009C3FF6">
        <w:t xml:space="preserve"> c</w:t>
      </w:r>
      <w:r w:rsidR="00F02FE5">
        <w:t xml:space="preserve">oncerns the scope and effect of the “one voice” principle which is that </w:t>
      </w:r>
      <w:r w:rsidR="00B81D64">
        <w:t>where Her Majesty’s Government has recognised the existence of a foreign state, or a person or body</w:t>
      </w:r>
      <w:r w:rsidR="00D96761">
        <w:t xml:space="preserve"> as the government of a foreign state, the English Court is bound to </w:t>
      </w:r>
      <w:r w:rsidR="0037265E">
        <w:t>treat the state as a sovereign state</w:t>
      </w:r>
      <w:r w:rsidR="00BE060E">
        <w:t>,</w:t>
      </w:r>
      <w:r w:rsidR="0037265E">
        <w:t xml:space="preserve"> and </w:t>
      </w:r>
      <w:r w:rsidR="0038282C">
        <w:t>the government as the government of a sovereign state</w:t>
      </w:r>
      <w:r w:rsidR="00BE060E">
        <w:t>,</w:t>
      </w:r>
      <w:r w:rsidR="0038282C">
        <w:t xml:space="preserve"> in its determination </w:t>
      </w:r>
      <w:r w:rsidR="008205B5">
        <w:t xml:space="preserve">of </w:t>
      </w:r>
      <w:r w:rsidR="0038282C">
        <w:t>disputes</w:t>
      </w:r>
      <w:r w:rsidR="001666A2">
        <w:t xml:space="preserve"> before it</w:t>
      </w:r>
      <w:r w:rsidR="0038282C">
        <w:t xml:space="preserve">.  </w:t>
      </w:r>
      <w:r w:rsidR="00E4193F">
        <w:t xml:space="preserve">The Court does so because </w:t>
      </w:r>
      <w:r w:rsidR="00194E8F">
        <w:t xml:space="preserve">in this country </w:t>
      </w:r>
      <w:r w:rsidR="00456323">
        <w:t xml:space="preserve">the recognition of foreign states and governments is constitutionally part of the function of Her Majesty’s Government as the executive branch of the state, and the </w:t>
      </w:r>
      <w:r w:rsidR="00167928">
        <w:t xml:space="preserve">Crown </w:t>
      </w:r>
      <w:r w:rsidR="00D057F1">
        <w:t>must speak with one voice</w:t>
      </w:r>
      <w:r w:rsidR="00463870" w:rsidRPr="00463870">
        <w:t xml:space="preserve"> </w:t>
      </w:r>
      <w:r w:rsidR="00463870">
        <w:t xml:space="preserve">in its executive and judicial functions in </w:t>
      </w:r>
      <w:r w:rsidR="00911E9B">
        <w:t xml:space="preserve">this aspect of </w:t>
      </w:r>
      <w:r w:rsidR="00EC630E">
        <w:t>international</w:t>
      </w:r>
      <w:r w:rsidR="00911E9B">
        <w:t xml:space="preserve"> relations. </w:t>
      </w:r>
      <w:r w:rsidR="00D057F1">
        <w:t xml:space="preserve"> </w:t>
      </w:r>
    </w:p>
    <w:p w14:paraId="3A4F62FE" w14:textId="28E838C9" w:rsidR="0095267B" w:rsidRDefault="00C51F75" w:rsidP="00DB37C0">
      <w:pPr>
        <w:pStyle w:val="ParaLevel1"/>
      </w:pPr>
      <w:r>
        <w:t xml:space="preserve">The principle falls to be applied in this case to </w:t>
      </w:r>
      <w:r w:rsidR="00107B60">
        <w:t xml:space="preserve">the government of Libya following the fall </w:t>
      </w:r>
      <w:r w:rsidR="00F646DD">
        <w:t xml:space="preserve">in 2011 of the regime of </w:t>
      </w:r>
      <w:r w:rsidR="008F5F62" w:rsidRPr="008F5F62">
        <w:t>Muammar al-Qadhafi</w:t>
      </w:r>
      <w:r w:rsidR="00B24CFE">
        <w:t xml:space="preserve">, commonly referred to as </w:t>
      </w:r>
      <w:r w:rsidR="00107B60">
        <w:t>Colonel Gaddafi</w:t>
      </w:r>
      <w:r w:rsidR="00B24CFE">
        <w:t>.</w:t>
      </w:r>
      <w:r w:rsidR="00D56AC3">
        <w:t xml:space="preserve">  As is well known, there followed a period of political</w:t>
      </w:r>
      <w:r w:rsidR="00885FD8">
        <w:t xml:space="preserve"> turmoil and fighting which to some extent continues to this day.  The relevant parts of the </w:t>
      </w:r>
      <w:r w:rsidR="00401899">
        <w:t>history</w:t>
      </w:r>
      <w:r w:rsidR="00435092">
        <w:t xml:space="preserve"> can be summarised briefly.</w:t>
      </w:r>
      <w:r w:rsidR="00D63C68">
        <w:t xml:space="preserve">  </w:t>
      </w:r>
      <w:r w:rsidR="005709CF">
        <w:t>A</w:t>
      </w:r>
      <w:r w:rsidR="00631C8E">
        <w:t>fter the revolution</w:t>
      </w:r>
      <w:r w:rsidR="005709CF">
        <w:t xml:space="preserve"> </w:t>
      </w:r>
      <w:r w:rsidR="00631C8E">
        <w:t xml:space="preserve"> a National Transitional Council </w:t>
      </w:r>
      <w:r w:rsidR="0027699A">
        <w:t xml:space="preserve">(“NTC”) </w:t>
      </w:r>
      <w:r w:rsidR="00631C8E">
        <w:t xml:space="preserve">was formed to govern Libya </w:t>
      </w:r>
      <w:r w:rsidR="00DD28D8">
        <w:t>and was for a while recognised internationally as the Libyan government, including by Her Ma</w:t>
      </w:r>
      <w:r w:rsidR="00DB5BAC">
        <w:t>jesty’s Government (“HMG”)</w:t>
      </w:r>
      <w:r w:rsidR="00927C25">
        <w:t xml:space="preserve"> on 27 July 2011</w:t>
      </w:r>
      <w:r w:rsidR="00DB5BAC">
        <w:t xml:space="preserve">. </w:t>
      </w:r>
      <w:r w:rsidR="00CC3707">
        <w:t xml:space="preserve"> </w:t>
      </w:r>
      <w:r w:rsidR="00000FA0">
        <w:t xml:space="preserve">On 3 August </w:t>
      </w:r>
      <w:r w:rsidR="001477BC">
        <w:t>2011</w:t>
      </w:r>
      <w:r w:rsidR="00DC6C0A">
        <w:t xml:space="preserve"> </w:t>
      </w:r>
      <w:r w:rsidR="00BC117F">
        <w:t xml:space="preserve">the NTC </w:t>
      </w:r>
      <w:r w:rsidR="001477BC">
        <w:t xml:space="preserve">made a Constitutional Declaration.  </w:t>
      </w:r>
      <w:r w:rsidR="00C21771">
        <w:t>In July 2012 elections were held</w:t>
      </w:r>
      <w:r w:rsidR="00B773BB">
        <w:t xml:space="preserve"> for members of a new General </w:t>
      </w:r>
      <w:r w:rsidR="005D001F">
        <w:t>National Congress</w:t>
      </w:r>
      <w:r w:rsidR="00BD5C77">
        <w:t xml:space="preserve"> (“GNC”)</w:t>
      </w:r>
      <w:r w:rsidR="00595ABF">
        <w:t>, which at its first sitting in August 2012</w:t>
      </w:r>
      <w:r w:rsidR="005770FB">
        <w:t xml:space="preserve"> </w:t>
      </w:r>
      <w:r w:rsidR="00595ABF">
        <w:t xml:space="preserve">dissolved the </w:t>
      </w:r>
      <w:r w:rsidR="0027699A">
        <w:t>NTC.</w:t>
      </w:r>
      <w:r w:rsidR="005709CF">
        <w:t xml:space="preserve">  </w:t>
      </w:r>
      <w:r w:rsidR="00B2426B">
        <w:t>In June 2014 elections were held for a new parliament, the House of Representatives (“HoR”)</w:t>
      </w:r>
      <w:r w:rsidR="00D93D26">
        <w:t xml:space="preserve">. However due to continuing conflicts between </w:t>
      </w:r>
      <w:r w:rsidR="005709CF">
        <w:t xml:space="preserve">different </w:t>
      </w:r>
      <w:r w:rsidR="00D93D26">
        <w:t>factions</w:t>
      </w:r>
      <w:r w:rsidR="00BD5C77">
        <w:t xml:space="preserve">, two rival governments emerged: a </w:t>
      </w:r>
      <w:r w:rsidR="00DD165A">
        <w:t>GNC mandated government based in Tripoli in the West of Libya</w:t>
      </w:r>
      <w:r w:rsidR="009E70D6">
        <w:t xml:space="preserve">, </w:t>
      </w:r>
      <w:r w:rsidR="005332AF">
        <w:t xml:space="preserve">sometimes referred to as the Tripoli </w:t>
      </w:r>
      <w:r w:rsidR="005709CF">
        <w:t>g</w:t>
      </w:r>
      <w:r w:rsidR="005332AF">
        <w:t>overnment</w:t>
      </w:r>
      <w:r w:rsidR="005709CF">
        <w:t xml:space="preserve">, </w:t>
      </w:r>
      <w:r w:rsidR="005332AF">
        <w:t xml:space="preserve"> and </w:t>
      </w:r>
      <w:r w:rsidR="00217641">
        <w:t>an “interim” government backed by the HoR based in Tobruk in the East</w:t>
      </w:r>
      <w:r w:rsidR="0085260B">
        <w:t xml:space="preserve">, sometimes referred to as the Tobruk </w:t>
      </w:r>
      <w:r w:rsidR="005709CF">
        <w:t>g</w:t>
      </w:r>
      <w:r w:rsidR="0085260B">
        <w:t>overnment</w:t>
      </w:r>
      <w:r w:rsidR="00217641">
        <w:t>.</w:t>
      </w:r>
      <w:r w:rsidR="00A17ED0">
        <w:t xml:space="preserve">  In September 2014 the United </w:t>
      </w:r>
      <w:r w:rsidR="00CC57A7">
        <w:t>N</w:t>
      </w:r>
      <w:r w:rsidR="00A17ED0">
        <w:t>ations Support Mission in Libya</w:t>
      </w:r>
      <w:r w:rsidR="0085260B">
        <w:t>,</w:t>
      </w:r>
      <w:r w:rsidR="00BD0FBD">
        <w:t xml:space="preserve"> which had been </w:t>
      </w:r>
      <w:r w:rsidR="00A17ED0">
        <w:t xml:space="preserve">established by the United Nations </w:t>
      </w:r>
      <w:r w:rsidR="006C1D19">
        <w:t xml:space="preserve">Security Council </w:t>
      </w:r>
      <w:r w:rsidR="0085260B">
        <w:t>(</w:t>
      </w:r>
      <w:r w:rsidR="00DD0A3D">
        <w:t>“</w:t>
      </w:r>
      <w:r w:rsidR="0085260B">
        <w:t>UNSC”)</w:t>
      </w:r>
      <w:r w:rsidR="00BD0FBD">
        <w:t xml:space="preserve"> </w:t>
      </w:r>
      <w:r w:rsidR="00A17ED0">
        <w:t>in 2011</w:t>
      </w:r>
      <w:r w:rsidR="00BD0FBD">
        <w:t xml:space="preserve">, </w:t>
      </w:r>
      <w:r w:rsidR="006C1D19">
        <w:t xml:space="preserve">sought to procure a negotiated settlement between the </w:t>
      </w:r>
      <w:r w:rsidR="00FB30ED">
        <w:t>various factions in what became known as the “Libyan Political Dialogue”</w:t>
      </w:r>
      <w:r w:rsidR="00DD0A3D">
        <w:t xml:space="preserve">.  This was widely </w:t>
      </w:r>
      <w:r w:rsidR="00DC3D11">
        <w:t>supported by the international community</w:t>
      </w:r>
      <w:r w:rsidR="00CF64CC">
        <w:t xml:space="preserve">, including </w:t>
      </w:r>
      <w:r w:rsidR="00DD0A3D">
        <w:t xml:space="preserve">by </w:t>
      </w:r>
      <w:r w:rsidR="00CF64CC">
        <w:t xml:space="preserve">HMG, and culminated in the signing by its participants on 17 December </w:t>
      </w:r>
      <w:r w:rsidR="002F2A76">
        <w:t>2015 of the Libyan Political Agreement</w:t>
      </w:r>
      <w:r w:rsidR="00D91E93">
        <w:t xml:space="preserve"> (“LPA”).</w:t>
      </w:r>
    </w:p>
    <w:p w14:paraId="66EB101E" w14:textId="63347FFA" w:rsidR="00D91E93" w:rsidRDefault="00D91E93" w:rsidP="00DB37C0">
      <w:pPr>
        <w:pStyle w:val="ParaLevel1"/>
      </w:pPr>
      <w:r>
        <w:t xml:space="preserve">The LPA was in essence a new constitutional settlement </w:t>
      </w:r>
      <w:r w:rsidR="00EA5EBD">
        <w:t xml:space="preserve">under which there was to be formed </w:t>
      </w:r>
      <w:r w:rsidR="00136598">
        <w:t>a new Government of National Accord (“GNA”) to be the executive authority</w:t>
      </w:r>
      <w:r w:rsidR="00D450A6">
        <w:t xml:space="preserve"> </w:t>
      </w:r>
      <w:r w:rsidR="00C9579C">
        <w:t xml:space="preserve">based in Tripoli </w:t>
      </w:r>
      <w:r w:rsidR="00D450A6">
        <w:t xml:space="preserve">acting through </w:t>
      </w:r>
      <w:r w:rsidR="003A29CE">
        <w:t xml:space="preserve">a </w:t>
      </w:r>
      <w:r w:rsidR="008C3E6E">
        <w:t xml:space="preserve">Council of </w:t>
      </w:r>
      <w:r w:rsidR="003A29CE">
        <w:t>M</w:t>
      </w:r>
      <w:r w:rsidR="008C3E6E">
        <w:t xml:space="preserve">inisters </w:t>
      </w:r>
      <w:r w:rsidR="003A29CE">
        <w:t xml:space="preserve">and a Presidency Council (“PC”)  </w:t>
      </w:r>
      <w:r w:rsidR="008C3E6E">
        <w:t xml:space="preserve">chaired by the Prime Minister, </w:t>
      </w:r>
      <w:r w:rsidR="00CB74E2">
        <w:t>Faye</w:t>
      </w:r>
      <w:r w:rsidR="004F0231">
        <w:t xml:space="preserve">z Mustafa </w:t>
      </w:r>
      <w:r w:rsidR="00E36CDE">
        <w:t>a</w:t>
      </w:r>
      <w:r w:rsidR="004F0231">
        <w:t xml:space="preserve">l-Sarraj.  The HoR was to be the legislative authority; and there was to be a third </w:t>
      </w:r>
      <w:r w:rsidR="00E57CE0">
        <w:t xml:space="preserve">consultative body, the State Council.  The LPA </w:t>
      </w:r>
      <w:r w:rsidR="00445DB3">
        <w:t>was intended to amend the Constitutional Declaration and replace it where inconsistent.</w:t>
      </w:r>
      <w:r w:rsidR="00223363">
        <w:t xml:space="preserve">   Article 1(4) </w:t>
      </w:r>
      <w:r w:rsidR="00337686">
        <w:t xml:space="preserve">of the LPA </w:t>
      </w:r>
      <w:r w:rsidR="00223363">
        <w:t xml:space="preserve">provided that </w:t>
      </w:r>
      <w:r w:rsidR="00D77DFF">
        <w:t xml:space="preserve">the GNA was to have a term of one year from </w:t>
      </w:r>
      <w:r w:rsidR="00913D28">
        <w:t xml:space="preserve">a vote of confidence by the HoR.  On </w:t>
      </w:r>
      <w:r w:rsidR="003E5183">
        <w:t xml:space="preserve">25 January 2016, the HoR voted in </w:t>
      </w:r>
      <w:r w:rsidR="00C37742">
        <w:t>f</w:t>
      </w:r>
      <w:r w:rsidR="003E5183">
        <w:t xml:space="preserve">avour of the LPA, although it reserved its position </w:t>
      </w:r>
      <w:r w:rsidR="00A35EFC">
        <w:t xml:space="preserve">on </w:t>
      </w:r>
      <w:r w:rsidR="001A0CD8">
        <w:t xml:space="preserve">one article which is not here relevant. </w:t>
      </w:r>
      <w:r w:rsidR="00A27F1C">
        <w:t xml:space="preserve"> </w:t>
      </w:r>
      <w:r w:rsidR="00C37742">
        <w:t xml:space="preserve">The HoR has never, however, passed a vote of confidence </w:t>
      </w:r>
      <w:r w:rsidR="001B7B92">
        <w:t xml:space="preserve">in the GNA </w:t>
      </w:r>
      <w:r w:rsidR="002B4849">
        <w:t xml:space="preserve">as contemplated by </w:t>
      </w:r>
      <w:r w:rsidR="001B7B92">
        <w:t xml:space="preserve">Article 1(4).  </w:t>
      </w:r>
    </w:p>
    <w:p w14:paraId="4FF8C080" w14:textId="4A683138" w:rsidR="001B7B92" w:rsidRDefault="00A27F1C" w:rsidP="00DB37C0">
      <w:pPr>
        <w:pStyle w:val="ParaLevel1"/>
      </w:pPr>
      <w:r>
        <w:t xml:space="preserve">The </w:t>
      </w:r>
      <w:r w:rsidR="00DC6C0A">
        <w:t>GNA</w:t>
      </w:r>
      <w:r w:rsidR="005C6997">
        <w:t xml:space="preserve"> under Prime Minister </w:t>
      </w:r>
      <w:r w:rsidR="00E36CDE">
        <w:t>a</w:t>
      </w:r>
      <w:r w:rsidR="005C6997">
        <w:t xml:space="preserve">l-Sarraj </w:t>
      </w:r>
      <w:r w:rsidR="00977A53">
        <w:t xml:space="preserve">had the support of the United </w:t>
      </w:r>
      <w:r w:rsidR="00920CD9">
        <w:t>N</w:t>
      </w:r>
      <w:r w:rsidR="00977A53">
        <w:t>ations and HMG from the outset, and has continued to enjoy that support</w:t>
      </w:r>
      <w:r w:rsidR="00920CD9">
        <w:t xml:space="preserve"> in a way I will examine more fully below.  It has not, however,</w:t>
      </w:r>
      <w:r w:rsidR="008E4691">
        <w:t xml:space="preserve"> successfully united the warring factions</w:t>
      </w:r>
      <w:r w:rsidR="00FD46AE">
        <w:t xml:space="preserve">.  </w:t>
      </w:r>
      <w:r w:rsidR="00940C8F">
        <w:t xml:space="preserve">One </w:t>
      </w:r>
      <w:r w:rsidR="002A106C">
        <w:lastRenderedPageBreak/>
        <w:t xml:space="preserve">consequence </w:t>
      </w:r>
      <w:r w:rsidR="007621AA">
        <w:t>has been that there are rival claims to control the Libyan Investment Auth</w:t>
      </w:r>
      <w:r w:rsidR="00B2073E">
        <w:t>ority, the Fourth Respondent (</w:t>
      </w:r>
      <w:r w:rsidR="00B93C45">
        <w:t>“</w:t>
      </w:r>
      <w:r w:rsidR="00B2073E">
        <w:t xml:space="preserve">LIA”).  The LIA </w:t>
      </w:r>
      <w:r w:rsidR="006D415B">
        <w:t xml:space="preserve">is Libya’s sovereign wealth fund </w:t>
      </w:r>
      <w:r w:rsidR="00332772">
        <w:t xml:space="preserve">with assets </w:t>
      </w:r>
      <w:r w:rsidR="00925D31">
        <w:t xml:space="preserve">measured in tens of billions of dollars emanating from </w:t>
      </w:r>
      <w:r w:rsidR="0020062E">
        <w:t>L</w:t>
      </w:r>
      <w:r w:rsidR="00925D31">
        <w:t>ibya’s oil revenues</w:t>
      </w:r>
      <w:r w:rsidR="0020062E">
        <w:t xml:space="preserve">. </w:t>
      </w:r>
      <w:r w:rsidR="00B93C45">
        <w:t xml:space="preserve"> </w:t>
      </w:r>
      <w:r w:rsidR="00D55E90">
        <w:t>I</w:t>
      </w:r>
      <w:r w:rsidR="00BF6AFD">
        <w:t>ts property includes over $1</w:t>
      </w:r>
      <w:r w:rsidR="008205B5">
        <w:t xml:space="preserve"> </w:t>
      </w:r>
      <w:r w:rsidR="004611D0">
        <w:t xml:space="preserve">billion worth </w:t>
      </w:r>
      <w:r w:rsidR="00BF6AFD">
        <w:t xml:space="preserve">of assets held or managed </w:t>
      </w:r>
      <w:r w:rsidR="00CD5469">
        <w:t xml:space="preserve">in </w:t>
      </w:r>
      <w:r w:rsidR="00BF6AFD">
        <w:t>this country</w:t>
      </w:r>
      <w:r w:rsidR="00EB1529">
        <w:t xml:space="preserve"> (“the English Assets”)</w:t>
      </w:r>
      <w:r w:rsidR="00BF6AFD">
        <w:t xml:space="preserve">.  It is the control of these English </w:t>
      </w:r>
      <w:r w:rsidR="00EB1529">
        <w:t>A</w:t>
      </w:r>
      <w:r w:rsidR="00BF6AFD">
        <w:t xml:space="preserve">ssets which has been the </w:t>
      </w:r>
      <w:r w:rsidR="004611D0">
        <w:t xml:space="preserve">subject matter of the current and associated litigation in the English courts which I describe in more detail below.  </w:t>
      </w:r>
      <w:r w:rsidR="0020062E">
        <w:t>The LIA was established in 200</w:t>
      </w:r>
      <w:r w:rsidR="00CD5775">
        <w:t>6 under Colonel Gaddafi’s regime</w:t>
      </w:r>
      <w:r w:rsidR="007E2C01">
        <w:t xml:space="preserve"> and </w:t>
      </w:r>
      <w:r w:rsidR="00755FB1">
        <w:t>is governed and regulated by</w:t>
      </w:r>
      <w:r w:rsidR="009E2755">
        <w:t xml:space="preserve"> Law No (13) of 1378</w:t>
      </w:r>
      <w:r w:rsidR="00E26868">
        <w:t xml:space="preserve"> D.P. issued on 28 January 2010</w:t>
      </w:r>
      <w:r w:rsidR="00C96FCA">
        <w:t xml:space="preserve"> by the General People’s Congress </w:t>
      </w:r>
      <w:r w:rsidR="00C938B5">
        <w:t xml:space="preserve">of Colonel Gaddafi’s regime </w:t>
      </w:r>
      <w:r w:rsidR="0004400F">
        <w:t>(“Law 13”)</w:t>
      </w:r>
      <w:r w:rsidR="00C938B5">
        <w:t xml:space="preserve">.  </w:t>
      </w:r>
      <w:r w:rsidR="00F64167">
        <w:t xml:space="preserve">Article 6 of </w:t>
      </w:r>
      <w:r w:rsidR="002C626A">
        <w:t>Law 13 provides for the</w:t>
      </w:r>
      <w:r w:rsidR="0021583D">
        <w:t>re to be a Board of Trustees</w:t>
      </w:r>
      <w:r w:rsidR="00F64167">
        <w:t xml:space="preserve"> “formed by</w:t>
      </w:r>
      <w:r w:rsidR="0074554F">
        <w:t xml:space="preserve"> a resolution of the </w:t>
      </w:r>
      <w:r w:rsidR="0047532D">
        <w:t>G</w:t>
      </w:r>
      <w:r w:rsidR="0074554F">
        <w:t>eneral People’s Committee</w:t>
      </w:r>
      <w:r w:rsidR="00170447">
        <w:t>” and to “be composed of the Secretary</w:t>
      </w:r>
      <w:r w:rsidR="00DB6E71">
        <w:t xml:space="preserve"> of the </w:t>
      </w:r>
      <w:r w:rsidR="009B7DC1">
        <w:t>G</w:t>
      </w:r>
      <w:r w:rsidR="0047532D">
        <w:t xml:space="preserve">eneral People’s Committee as Chairman and the </w:t>
      </w:r>
      <w:r w:rsidR="00AF3A95">
        <w:t>membership of the General People’s Committee Secretaries of the gene</w:t>
      </w:r>
      <w:r w:rsidR="0022435A">
        <w:t xml:space="preserve">ral people’s committee for planning, finance, economy and trade, the Governor of the Central Bank of Libya and a number of </w:t>
      </w:r>
      <w:r w:rsidR="00336087">
        <w:t>experts within the Authority’s area</w:t>
      </w:r>
      <w:r w:rsidR="00DC6C0A">
        <w:t>s</w:t>
      </w:r>
      <w:r w:rsidR="00336087">
        <w:t xml:space="preserve"> of work.</w:t>
      </w:r>
      <w:r w:rsidR="00664810">
        <w:t xml:space="preserve">”  </w:t>
      </w:r>
      <w:r w:rsidR="00A12C35">
        <w:t>The General People’s Committee no longer exists</w:t>
      </w:r>
      <w:r w:rsidR="00146733">
        <w:t xml:space="preserve">.  </w:t>
      </w:r>
      <w:r w:rsidR="00664810">
        <w:t>It is</w:t>
      </w:r>
      <w:r w:rsidR="00146733">
        <w:t xml:space="preserve">, however, </w:t>
      </w:r>
      <w:r w:rsidR="00664810">
        <w:t>common ground in this litigation that</w:t>
      </w:r>
      <w:r w:rsidR="00146733">
        <w:t xml:space="preserve"> Law 13 continues to regulate the LIA and</w:t>
      </w:r>
      <w:r w:rsidR="009110D4">
        <w:t xml:space="preserve">, subject to some nuances of argument, </w:t>
      </w:r>
      <w:r w:rsidR="00146733">
        <w:t xml:space="preserve">that </w:t>
      </w:r>
      <w:r w:rsidR="00E255AB">
        <w:t xml:space="preserve">Article 6 </w:t>
      </w:r>
      <w:r w:rsidR="00D36E09">
        <w:t xml:space="preserve">can be given effect by interpreting the </w:t>
      </w:r>
      <w:r w:rsidR="00031AFA">
        <w:t>re</w:t>
      </w:r>
      <w:r w:rsidR="000D2C55">
        <w:t xml:space="preserve">levant </w:t>
      </w:r>
      <w:r w:rsidR="00031AFA">
        <w:t>officers of the General People’s Committee</w:t>
      </w:r>
      <w:r w:rsidR="00CF4818">
        <w:t xml:space="preserve"> </w:t>
      </w:r>
      <w:r w:rsidR="009110D4">
        <w:t xml:space="preserve">to be </w:t>
      </w:r>
      <w:r w:rsidR="00CF4818">
        <w:t>reference</w:t>
      </w:r>
      <w:r w:rsidR="009110D4">
        <w:t>s</w:t>
      </w:r>
      <w:r w:rsidR="00CF4818">
        <w:t xml:space="preserve"> to </w:t>
      </w:r>
      <w:r w:rsidR="00293D29">
        <w:t>the equivalent officers in a subsequent govern</w:t>
      </w:r>
      <w:r w:rsidR="002E3C96">
        <w:t xml:space="preserve">ment.  </w:t>
      </w:r>
    </w:p>
    <w:p w14:paraId="790B944C" w14:textId="54279307" w:rsidR="00404F22" w:rsidRDefault="0081766D" w:rsidP="00DB37C0">
      <w:pPr>
        <w:pStyle w:val="ParaLevel1"/>
      </w:pPr>
      <w:r>
        <w:t>Th</w:t>
      </w:r>
      <w:r w:rsidR="00353802">
        <w:t xml:space="preserve">is litigation </w:t>
      </w:r>
      <w:r w:rsidR="00BC626E">
        <w:t xml:space="preserve">was </w:t>
      </w:r>
      <w:r w:rsidR="00EB1529">
        <w:t xml:space="preserve">commenced </w:t>
      </w:r>
      <w:r w:rsidR="00BC626E">
        <w:t xml:space="preserve">to resolve the question of who the English Court should </w:t>
      </w:r>
      <w:r w:rsidR="00EB1529">
        <w:t xml:space="preserve">recognise as the validly appointed Chairman of the LIA for the purposes of the English Assets.  </w:t>
      </w:r>
      <w:r w:rsidR="00A52CB6">
        <w:t>There are four rival clai</w:t>
      </w:r>
      <w:r w:rsidR="00042ED3">
        <w:t>mants before the court who claim either that the</w:t>
      </w:r>
      <w:r w:rsidR="00A52F87">
        <w:t>y</w:t>
      </w:r>
      <w:r w:rsidR="00042ED3">
        <w:t xml:space="preserve"> are </w:t>
      </w:r>
      <w:r w:rsidR="007505E9">
        <w:t xml:space="preserve">currently </w:t>
      </w:r>
      <w:r w:rsidR="00042ED3">
        <w:t>to be treated as validly appointed or that they may become so following further</w:t>
      </w:r>
      <w:r w:rsidR="00404F22">
        <w:t xml:space="preserve"> litigation in the Libyan Courts:</w:t>
      </w:r>
    </w:p>
    <w:p w14:paraId="722E9F7C" w14:textId="6EF2DFD7" w:rsidR="009C4CD7" w:rsidRDefault="00404F22" w:rsidP="00DB37C0">
      <w:pPr>
        <w:pStyle w:val="ParaLevel2"/>
      </w:pPr>
      <w:r>
        <w:t xml:space="preserve">The </w:t>
      </w:r>
      <w:r w:rsidR="0081766D">
        <w:t>Respondent to the appeals (“Dr Mahmoud”)</w:t>
      </w:r>
      <w:r>
        <w:t xml:space="preserve">, who commenced the proceedings, </w:t>
      </w:r>
      <w:r w:rsidR="0081766D">
        <w:t xml:space="preserve">claims to be the validly appointed </w:t>
      </w:r>
      <w:r w:rsidR="00CD53B4">
        <w:t>Chairman of the LIA deriving his status from Law 13</w:t>
      </w:r>
      <w:r w:rsidR="00DC6DC0">
        <w:t xml:space="preserve"> by virtue of </w:t>
      </w:r>
      <w:r w:rsidR="00717066">
        <w:t xml:space="preserve">Resolution No 12 for the year </w:t>
      </w:r>
      <w:r w:rsidR="00530DCF">
        <w:t>2017 of the Council of Ministers of the GNA made on 25 May 2017</w:t>
      </w:r>
      <w:r w:rsidR="007060B5">
        <w:t xml:space="preserve"> (“Resolution 12”)</w:t>
      </w:r>
      <w:r w:rsidR="00DC6DC0">
        <w:t xml:space="preserve">, by which </w:t>
      </w:r>
      <w:r w:rsidR="007060B5">
        <w:t>the GNA constituted a Board of Trustees</w:t>
      </w:r>
      <w:r w:rsidR="00F17FC2">
        <w:t xml:space="preserve"> </w:t>
      </w:r>
      <w:r w:rsidR="00DC6DC0">
        <w:t xml:space="preserve">for the LIA </w:t>
      </w:r>
      <w:r w:rsidR="00F17FC2">
        <w:t>compri</w:t>
      </w:r>
      <w:r w:rsidR="0043037D">
        <w:t xml:space="preserve">sing </w:t>
      </w:r>
      <w:r w:rsidR="00F17FC2">
        <w:t xml:space="preserve">the Prime Minister, the relevant departmental ministers, the Governor of the Central </w:t>
      </w:r>
      <w:r w:rsidR="00DC6DC0">
        <w:t>Bank and two other individuals.  This Board of Trustees in turn appointed him as Chairman</w:t>
      </w:r>
      <w:r w:rsidR="00573A86">
        <w:t xml:space="preserve"> </w:t>
      </w:r>
      <w:r w:rsidR="00DC6DC0">
        <w:t xml:space="preserve">of the LIA </w:t>
      </w:r>
      <w:r w:rsidR="002F720F">
        <w:t>by its Resolution No 1 of 2017 on 15 July 2017</w:t>
      </w:r>
      <w:r w:rsidR="00B61867">
        <w:t xml:space="preserve"> (“Resolution 1”)</w:t>
      </w:r>
      <w:r w:rsidR="002F720F">
        <w:t xml:space="preserve">.  </w:t>
      </w:r>
    </w:p>
    <w:p w14:paraId="665E99DF" w14:textId="0E552569" w:rsidR="00210236" w:rsidRDefault="007939B3" w:rsidP="00DB37C0">
      <w:pPr>
        <w:pStyle w:val="ParaLevel2"/>
      </w:pPr>
      <w:r>
        <w:t xml:space="preserve">The Appellant in Appeal </w:t>
      </w:r>
      <w:r w:rsidR="0066246E">
        <w:t>N</w:t>
      </w:r>
      <w:r>
        <w:t>o A4/2019/1833 (“Dr Hussein”)</w:t>
      </w:r>
      <w:r w:rsidR="007113CE">
        <w:t xml:space="preserve"> also claim</w:t>
      </w:r>
      <w:r w:rsidR="009D45E9">
        <w:t xml:space="preserve">s </w:t>
      </w:r>
      <w:r w:rsidR="007113CE">
        <w:t xml:space="preserve">to be the Chairman </w:t>
      </w:r>
      <w:r w:rsidR="0090460C">
        <w:t xml:space="preserve">deserving recognition as such since </w:t>
      </w:r>
      <w:r w:rsidR="00626ACE">
        <w:t xml:space="preserve">17 </w:t>
      </w:r>
      <w:r w:rsidR="00554597">
        <w:t xml:space="preserve">September 2018.  He </w:t>
      </w:r>
      <w:r w:rsidR="009D45E9">
        <w:t xml:space="preserve">relies on </w:t>
      </w:r>
      <w:r w:rsidR="00771927">
        <w:t xml:space="preserve">an </w:t>
      </w:r>
      <w:r w:rsidR="00554597">
        <w:t>appoint</w:t>
      </w:r>
      <w:r w:rsidR="00A07313">
        <w:t xml:space="preserve">ment by a resolution on that date </w:t>
      </w:r>
      <w:r w:rsidR="00967E1D">
        <w:t>by a rival Board of Trustees in Benghazi</w:t>
      </w:r>
      <w:r w:rsidR="00210236">
        <w:t xml:space="preserve">, such Board of Trustees having been </w:t>
      </w:r>
      <w:r w:rsidR="00967E1D">
        <w:t xml:space="preserve"> appointed by a rival government affiliated to the</w:t>
      </w:r>
      <w:r w:rsidR="006921A5">
        <w:t xml:space="preserve"> HoR.</w:t>
      </w:r>
      <w:r w:rsidR="00CE49A7">
        <w:t xml:space="preserve">  </w:t>
      </w:r>
      <w:r w:rsidR="00CA3ED4">
        <w:t>He disputes the validity of the appointment of Dr Mahmoud.</w:t>
      </w:r>
    </w:p>
    <w:p w14:paraId="76BF94D2" w14:textId="3FB574BF" w:rsidR="00175BC2" w:rsidRDefault="0066246E" w:rsidP="00DB37C0">
      <w:pPr>
        <w:pStyle w:val="ParaLevel2"/>
      </w:pPr>
      <w:r>
        <w:t xml:space="preserve">The Appellant in Appeal No A4/2019/1820 (“Mr Breish”) </w:t>
      </w:r>
      <w:r w:rsidR="00210236">
        <w:t>claims</w:t>
      </w:r>
      <w:r w:rsidR="00EB5259">
        <w:t xml:space="preserve"> </w:t>
      </w:r>
      <w:r w:rsidR="008340F8">
        <w:t xml:space="preserve">a right to </w:t>
      </w:r>
      <w:r w:rsidR="0032112C">
        <w:t>c</w:t>
      </w:r>
      <w:r w:rsidR="008340F8">
        <w:t xml:space="preserve">hairmanship </w:t>
      </w:r>
      <w:r w:rsidR="00EB5259">
        <w:t xml:space="preserve">as a result of his appointment </w:t>
      </w:r>
      <w:r w:rsidR="000D3396">
        <w:t>as such by a Board of Trustees</w:t>
      </w:r>
      <w:r w:rsidR="001B7EFE">
        <w:t xml:space="preserve"> deriving its validity from an appointment by the GNC </w:t>
      </w:r>
      <w:r w:rsidR="00F90FD4">
        <w:t>on 1 June 2013.  H</w:t>
      </w:r>
      <w:r w:rsidR="00B839A5">
        <w:t xml:space="preserve">e too </w:t>
      </w:r>
      <w:r w:rsidR="00945A88">
        <w:t>disputes the validity of the appointment of D</w:t>
      </w:r>
      <w:r w:rsidR="00E5099A">
        <w:t>r</w:t>
      </w:r>
      <w:r w:rsidR="00945A88">
        <w:t xml:space="preserve"> Mahmoud, and of Dr Hus</w:t>
      </w:r>
      <w:r w:rsidR="00FE484E">
        <w:t>s</w:t>
      </w:r>
      <w:r w:rsidR="00945A88">
        <w:t>ein</w:t>
      </w:r>
      <w:r w:rsidR="008205B5">
        <w:t>.</w:t>
      </w:r>
    </w:p>
    <w:p w14:paraId="2C6D0C78" w14:textId="148F1030" w:rsidR="006D5177" w:rsidRDefault="00175BC2" w:rsidP="00DB37C0">
      <w:pPr>
        <w:pStyle w:val="ParaLevel2"/>
      </w:pPr>
      <w:r>
        <w:t>The Fifth Respondent (“Dr Derregia”)</w:t>
      </w:r>
      <w:r w:rsidR="00CD4FC1">
        <w:t xml:space="preserve"> </w:t>
      </w:r>
      <w:r>
        <w:t>emerged as a claimant or potential claimant</w:t>
      </w:r>
      <w:r w:rsidR="000D428F">
        <w:t xml:space="preserve"> </w:t>
      </w:r>
      <w:r w:rsidR="004F396B">
        <w:t>only after the judgments last year which are currently under appeal.  He now says that he was</w:t>
      </w:r>
      <w:r w:rsidR="000D428F">
        <w:t xml:space="preserve"> </w:t>
      </w:r>
      <w:r w:rsidR="00122D40">
        <w:t xml:space="preserve">validly appointed as Chairman </w:t>
      </w:r>
      <w:r w:rsidR="000D428F">
        <w:t xml:space="preserve">on 9 May 2012 </w:t>
      </w:r>
      <w:r w:rsidR="00122D40">
        <w:t xml:space="preserve">by a </w:t>
      </w:r>
      <w:r w:rsidR="00122D40">
        <w:lastRenderedPageBreak/>
        <w:t>Board of Trustees</w:t>
      </w:r>
      <w:r w:rsidR="00DF74D3">
        <w:t xml:space="preserve"> </w:t>
      </w:r>
      <w:r w:rsidR="00537CDC">
        <w:t>constituted by the t</w:t>
      </w:r>
      <w:r w:rsidR="00FE484E">
        <w:t>h</w:t>
      </w:r>
      <w:r w:rsidR="00537CDC">
        <w:t>en government, the NTC.  He was joined to the proceedings in the court below</w:t>
      </w:r>
      <w:r w:rsidR="00BD1E13">
        <w:t xml:space="preserve"> so that he should be bound by the result.  </w:t>
      </w:r>
      <w:r w:rsidR="001670CC">
        <w:t>A few weeks ago</w:t>
      </w:r>
      <w:r w:rsidR="00057042">
        <w:t>, a</w:t>
      </w:r>
      <w:r w:rsidR="00BD1E13">
        <w:t>n application was made on his behalf by Farrer &amp; Co that  he be joined to these appeals</w:t>
      </w:r>
      <w:r w:rsidR="00171257">
        <w:t xml:space="preserve">.  The other parties consented to such joinder, </w:t>
      </w:r>
      <w:r w:rsidR="00204177">
        <w:t xml:space="preserve">or did not oppose it, </w:t>
      </w:r>
      <w:r w:rsidR="00171257">
        <w:t xml:space="preserve">and we made an order accordingly.  </w:t>
      </w:r>
      <w:r w:rsidR="00151642">
        <w:t xml:space="preserve">It was made clear that </w:t>
      </w:r>
      <w:r w:rsidR="006374A3">
        <w:t xml:space="preserve">he did not </w:t>
      </w:r>
      <w:r w:rsidR="001670CC">
        <w:t xml:space="preserve">intend </w:t>
      </w:r>
      <w:r w:rsidR="00995E76">
        <w:t xml:space="preserve">to take an active part in the appeals and that his role at the hearing would be </w:t>
      </w:r>
      <w:r w:rsidR="000D024D">
        <w:t xml:space="preserve">limited to that of a watching brief.  </w:t>
      </w:r>
      <w:r w:rsidR="00171257">
        <w:t xml:space="preserve">On the eve of the hearing of the appeal, Farrer and Co wrote to </w:t>
      </w:r>
      <w:r w:rsidR="00EC3B63">
        <w:t xml:space="preserve">the Court asking that the joinder be set aside on the basis that the solicitors had misunderstood the scope of their instructions and that they had not had </w:t>
      </w:r>
      <w:r w:rsidR="001670CC">
        <w:t>a</w:t>
      </w:r>
      <w:r w:rsidR="00BA5CA7">
        <w:t xml:space="preserve">uthority </w:t>
      </w:r>
      <w:r w:rsidR="00EC3B63">
        <w:t>from Dr Derregia to seek his joinder</w:t>
      </w:r>
      <w:r w:rsidR="00BA5CA7">
        <w:t xml:space="preserve"> despite deposing to the contrary in the witness statement in support of the application; and stating that he </w:t>
      </w:r>
      <w:r w:rsidR="006D5177">
        <w:t xml:space="preserve">would not therefore </w:t>
      </w:r>
      <w:r w:rsidR="00CB4CB9">
        <w:t xml:space="preserve">be </w:t>
      </w:r>
      <w:r w:rsidR="006D5177">
        <w:t xml:space="preserve">represented at the hearing.  </w:t>
      </w:r>
      <w:r w:rsidR="001709F0">
        <w:t>The letter concluded “I am instructed that</w:t>
      </w:r>
      <w:r w:rsidR="001D24AC">
        <w:t>, notwithstanding that this would mean Dr Derregia would cease to be</w:t>
      </w:r>
      <w:r w:rsidR="006D5177">
        <w:t xml:space="preserve"> a p</w:t>
      </w:r>
      <w:r w:rsidR="00CB4CB9">
        <w:t>a</w:t>
      </w:r>
      <w:r w:rsidR="006D5177">
        <w:t xml:space="preserve">rty to the appeals he accepts that he is bound by the outcome of them.” </w:t>
      </w:r>
      <w:r w:rsidR="00CB4CB9">
        <w:t xml:space="preserve">  The other parties to the appeal were neutral on </w:t>
      </w:r>
      <w:r w:rsidR="008D49E7">
        <w:t>the application to set aside joinder, save that Mr Pymont QC for Dr Mahmoud emphasised that the important thing was that he should be bound by the result</w:t>
      </w:r>
      <w:r w:rsidR="004F3844">
        <w:t>.  For my part I would not accede to the application.  His joinder was sought and made specifically for the purposes of his being bound by the outcome, which is obviously desirable and was why he was joined to the proceedings</w:t>
      </w:r>
      <w:r w:rsidR="00BA5CA7">
        <w:t xml:space="preserve"> below,</w:t>
      </w:r>
      <w:r w:rsidR="004F3844">
        <w:t xml:space="preserve"> </w:t>
      </w:r>
      <w:r w:rsidR="00BA5CA7">
        <w:t>without objection</w:t>
      </w:r>
      <w:r w:rsidR="002C619B">
        <w:t xml:space="preserve">, after the </w:t>
      </w:r>
      <w:r w:rsidR="00456A9E">
        <w:t xml:space="preserve">judgments under appeal.  </w:t>
      </w:r>
      <w:r w:rsidR="00707EDC">
        <w:t>On</w:t>
      </w:r>
      <w:r w:rsidR="00370926">
        <w:t>e</w:t>
      </w:r>
      <w:r w:rsidR="00707EDC">
        <w:t xml:space="preserve"> is entitled to</w:t>
      </w:r>
      <w:r w:rsidR="00744251">
        <w:t xml:space="preserve"> </w:t>
      </w:r>
      <w:r w:rsidR="002C619B">
        <w:t xml:space="preserve">entertain </w:t>
      </w:r>
      <w:r w:rsidR="00744251">
        <w:t xml:space="preserve">a degree of scepticism </w:t>
      </w:r>
      <w:r w:rsidR="002C619B">
        <w:t xml:space="preserve">about his </w:t>
      </w:r>
      <w:r w:rsidR="00744251">
        <w:t xml:space="preserve">motives </w:t>
      </w:r>
      <w:r w:rsidR="00370926">
        <w:t xml:space="preserve">for </w:t>
      </w:r>
      <w:r w:rsidR="0009798C">
        <w:t>seeking to replace h</w:t>
      </w:r>
      <w:r w:rsidR="00370926">
        <w:t xml:space="preserve">is </w:t>
      </w:r>
      <w:r w:rsidR="00744251">
        <w:t>joinder</w:t>
      </w:r>
      <w:r w:rsidR="00441D00">
        <w:t xml:space="preserve">, whose only purpose was to ensure he was bound rather than to participate, </w:t>
      </w:r>
      <w:r w:rsidR="00744251">
        <w:t>with a state</w:t>
      </w:r>
      <w:r w:rsidR="00370926">
        <w:t xml:space="preserve">ment </w:t>
      </w:r>
      <w:r w:rsidR="00744251">
        <w:t>from his solicitor as to his instructions</w:t>
      </w:r>
      <w:r w:rsidR="00E23DF7">
        <w:t xml:space="preserve"> that he will treat himself as bound</w:t>
      </w:r>
      <w:r w:rsidR="00744251">
        <w:t>, especially in circumstances in which</w:t>
      </w:r>
      <w:r w:rsidR="00370926">
        <w:t xml:space="preserve"> the solicitor has </w:t>
      </w:r>
      <w:r w:rsidR="00653575">
        <w:t xml:space="preserve">previously apparently </w:t>
      </w:r>
      <w:r w:rsidR="003A75A6">
        <w:t xml:space="preserve">misunderstood the scope of his instructions.  </w:t>
      </w:r>
      <w:r w:rsidR="0070344A">
        <w:t xml:space="preserve">The desirability of his being bound by the outcome of the appeals is </w:t>
      </w:r>
      <w:r w:rsidR="00456A9E">
        <w:t>best</w:t>
      </w:r>
      <w:r w:rsidR="008C3503">
        <w:t xml:space="preserve"> achieved by his remaining joined.  </w:t>
      </w:r>
    </w:p>
    <w:p w14:paraId="7A00189A" w14:textId="77A56120" w:rsidR="00294707" w:rsidRPr="00294707" w:rsidRDefault="007439A0" w:rsidP="00DB37C0">
      <w:pPr>
        <w:pStyle w:val="ParaLevel1"/>
        <w:numPr>
          <w:ilvl w:val="0"/>
          <w:numId w:val="0"/>
        </w:numPr>
        <w:ind w:left="720" w:hanging="720"/>
        <w:rPr>
          <w:b/>
          <w:bCs/>
        </w:rPr>
      </w:pPr>
      <w:r w:rsidRPr="006F16BE">
        <w:rPr>
          <w:b/>
          <w:bCs/>
        </w:rPr>
        <w:t>The Proceeding</w:t>
      </w:r>
      <w:r w:rsidR="006F16BE" w:rsidRPr="006F16BE">
        <w:rPr>
          <w:b/>
          <w:bCs/>
        </w:rPr>
        <w:t>s</w:t>
      </w:r>
    </w:p>
    <w:p w14:paraId="4AF52FF9" w14:textId="34E4BAF3" w:rsidR="00C63B08" w:rsidRPr="00C63B08" w:rsidRDefault="00C63B08" w:rsidP="00DB37C0">
      <w:pPr>
        <w:pStyle w:val="ParaLevel1"/>
      </w:pPr>
      <w:bookmarkStart w:id="1" w:name="para6"/>
      <w:bookmarkStart w:id="2" w:name="_Ref14506234"/>
      <w:r w:rsidRPr="00C63B08">
        <w:t>The LIA has been engaged since at least 2014 in litigation</w:t>
      </w:r>
      <w:r>
        <w:t xml:space="preserve"> </w:t>
      </w:r>
      <w:r w:rsidRPr="00C63B08">
        <w:t>in London</w:t>
      </w:r>
      <w:r w:rsidR="009C64CE">
        <w:t xml:space="preserve">, which has </w:t>
      </w:r>
      <w:r w:rsidRPr="00C63B08">
        <w:t xml:space="preserve">included, in particular, two substantial </w:t>
      </w:r>
      <w:r w:rsidR="00AC2AF9">
        <w:t xml:space="preserve">claims by the LIA against </w:t>
      </w:r>
      <w:r w:rsidR="0029145E">
        <w:t>well</w:t>
      </w:r>
      <w:r w:rsidRPr="00C63B08">
        <w:t>-known international investment bank</w:t>
      </w:r>
      <w:r w:rsidR="0029145E">
        <w:t>s</w:t>
      </w:r>
      <w:r w:rsidRPr="00C63B08">
        <w:t xml:space="preserve">. </w:t>
      </w:r>
      <w:r w:rsidR="0029145E">
        <w:t xml:space="preserve"> </w:t>
      </w:r>
      <w:r w:rsidR="00575D7A">
        <w:t xml:space="preserve">One </w:t>
      </w:r>
      <w:r w:rsidRPr="00C63B08">
        <w:t xml:space="preserve">proceeded to a trial in the Chancery Division before Rose J (as she was then) in which the LIA's claims failed. </w:t>
      </w:r>
      <w:r w:rsidR="0029145E">
        <w:t xml:space="preserve"> </w:t>
      </w:r>
      <w:r w:rsidR="00575D7A">
        <w:t xml:space="preserve">The other </w:t>
      </w:r>
      <w:r w:rsidRPr="00C63B08">
        <w:t>proceeded to the eve of a trial in th</w:t>
      </w:r>
      <w:r w:rsidR="0029145E">
        <w:t xml:space="preserve">e Commercial Court </w:t>
      </w:r>
      <w:r w:rsidRPr="00C63B08">
        <w:t>before Teare J</w:t>
      </w:r>
      <w:r w:rsidR="00C20BA6">
        <w:t xml:space="preserve">, when it was settled </w:t>
      </w:r>
      <w:r w:rsidRPr="00C63B08">
        <w:t xml:space="preserve">on terms </w:t>
      </w:r>
      <w:r w:rsidR="00C20BA6">
        <w:t xml:space="preserve">which </w:t>
      </w:r>
      <w:r w:rsidR="00EF09EC">
        <w:t xml:space="preserve">involved </w:t>
      </w:r>
      <w:r w:rsidR="003D3C8A">
        <w:t xml:space="preserve">the LIA </w:t>
      </w:r>
      <w:r w:rsidR="00EF09EC">
        <w:t xml:space="preserve">recovering </w:t>
      </w:r>
      <w:r w:rsidRPr="00C63B08">
        <w:t>something close to US$1 billion</w:t>
      </w:r>
      <w:r w:rsidR="00EF09EC">
        <w:t xml:space="preserve">.  </w:t>
      </w:r>
      <w:r w:rsidRPr="00C63B08">
        <w:t xml:space="preserve"> </w:t>
      </w:r>
      <w:r w:rsidR="005F3CFD">
        <w:t xml:space="preserve">The rival claims to </w:t>
      </w:r>
      <w:r w:rsidR="003D3C8A">
        <w:t>c</w:t>
      </w:r>
      <w:r w:rsidR="005F3CFD">
        <w:t xml:space="preserve">hairmanship of the LIA </w:t>
      </w:r>
      <w:r w:rsidR="00B15F20" w:rsidRPr="00C63B08">
        <w:t>threatened to derail the LIA's ability to pursue the litigation</w:t>
      </w:r>
      <w:r w:rsidR="00BD49F7">
        <w:t xml:space="preserve"> by reason of the uncertainty as to who was capable </w:t>
      </w:r>
      <w:bookmarkStart w:id="3" w:name="para7"/>
      <w:bookmarkEnd w:id="1"/>
      <w:r w:rsidR="00600BAB">
        <w:t xml:space="preserve">of taking responsibility for the litigation on </w:t>
      </w:r>
      <w:r w:rsidR="00DC6C0A">
        <w:t xml:space="preserve">the </w:t>
      </w:r>
      <w:r w:rsidR="00600BAB">
        <w:t xml:space="preserve">LIA’s behalf and giving instructions in its name.  </w:t>
      </w:r>
      <w:r w:rsidRPr="00C63B08">
        <w:t xml:space="preserve">The solution adopted </w:t>
      </w:r>
      <w:r w:rsidR="00E8106E">
        <w:t xml:space="preserve">was the making of </w:t>
      </w:r>
      <w:r w:rsidRPr="00C63B08">
        <w:t xml:space="preserve">receivership orders over particular assets, essentially </w:t>
      </w:r>
      <w:r w:rsidR="00117A7D">
        <w:t xml:space="preserve">in </w:t>
      </w:r>
      <w:r w:rsidRPr="00C63B08">
        <w:t xml:space="preserve">the form of causes of action </w:t>
      </w:r>
      <w:r w:rsidR="00117A7D">
        <w:t xml:space="preserve">which could then be pursued </w:t>
      </w:r>
      <w:r w:rsidRPr="00C63B08">
        <w:t>by the appointed receivers on behalf of</w:t>
      </w:r>
      <w:r w:rsidR="003D0BB9">
        <w:t>,</w:t>
      </w:r>
      <w:r w:rsidRPr="00C63B08">
        <w:t xml:space="preserve"> and for the benefit of</w:t>
      </w:r>
      <w:r w:rsidR="003D0BB9">
        <w:t>,</w:t>
      </w:r>
      <w:r w:rsidRPr="00C63B08">
        <w:t xml:space="preserve"> the LIA</w:t>
      </w:r>
      <w:r w:rsidR="008E6246">
        <w:t xml:space="preserve">. </w:t>
      </w:r>
      <w:r w:rsidR="008E6246" w:rsidRPr="00C63B08">
        <w:t xml:space="preserve">The first such order in point of time was made </w:t>
      </w:r>
      <w:r w:rsidR="00407C05">
        <w:t xml:space="preserve">on 9 </w:t>
      </w:r>
      <w:r w:rsidR="008E6246" w:rsidRPr="00C63B08">
        <w:t>July 2015 by Flaux J (as he was then)</w:t>
      </w:r>
      <w:bookmarkStart w:id="4" w:name="para8"/>
      <w:bookmarkEnd w:id="3"/>
      <w:r w:rsidR="008E6246">
        <w:t>, appointing the Third Respondents, partners of BDO Stoy Hayward</w:t>
      </w:r>
      <w:r w:rsidR="003D0BB9">
        <w:t>,</w:t>
      </w:r>
      <w:r w:rsidR="008E6246">
        <w:t xml:space="preserve"> as the Receivers and Managers.</w:t>
      </w:r>
      <w:r w:rsidR="00EF6EBD">
        <w:t xml:space="preserve"> </w:t>
      </w:r>
      <w:r w:rsidR="008113E9">
        <w:t xml:space="preserve">There have been subsequent applications </w:t>
      </w:r>
      <w:r w:rsidR="008E6246">
        <w:t xml:space="preserve">and orders extending and </w:t>
      </w:r>
      <w:r w:rsidR="008113E9">
        <w:t>defining the scope and conduct of the receivership</w:t>
      </w:r>
      <w:r w:rsidR="00EF6EBD">
        <w:t xml:space="preserve">.  The receivership remains in place pending resolution of the </w:t>
      </w:r>
      <w:r w:rsidR="0011379F">
        <w:t xml:space="preserve">chairmanship claims.  The </w:t>
      </w:r>
      <w:r w:rsidR="003D0BB9">
        <w:t>R</w:t>
      </w:r>
      <w:r w:rsidR="0011379F">
        <w:t xml:space="preserve">eceivers and Managers </w:t>
      </w:r>
      <w:r w:rsidR="00E13FED">
        <w:t xml:space="preserve">are parties to the current appeals </w:t>
      </w:r>
      <w:r w:rsidR="007979C2">
        <w:t xml:space="preserve">but have taken a neutral stance both on appeal and below.  </w:t>
      </w:r>
      <w:r w:rsidR="0011379F">
        <w:t xml:space="preserve"> </w:t>
      </w:r>
      <w:r w:rsidR="008C312D">
        <w:t xml:space="preserve">They are represented by </w:t>
      </w:r>
      <w:r w:rsidR="007979C2">
        <w:t xml:space="preserve">Ms Toube QC </w:t>
      </w:r>
      <w:r w:rsidR="008C312D">
        <w:t xml:space="preserve">who </w:t>
      </w:r>
      <w:r w:rsidR="007979C2">
        <w:t xml:space="preserve">made clear to the Court that </w:t>
      </w:r>
      <w:r w:rsidR="00121AC0">
        <w:t xml:space="preserve">she did not </w:t>
      </w:r>
      <w:r w:rsidR="008C312D">
        <w:t xml:space="preserve">wish to play </w:t>
      </w:r>
      <w:r w:rsidR="00121AC0">
        <w:t xml:space="preserve">an active part in the hearing </w:t>
      </w:r>
      <w:r w:rsidR="00121AC0">
        <w:lastRenderedPageBreak/>
        <w:t xml:space="preserve">and that </w:t>
      </w:r>
      <w:r w:rsidR="00AC3BE5">
        <w:t xml:space="preserve">given the neutrality of her clients on the issues under appeal she did not intend to appear at the hearing unless </w:t>
      </w:r>
      <w:r w:rsidR="003D0BB9">
        <w:t>we r</w:t>
      </w:r>
      <w:r w:rsidR="00AC3BE5">
        <w:t>equired it, which we did not.</w:t>
      </w:r>
      <w:bookmarkEnd w:id="4"/>
    </w:p>
    <w:p w14:paraId="56B6C8F7" w14:textId="6A19ABB5" w:rsidR="004B608E" w:rsidRPr="004B608E" w:rsidRDefault="00C63B08" w:rsidP="00DB37C0">
      <w:pPr>
        <w:pStyle w:val="ParaLevel1"/>
      </w:pPr>
      <w:bookmarkStart w:id="5" w:name="para9"/>
      <w:r w:rsidRPr="00C63B08">
        <w:t>Pursuant to directions from the court in the context of the first (July 2015) receivership order, a Part 8 claim was commenced</w:t>
      </w:r>
      <w:r w:rsidR="00091BD6">
        <w:t xml:space="preserve"> </w:t>
      </w:r>
      <w:r w:rsidRPr="00C63B08">
        <w:t xml:space="preserve">in which Mr Bouhadi, as claimant, claimed against Mr Breish, as defendant, relief to resolve the question as between the two of them of which, if either of them, was the duly appointed Chairman of the LIA. </w:t>
      </w:r>
      <w:r w:rsidR="004956D7">
        <w:t xml:space="preserve"> </w:t>
      </w:r>
      <w:r w:rsidR="00F6076C">
        <w:t xml:space="preserve">Mr Bouhadi </w:t>
      </w:r>
      <w:r w:rsidR="00051643">
        <w:t>claimed to derive his title from the HoR affiliated government in Tobruk</w:t>
      </w:r>
      <w:r w:rsidR="00944139">
        <w:t>, and Mr Breish, as identified above, from the GNC.</w:t>
      </w:r>
      <w:r w:rsidR="00091BD6">
        <w:t xml:space="preserve">  </w:t>
      </w:r>
      <w:r w:rsidR="00A659D3">
        <w:t xml:space="preserve">Pursuant to directions by Flaux J, the parties </w:t>
      </w:r>
      <w:r w:rsidR="00657B7C">
        <w:t xml:space="preserve">wrote a joint letter to the Foreign and Commonwealth Office (“FCO”) </w:t>
      </w:r>
      <w:r w:rsidR="00730983">
        <w:t xml:space="preserve">on 16 October 2015 </w:t>
      </w:r>
      <w:r w:rsidR="000B6BE0">
        <w:t xml:space="preserve">asking whether HMG recognised </w:t>
      </w:r>
      <w:r w:rsidR="0099571C">
        <w:t xml:space="preserve">either of the governments from which </w:t>
      </w:r>
      <w:r w:rsidR="003D0BB9">
        <w:t xml:space="preserve">the </w:t>
      </w:r>
      <w:r w:rsidR="00D46F7B">
        <w:t xml:space="preserve">two rivals </w:t>
      </w:r>
      <w:r w:rsidR="00730983">
        <w:t xml:space="preserve">claimed to derive the validity of their appointments.   </w:t>
      </w:r>
      <w:r w:rsidR="005344D3">
        <w:t>Four days before the trial was due to start</w:t>
      </w:r>
      <w:r w:rsidR="00D40597">
        <w:t xml:space="preserve">, the parties received a letter </w:t>
      </w:r>
      <w:r w:rsidR="003D0BB9">
        <w:t xml:space="preserve">from the FCO </w:t>
      </w:r>
      <w:r w:rsidR="00D40597">
        <w:t>dated 3</w:t>
      </w:r>
      <w:r w:rsidR="004B608E">
        <w:t xml:space="preserve"> </w:t>
      </w:r>
      <w:r w:rsidR="008B4277">
        <w:t>M</w:t>
      </w:r>
      <w:r w:rsidR="004B608E">
        <w:t>arch 2016 which Blair J summarised in his judgment</w:t>
      </w:r>
      <w:r w:rsidR="00601D2E" w:rsidRPr="00C63B08">
        <w:t xml:space="preserve"> at </w:t>
      </w:r>
      <w:r w:rsidR="00601D2E" w:rsidRPr="004A0690">
        <w:t>[2016] EWHC 602 (Comm)</w:t>
      </w:r>
      <w:r w:rsidR="00601D2E" w:rsidRPr="00C63B08">
        <w:t xml:space="preserve"> </w:t>
      </w:r>
      <w:r w:rsidR="004B608E">
        <w:t>as making</w:t>
      </w:r>
      <w:bookmarkStart w:id="6" w:name="para24"/>
      <w:r w:rsidR="00601D2E">
        <w:t xml:space="preserve"> </w:t>
      </w:r>
      <w:r w:rsidR="004B608E" w:rsidRPr="004B608E">
        <w:t>the following points in particular</w:t>
      </w:r>
      <w:r w:rsidR="008B4277">
        <w:t xml:space="preserve"> (the</w:t>
      </w:r>
      <w:r w:rsidR="00AC39E9">
        <w:t xml:space="preserve"> operative parts of the text are set out in the </w:t>
      </w:r>
      <w:r w:rsidR="003D0BB9">
        <w:t>A</w:t>
      </w:r>
      <w:r w:rsidR="00AC39E9">
        <w:t>nnex to his judgment)</w:t>
      </w:r>
      <w:r w:rsidR="004B608E" w:rsidRPr="004B608E">
        <w:t>:</w:t>
      </w:r>
      <w:bookmarkEnd w:id="6"/>
    </w:p>
    <w:p w14:paraId="3D48923C" w14:textId="77777777" w:rsidR="004B608E" w:rsidRPr="004B608E" w:rsidRDefault="004B608E" w:rsidP="00DB37C0">
      <w:pPr>
        <w:pStyle w:val="ParaLevel1"/>
        <w:numPr>
          <w:ilvl w:val="0"/>
          <w:numId w:val="0"/>
        </w:numPr>
        <w:ind w:left="1134"/>
      </w:pPr>
      <w:r w:rsidRPr="004B608E">
        <w:t>i) HMG has not recognised as the Government of Libya either the "Tobruk government" or the "Tripoli government". Following the 1980 change in policy, HMG recognises states rather than governments.</w:t>
      </w:r>
    </w:p>
    <w:p w14:paraId="241ECDDB" w14:textId="77777777" w:rsidR="004B608E" w:rsidRPr="004B608E" w:rsidRDefault="004B608E" w:rsidP="00DB37C0">
      <w:pPr>
        <w:pStyle w:val="ParaLevel1"/>
        <w:numPr>
          <w:ilvl w:val="0"/>
          <w:numId w:val="0"/>
        </w:numPr>
        <w:ind w:left="1134"/>
      </w:pPr>
      <w:r w:rsidRPr="004B608E">
        <w:t>ii) In its dealings with the various participants in the political crisis in Libya, HMG's highest priority is to support the efforts of the United Nations and the international community to establish a Government of National Accord. The signature of the Libyan Political Agreement on 17 December 2015 was a "major milestone" in this respect, providing for the institutional structures of the GNA and a process for its formation.</w:t>
      </w:r>
    </w:p>
    <w:p w14:paraId="4CCC1E07" w14:textId="77777777" w:rsidR="004B608E" w:rsidRPr="004B608E" w:rsidRDefault="004B608E" w:rsidP="00DB37C0">
      <w:pPr>
        <w:pStyle w:val="ParaLevel1"/>
        <w:numPr>
          <w:ilvl w:val="0"/>
          <w:numId w:val="0"/>
        </w:numPr>
        <w:ind w:left="1134"/>
      </w:pPr>
      <w:r w:rsidRPr="004B608E">
        <w:t>iii) Reference is made to a number of instruments, including UNSCR 2259 (2015) (see above) which in paragraph 9 "</w:t>
      </w:r>
      <w:r w:rsidRPr="004B608E">
        <w:rPr>
          <w:i/>
          <w:iCs/>
        </w:rPr>
        <w:t>Further calls </w:t>
      </w:r>
      <w:r w:rsidRPr="004B608E">
        <w:t>upon the Government of National Accord to protect the integrity and unity of the National Oil Company, the Central Bank of Libya and the Libyan Investment Authority, and for these institutions to accept the authority of the Government of National Accord".</w:t>
      </w:r>
    </w:p>
    <w:p w14:paraId="4DA8D9B8" w14:textId="77777777" w:rsidR="004B608E" w:rsidRPr="004B608E" w:rsidRDefault="004B608E" w:rsidP="00DB37C0">
      <w:pPr>
        <w:pStyle w:val="ParaLevel1"/>
        <w:numPr>
          <w:ilvl w:val="0"/>
          <w:numId w:val="0"/>
        </w:numPr>
        <w:ind w:left="1134"/>
      </w:pPr>
      <w:r w:rsidRPr="004B608E">
        <w:t>iv) Mr Fayez Serraj is named in the LPA as Head of the Presidency Council, which is the body recognised in the LPA that is authorised to exercise the executive authority of the Libyan Government.</w:t>
      </w:r>
    </w:p>
    <w:p w14:paraId="61B54640" w14:textId="77777777" w:rsidR="004B608E" w:rsidRPr="004B608E" w:rsidRDefault="004B608E" w:rsidP="00DB37C0">
      <w:pPr>
        <w:pStyle w:val="ParaLevel1"/>
        <w:numPr>
          <w:ilvl w:val="0"/>
          <w:numId w:val="0"/>
        </w:numPr>
        <w:ind w:left="1134"/>
      </w:pPr>
      <w:r w:rsidRPr="004B608E">
        <w:t>v) Mr Serraj is currently in the process of putting together a Cabinet of Government Ministers (Government of National Accord) as foreseen in the LPA.</w:t>
      </w:r>
    </w:p>
    <w:p w14:paraId="0255005C" w14:textId="77777777" w:rsidR="004B608E" w:rsidRPr="004B608E" w:rsidRDefault="004B608E" w:rsidP="00DB37C0">
      <w:pPr>
        <w:pStyle w:val="ParaLevel1"/>
        <w:numPr>
          <w:ilvl w:val="0"/>
          <w:numId w:val="0"/>
        </w:numPr>
        <w:ind w:left="1134"/>
      </w:pPr>
      <w:r w:rsidRPr="004B608E">
        <w:t>vi) He plans to submit the list of Ministers to the House of Representatives which is the legislative authority of the Libyan state, under Article 12 of the Libyan Political Agreement.</w:t>
      </w:r>
    </w:p>
    <w:p w14:paraId="11FB8D9C" w14:textId="77777777" w:rsidR="004B608E" w:rsidRPr="004B608E" w:rsidRDefault="004B608E" w:rsidP="00DB37C0">
      <w:pPr>
        <w:pStyle w:val="ParaLevel1"/>
        <w:numPr>
          <w:ilvl w:val="0"/>
          <w:numId w:val="0"/>
        </w:numPr>
        <w:ind w:left="1134"/>
      </w:pPr>
      <w:r w:rsidRPr="004B608E">
        <w:t>vii) On 25 February 2016, Mr Serraj confirmed to a representative of HMG his readiness to clarify the leadership of the Libyan Investment Authority as soon as possible after approval of the Cabinet: "We expect this to occur within the coming weeks".</w:t>
      </w:r>
    </w:p>
    <w:p w14:paraId="2AD0AC9D" w14:textId="36B61EAB" w:rsidR="004B608E" w:rsidRDefault="00601D2E" w:rsidP="00DB37C0">
      <w:pPr>
        <w:pStyle w:val="ParaLevel1"/>
      </w:pPr>
      <w:r>
        <w:lastRenderedPageBreak/>
        <w:t>In the light of that position Blair J determined that the trial should not</w:t>
      </w:r>
      <w:r w:rsidR="009E11B4">
        <w:t xml:space="preserve"> take place for the reasons explained in his judgment.</w:t>
      </w:r>
    </w:p>
    <w:p w14:paraId="1FA22E8F" w14:textId="643F7AAA" w:rsidR="00C63B08" w:rsidRPr="00C63B08" w:rsidRDefault="009E11B4" w:rsidP="00DB37C0">
      <w:pPr>
        <w:pStyle w:val="ParaLevel1"/>
      </w:pPr>
      <w:bookmarkStart w:id="7" w:name="para10"/>
      <w:bookmarkEnd w:id="5"/>
      <w:r>
        <w:t xml:space="preserve">The applications which give rise </w:t>
      </w:r>
      <w:r w:rsidR="00DC6C0A">
        <w:t xml:space="preserve">to </w:t>
      </w:r>
      <w:r>
        <w:t>this appeal were made</w:t>
      </w:r>
      <w:r w:rsidR="00867AC2">
        <w:t xml:space="preserve"> </w:t>
      </w:r>
      <w:r w:rsidR="00CB3706" w:rsidRPr="00C63B08">
        <w:t xml:space="preserve">by </w:t>
      </w:r>
      <w:r w:rsidR="00090010">
        <w:t xml:space="preserve">Dr Mahmoud by </w:t>
      </w:r>
      <w:r w:rsidR="00CB3706" w:rsidRPr="00C63B08">
        <w:t>way of Part 23 Application Notices i</w:t>
      </w:r>
      <w:r w:rsidR="008D74B4">
        <w:t>ssued on 28</w:t>
      </w:r>
      <w:r w:rsidR="00DC6C0A">
        <w:t xml:space="preserve"> </w:t>
      </w:r>
      <w:r w:rsidR="00CB3706" w:rsidRPr="00C63B08">
        <w:t xml:space="preserve">August 2018 </w:t>
      </w:r>
      <w:r w:rsidR="00CB3706">
        <w:t>without any further originating process</w:t>
      </w:r>
      <w:r w:rsidR="008D74B4">
        <w:t xml:space="preserve">.  </w:t>
      </w:r>
      <w:r w:rsidR="00511EA8">
        <w:t xml:space="preserve">By virtue </w:t>
      </w:r>
      <w:r w:rsidR="00867AC2">
        <w:t xml:space="preserve">of an order of Andrew Baker J </w:t>
      </w:r>
      <w:r w:rsidR="00634043">
        <w:t xml:space="preserve">of 11 February 2019 </w:t>
      </w:r>
      <w:r w:rsidR="00511EA8">
        <w:t xml:space="preserve">dispensing with </w:t>
      </w:r>
      <w:r w:rsidR="00511EA8" w:rsidRPr="00C63B08">
        <w:t>any requirement for a new claim form to be issued</w:t>
      </w:r>
      <w:r w:rsidR="00511EA8">
        <w:t xml:space="preserve">, they are to be treated as </w:t>
      </w:r>
      <w:r w:rsidR="00634043">
        <w:t xml:space="preserve">having been made as a continuation of the 2015 claim which came before </w:t>
      </w:r>
      <w:r w:rsidR="00C63B08" w:rsidRPr="00C63B08">
        <w:t>Blair J</w:t>
      </w:r>
      <w:bookmarkEnd w:id="7"/>
      <w:r w:rsidR="004E14F9">
        <w:t xml:space="preserve">.  </w:t>
      </w:r>
      <w:r w:rsidR="00D10584">
        <w:t xml:space="preserve">  </w:t>
      </w:r>
      <w:r w:rsidR="004E14F9">
        <w:t>D</w:t>
      </w:r>
      <w:r w:rsidR="008969B4">
        <w:t>r</w:t>
      </w:r>
      <w:r w:rsidR="004E14F9">
        <w:t xml:space="preserve"> Mahmoud </w:t>
      </w:r>
      <w:r w:rsidR="00D10584">
        <w:t xml:space="preserve"> sought </w:t>
      </w:r>
      <w:r w:rsidR="00C63B08" w:rsidRPr="00C63B08">
        <w:t>a declaration that</w:t>
      </w:r>
      <w:r w:rsidR="00D10584">
        <w:t xml:space="preserve"> </w:t>
      </w:r>
      <w:r w:rsidR="004E14F9">
        <w:t xml:space="preserve">he </w:t>
      </w:r>
      <w:r w:rsidR="00C63B08" w:rsidRPr="00C63B08">
        <w:t xml:space="preserve">has been </w:t>
      </w:r>
      <w:r w:rsidR="00802103" w:rsidRPr="00C63B08">
        <w:t xml:space="preserve">validly appointed as Chairman of the LIA </w:t>
      </w:r>
      <w:r w:rsidR="00C63B08" w:rsidRPr="00C63B08">
        <w:t>since 15 July 2017</w:t>
      </w:r>
      <w:r w:rsidR="00802103">
        <w:t>, and remains so</w:t>
      </w:r>
      <w:r w:rsidR="00E24E68">
        <w:t xml:space="preserve">; and that he has </w:t>
      </w:r>
      <w:r w:rsidR="00C63B08" w:rsidRPr="00C63B08">
        <w:t>authority, therefore, to exercise control over the property the subject of the receivership order in question</w:t>
      </w:r>
      <w:r w:rsidR="00AA1281">
        <w:t xml:space="preserve">.  Dr Mahmoud also sought </w:t>
      </w:r>
      <w:r w:rsidR="00C63B08" w:rsidRPr="00C63B08">
        <w:t>an order that the respective receivership order</w:t>
      </w:r>
      <w:r w:rsidR="001E1221">
        <w:t>s</w:t>
      </w:r>
      <w:r w:rsidR="00C63B08" w:rsidRPr="00C63B08">
        <w:t xml:space="preserve"> be discharged with whatever may be appropriate consequential orders and directions, including for transfers of assets </w:t>
      </w:r>
      <w:r w:rsidR="00AA1281">
        <w:t>currentl</w:t>
      </w:r>
      <w:r w:rsidR="00ED175B">
        <w:t xml:space="preserve">y </w:t>
      </w:r>
      <w:r w:rsidR="00C63B08" w:rsidRPr="00C63B08">
        <w:t xml:space="preserve">in the hands of the </w:t>
      </w:r>
      <w:r w:rsidR="001E1221">
        <w:t>R</w:t>
      </w:r>
      <w:r w:rsidR="00C63B08" w:rsidRPr="00C63B08">
        <w:t>eceivers</w:t>
      </w:r>
      <w:r w:rsidR="001E1221">
        <w:t xml:space="preserve"> and Managers</w:t>
      </w:r>
      <w:r w:rsidR="00D10584">
        <w:t xml:space="preserve">.  </w:t>
      </w:r>
      <w:bookmarkStart w:id="8" w:name="para12"/>
      <w:r w:rsidR="00C63B08" w:rsidRPr="00C63B08">
        <w:t>The respondents to the applications when issued,</w:t>
      </w:r>
      <w:r w:rsidR="007B7896">
        <w:t xml:space="preserve"> were</w:t>
      </w:r>
      <w:r w:rsidR="00C63B08" w:rsidRPr="00C63B08">
        <w:t xml:space="preserve"> Mr Breish,</w:t>
      </w:r>
      <w:r w:rsidR="00D567E6">
        <w:t xml:space="preserve"> Dr Alkizza </w:t>
      </w:r>
      <w:bookmarkEnd w:id="8"/>
      <w:r w:rsidR="00C63B08" w:rsidRPr="00C63B08">
        <w:t>(the then successor to Mr Bouhadi as contender to the title of Chairman of the LIA</w:t>
      </w:r>
      <w:r w:rsidR="001E1221">
        <w:t xml:space="preserve"> deriving authority from the Tobruk Government</w:t>
      </w:r>
      <w:r w:rsidR="00C63B08" w:rsidRPr="00C63B08">
        <w:t xml:space="preserve">), </w:t>
      </w:r>
      <w:r w:rsidR="00FE4446">
        <w:t>t</w:t>
      </w:r>
      <w:r w:rsidR="00D567E6">
        <w:t xml:space="preserve">he Receivers and Managers and </w:t>
      </w:r>
      <w:r w:rsidR="00C63B08" w:rsidRPr="00C63B08">
        <w:t>the LIA itself.</w:t>
      </w:r>
    </w:p>
    <w:bookmarkEnd w:id="2"/>
    <w:p w14:paraId="5D81707A" w14:textId="59E6F687" w:rsidR="008969B4" w:rsidRDefault="008969B4" w:rsidP="00DB37C0">
      <w:pPr>
        <w:pStyle w:val="ParaLevel1"/>
      </w:pPr>
      <w:r>
        <w:t xml:space="preserve">For the purposes of making the applications Dr Mahmoud’s legal team had requested a meeting </w:t>
      </w:r>
      <w:r w:rsidR="002436D5">
        <w:t>with the FCO</w:t>
      </w:r>
      <w:r w:rsidR="00324380">
        <w:t xml:space="preserve"> </w:t>
      </w:r>
      <w:r w:rsidR="002436D5">
        <w:t xml:space="preserve">to seek to persuade HMG to provide a letter or certificate in relation to the governmental status of the GNA and </w:t>
      </w:r>
      <w:r w:rsidR="00FE4446">
        <w:t xml:space="preserve">the </w:t>
      </w:r>
      <w:r w:rsidR="002436D5">
        <w:t xml:space="preserve">validity of Dr Mahmoud’s appointment.  </w:t>
      </w:r>
      <w:r w:rsidR="00FE4446">
        <w:t>On 22 June 2018 a</w:t>
      </w:r>
      <w:r w:rsidR="002436D5">
        <w:t xml:space="preserve"> meeting took place with Sir Ian Mac</w:t>
      </w:r>
      <w:r w:rsidR="00997051">
        <w:t>l</w:t>
      </w:r>
      <w:r w:rsidR="002436D5">
        <w:t>eod</w:t>
      </w:r>
      <w:r w:rsidR="00FE4446">
        <w:t>,</w:t>
      </w:r>
      <w:r w:rsidR="004C12E7">
        <w:t xml:space="preserve"> the FC</w:t>
      </w:r>
      <w:r w:rsidR="001D7F15">
        <w:t>O Chief Legal Advisor</w:t>
      </w:r>
      <w:r w:rsidR="00FE4446">
        <w:t>,</w:t>
      </w:r>
      <w:r w:rsidR="001D7F15">
        <w:t xml:space="preserve"> and other FCO </w:t>
      </w:r>
      <w:r w:rsidR="006B5231">
        <w:t>officials, of which there is a note in our bundles</w:t>
      </w:r>
      <w:r w:rsidR="00FE4446">
        <w:t xml:space="preserve">.  It </w:t>
      </w:r>
      <w:r w:rsidR="006B1768">
        <w:t xml:space="preserve">is clear from the note that the FCO were fully aware that the purpose of </w:t>
      </w:r>
      <w:r w:rsidR="00382563">
        <w:t xml:space="preserve">the request was for use in </w:t>
      </w:r>
      <w:r w:rsidR="00C3285E">
        <w:t xml:space="preserve"> proceedings to establish the validity of Dr </w:t>
      </w:r>
      <w:r w:rsidR="004A0A41">
        <w:t>Ma</w:t>
      </w:r>
      <w:r w:rsidR="00C3285E">
        <w:t xml:space="preserve">hmoud’s chairmanship.  The result was a </w:t>
      </w:r>
      <w:r w:rsidR="00C464B7">
        <w:t xml:space="preserve">formal </w:t>
      </w:r>
      <w:r w:rsidR="00C3285E">
        <w:t xml:space="preserve">letter dated </w:t>
      </w:r>
      <w:r w:rsidR="00062E24">
        <w:t xml:space="preserve">27 July 2018 from the FCO which stated </w:t>
      </w:r>
      <w:r w:rsidR="00C464B7">
        <w:t>in its relevant part:</w:t>
      </w:r>
    </w:p>
    <w:p w14:paraId="200AB7A6" w14:textId="59E69D07" w:rsidR="004A5D66" w:rsidRDefault="00C464B7" w:rsidP="009B5305">
      <w:pPr>
        <w:pStyle w:val="Quote"/>
      </w:pPr>
      <w:bookmarkStart w:id="9" w:name="_Hlk39585309"/>
      <w:r>
        <w:t>“</w:t>
      </w:r>
      <w:r w:rsidR="005B03A0">
        <w:t xml:space="preserve">In 2016, </w:t>
      </w:r>
      <w:r w:rsidR="00DC6C0A">
        <w:t xml:space="preserve">during </w:t>
      </w:r>
      <w:r w:rsidR="005B03A0">
        <w:t xml:space="preserve">the early stages of </w:t>
      </w:r>
      <w:r w:rsidR="00E02185">
        <w:t>formation of the Government of National Accord (GNA) under the request of the Honourable Mr Justice Flaux</w:t>
      </w:r>
      <w:r w:rsidR="00CC5BE1">
        <w:t>, the FCO provided a letter to the Court dated 3 March 2016 in which her Majesty’s Government (</w:t>
      </w:r>
      <w:r w:rsidR="00DE4CC7">
        <w:t xml:space="preserve">HMG) confirmed ‘the highest priority is to support </w:t>
      </w:r>
      <w:r w:rsidR="00043698">
        <w:t xml:space="preserve"> the efforts of the United Nations and the international community to establish a Government of National Accord (GNA) which will look</w:t>
      </w:r>
      <w:r w:rsidR="00CB15FE">
        <w:t xml:space="preserve"> after the benefits of all Libyans’.  </w:t>
      </w:r>
      <w:r w:rsidR="004A5D66" w:rsidRPr="004A5D66">
        <w:t xml:space="preserve">Since the FCO letter of 2016, Prime Minister Fayez Al Sarraj has finalised the formation of the PC and the GNA. </w:t>
      </w:r>
      <w:bookmarkEnd w:id="9"/>
      <w:r w:rsidR="004A5D66" w:rsidRPr="004A5D66">
        <w:t>In line with UN Security Council Resolution 2259, HMG supports the PC and GNA as the legitimate executive authorities of Libya, as stated by Ambassador Matthew Rycroft, UK Permanent Representative to the United Nations, at the Security Council meeting on Libya on 19 April 2017. The Government supports the statement of the President of the United Nations Security Council (UNSC) dated 14 December 2017 whereby the GNA in accordance with the Libyan Political Agreement (LPA) exercises full oversight of national economic institutions, which includes the LIA.”</w:t>
      </w:r>
    </w:p>
    <w:p w14:paraId="1C225EF0" w14:textId="177D6C67" w:rsidR="00A62051" w:rsidRDefault="00756CBB" w:rsidP="00DB37C0">
      <w:pPr>
        <w:pStyle w:val="ParaLevel1"/>
      </w:pPr>
      <w:r>
        <w:t>The statement by Ambassador Rycroft to the U</w:t>
      </w:r>
      <w:r w:rsidR="003C7AC7">
        <w:t>NSC</w:t>
      </w:r>
      <w:r>
        <w:t xml:space="preserve"> referred to in the letter included the following:</w:t>
      </w:r>
    </w:p>
    <w:p w14:paraId="36CD0624" w14:textId="7BFE835F" w:rsidR="00631DEB" w:rsidRDefault="00A62051" w:rsidP="00086F38">
      <w:pPr>
        <w:pStyle w:val="Quote"/>
      </w:pPr>
      <w:r>
        <w:lastRenderedPageBreak/>
        <w:t>“…I’m pleased to reiterate here in this Chamber the UK’s continued support for the Presidency Council and the Government of National Accord, headed by Prime Minister Al Sarraj, as the legitimate executive authorities under the Libyan Political Agreement, in line with our Resolution 2259</w:t>
      </w:r>
      <w:r w:rsidR="00CB15FE">
        <w:t>.</w:t>
      </w:r>
    </w:p>
    <w:p w14:paraId="1EAD12C4" w14:textId="72715D67" w:rsidR="00756CBB" w:rsidRDefault="00A62051" w:rsidP="00086F38">
      <w:pPr>
        <w:pStyle w:val="Quote"/>
      </w:pPr>
      <w:r>
        <w:t>But as the security and economic instability illustrate, Libya needs urgent progress towards full political reconciliation now more than ever. We support early signs of progress to bridge political differences, including regional efforts within the framework of the UN-led political process and re-engagement by Libya’s legitimate institutions – the House of Representatives, the Higher State Council – with preparations for dialogue”</w:t>
      </w:r>
    </w:p>
    <w:p w14:paraId="70230692" w14:textId="38971FEC" w:rsidR="00E82362" w:rsidRDefault="00A07576" w:rsidP="00DB37C0">
      <w:pPr>
        <w:pStyle w:val="ParaLevel1"/>
      </w:pPr>
      <w:r>
        <w:t xml:space="preserve">The Statement by the President of the </w:t>
      </w:r>
      <w:r w:rsidR="003C7AC7">
        <w:t>UNSC</w:t>
      </w:r>
      <w:r>
        <w:t xml:space="preserve"> of 14 Decem</w:t>
      </w:r>
      <w:r w:rsidR="004945FD">
        <w:t>ber</w:t>
      </w:r>
      <w:r>
        <w:t xml:space="preserve"> 2017 referred to in the </w:t>
      </w:r>
      <w:r w:rsidR="00E82362">
        <w:t>FCO letter included the following:</w:t>
      </w:r>
    </w:p>
    <w:p w14:paraId="4DC4548C" w14:textId="152267B6" w:rsidR="0072658B" w:rsidRDefault="00E82362" w:rsidP="00086F38">
      <w:pPr>
        <w:pStyle w:val="Quote"/>
      </w:pPr>
      <w:r>
        <w:t>“</w:t>
      </w:r>
      <w:r w:rsidR="001C0347">
        <w:t xml:space="preserve">The Security Council </w:t>
      </w:r>
      <w:r w:rsidR="004945FD">
        <w:t>further underscores the importance</w:t>
      </w:r>
      <w:r w:rsidR="002A0F57">
        <w:t xml:space="preserve"> of Libya’s</w:t>
      </w:r>
      <w:r w:rsidR="00FB3093">
        <w:t xml:space="preserve"> national economic institutions which must continue to function for the ben</w:t>
      </w:r>
      <w:r w:rsidR="008B36C3">
        <w:t>e</w:t>
      </w:r>
      <w:r w:rsidR="00FB3093">
        <w:t>fit of all</w:t>
      </w:r>
      <w:r w:rsidR="008B36C3">
        <w:t xml:space="preserve"> </w:t>
      </w:r>
      <w:r w:rsidR="00FB3093">
        <w:t>Libyans and reiterates</w:t>
      </w:r>
      <w:r w:rsidR="00060D72">
        <w:t xml:space="preserve"> that the GNA must exercise sole and effective oversight over these institutions, without prejudice to future constitutional arrangements pursuant to the</w:t>
      </w:r>
      <w:r w:rsidR="0072658B">
        <w:t xml:space="preserve"> LPA, in accordance with Libyan law.”</w:t>
      </w:r>
    </w:p>
    <w:p w14:paraId="2A381DF1" w14:textId="7EBE60CC" w:rsidR="008A0B2A" w:rsidRDefault="00B27601" w:rsidP="00DB37C0">
      <w:pPr>
        <w:pStyle w:val="ParaLevel1"/>
      </w:pPr>
      <w:r>
        <w:t xml:space="preserve">Dr Mahmoud’s </w:t>
      </w:r>
      <w:r w:rsidR="003C7AC7">
        <w:t>a</w:t>
      </w:r>
      <w:r>
        <w:t xml:space="preserve">pplications were initially listed to be heard at the end of November 2018 and so his advisers sought a further statement from the FCO </w:t>
      </w:r>
      <w:r w:rsidR="002803A2">
        <w:t xml:space="preserve">to </w:t>
      </w:r>
      <w:r w:rsidR="00F409E0">
        <w:t xml:space="preserve">confirm </w:t>
      </w:r>
      <w:r w:rsidR="002803A2">
        <w:t xml:space="preserve">that HMG’s attitude had not changed from that set out in the </w:t>
      </w:r>
      <w:r w:rsidR="00F409E0">
        <w:t xml:space="preserve">letter of 27 July 2018.  </w:t>
      </w:r>
      <w:r w:rsidR="007A54F1">
        <w:t xml:space="preserve">On 13 November 2018 the FCO </w:t>
      </w:r>
      <w:r w:rsidR="006A7931">
        <w:t>sent a further formal letter to Dr Mahmoud’s solicitors</w:t>
      </w:r>
      <w:r w:rsidR="00DC6C0A">
        <w:t xml:space="preserve"> </w:t>
      </w:r>
      <w:r w:rsidR="008A0B2A">
        <w:t>which stated:</w:t>
      </w:r>
    </w:p>
    <w:p w14:paraId="7643D6CB" w14:textId="41C82056" w:rsidR="008A0B2A" w:rsidRDefault="008A0B2A" w:rsidP="00086F38">
      <w:pPr>
        <w:pStyle w:val="Quote"/>
      </w:pPr>
      <w:r>
        <w:t>“</w:t>
      </w:r>
      <w:r w:rsidR="00047B1F">
        <w:t>We confirm that the FCO position remains as set out in our letter to you of 27 July 2018, namely</w:t>
      </w:r>
      <w:r w:rsidR="00324380">
        <w:t xml:space="preserve"> </w:t>
      </w:r>
      <w:r w:rsidR="00047B1F">
        <w:t xml:space="preserve">that we support the </w:t>
      </w:r>
      <w:r w:rsidR="004B1100">
        <w:t>Presidency Council and Government of National Accord as the legitimate executive authorities of Libya</w:t>
      </w:r>
      <w:r w:rsidR="00786BE6">
        <w:t>, which, in turn encompass</w:t>
      </w:r>
      <w:r w:rsidR="00927E60">
        <w:t>es</w:t>
      </w:r>
      <w:r w:rsidR="00786BE6">
        <w:t xml:space="preserve"> full oversight of national economic institutions</w:t>
      </w:r>
      <w:r w:rsidR="00FB2E15">
        <w:t>, including the LIA.  Consequently we continue to recognise those appointed by the GNA</w:t>
      </w:r>
      <w:r w:rsidR="00324380">
        <w:t xml:space="preserve">.”  </w:t>
      </w:r>
    </w:p>
    <w:p w14:paraId="15E4628C" w14:textId="22AD0359" w:rsidR="00B32173" w:rsidRDefault="00B674AE" w:rsidP="00DB37C0">
      <w:pPr>
        <w:pStyle w:val="ParaLevel1"/>
      </w:pPr>
      <w:r>
        <w:t xml:space="preserve">On 27 November 2018, Deputy High Court Judge Peter MacDonald Eggers QC ordered a trial of a preliminary issue in the </w:t>
      </w:r>
      <w:r w:rsidR="00CC0B1E">
        <w:t>a</w:t>
      </w:r>
      <w:r>
        <w:t xml:space="preserve">pplications </w:t>
      </w:r>
      <w:r w:rsidR="00E24A9C">
        <w:t xml:space="preserve">of what was described as the </w:t>
      </w:r>
      <w:r>
        <w:t xml:space="preserve"> “government question”</w:t>
      </w:r>
      <w:r w:rsidR="00CC0B1E">
        <w:t>,</w:t>
      </w:r>
      <w:r w:rsidR="00FF7143">
        <w:t xml:space="preserve"> which </w:t>
      </w:r>
      <w:r w:rsidR="00B075C6">
        <w:t>w</w:t>
      </w:r>
      <w:r w:rsidR="00FF7143">
        <w:t xml:space="preserve">as </w:t>
      </w:r>
      <w:r w:rsidR="00B075C6">
        <w:t xml:space="preserve">subsequently articulated by Andrew Baker </w:t>
      </w:r>
      <w:r w:rsidR="00100DB5">
        <w:t>J</w:t>
      </w:r>
      <w:r w:rsidR="00B075C6">
        <w:t xml:space="preserve"> as </w:t>
      </w:r>
      <w:r w:rsidR="00CC0B1E">
        <w:t xml:space="preserve">being </w:t>
      </w:r>
      <w:r w:rsidR="0099622B">
        <w:t>“which body has represented the executive authority and Government of Libya from</w:t>
      </w:r>
      <w:r w:rsidR="005D2A19">
        <w:t xml:space="preserve"> time to time for the purposes of Article 6 of Law 13?”  </w:t>
      </w:r>
      <w:r w:rsidR="00CC0B1E">
        <w:t xml:space="preserve"> </w:t>
      </w:r>
      <w:r w:rsidR="0050373E">
        <w:t>By this stage Dr Hussein had emerged as a rival claim</w:t>
      </w:r>
      <w:r w:rsidR="00100DB5">
        <w:t>a</w:t>
      </w:r>
      <w:r w:rsidR="0050373E">
        <w:t>nt as the su</w:t>
      </w:r>
      <w:r w:rsidR="007F6808">
        <w:t xml:space="preserve">ccessor to the claim by Dr Alkizza.  He was joined </w:t>
      </w:r>
      <w:r w:rsidR="00304F22">
        <w:t xml:space="preserve">to the </w:t>
      </w:r>
      <w:r w:rsidR="000B024B">
        <w:t>a</w:t>
      </w:r>
      <w:r w:rsidR="00304F22">
        <w:t xml:space="preserve">pplications, and </w:t>
      </w:r>
      <w:r w:rsidR="00C5474B">
        <w:t xml:space="preserve">Mr </w:t>
      </w:r>
      <w:r w:rsidR="00342D57">
        <w:t>B</w:t>
      </w:r>
      <w:r w:rsidR="00C5474B">
        <w:t xml:space="preserve">reish and he were </w:t>
      </w:r>
      <w:r w:rsidR="007F6808">
        <w:t>ordered to serve position statements on the preliminary issue</w:t>
      </w:r>
      <w:r w:rsidR="00165F8E">
        <w:t xml:space="preserve">.  Mr Breish did so.  Dr Hussein did not.  </w:t>
      </w:r>
      <w:r w:rsidR="00100DB5">
        <w:t xml:space="preserve"> </w:t>
      </w:r>
      <w:r w:rsidR="007C2B52">
        <w:t xml:space="preserve">He did not at this stage have funding for legal representation.  </w:t>
      </w:r>
    </w:p>
    <w:p w14:paraId="6FE3B048" w14:textId="28D29466" w:rsidR="00B674AE" w:rsidRDefault="00B32173" w:rsidP="00DB37C0">
      <w:pPr>
        <w:pStyle w:val="ParaLevel1"/>
      </w:pPr>
      <w:r>
        <w:lastRenderedPageBreak/>
        <w:t xml:space="preserve">The preliminary issue was heard and determined by Andrew Baker J on 14 </w:t>
      </w:r>
      <w:r w:rsidR="00165F8E">
        <w:t>F</w:t>
      </w:r>
      <w:r>
        <w:t>ebruary 2019.</w:t>
      </w:r>
      <w:r w:rsidR="00FD1EFD">
        <w:t xml:space="preserve">  </w:t>
      </w:r>
      <w:r w:rsidR="009F4686">
        <w:t>Dr Hussein did not appear at the hearing and</w:t>
      </w:r>
      <w:r w:rsidR="00134167">
        <w:t xml:space="preserve"> in correspondence shortly before had suggested that he aligned himself with the arguments to be addressed by Mr Breish</w:t>
      </w:r>
      <w:r w:rsidR="00784022">
        <w:t>, whose skeleton argument he had seen</w:t>
      </w:r>
      <w:r w:rsidR="00C5474B">
        <w:t>,</w:t>
      </w:r>
      <w:r w:rsidR="00134167">
        <w:t xml:space="preserve"> whilst simultaneously suggesting an adjourn</w:t>
      </w:r>
      <w:r w:rsidR="0073407C">
        <w:t xml:space="preserve">ment in the light </w:t>
      </w:r>
      <w:r w:rsidR="00784022">
        <w:t xml:space="preserve">of </w:t>
      </w:r>
      <w:r w:rsidR="007C2B52">
        <w:t>(</w:t>
      </w:r>
      <w:r w:rsidR="004E2D52">
        <w:t xml:space="preserve">irrelevant) developments in Libya.  </w:t>
      </w:r>
      <w:r w:rsidR="00586CC2">
        <w:t xml:space="preserve">The Judge gave an ex tempore judgment (“the </w:t>
      </w:r>
      <w:r w:rsidR="00EE31A9">
        <w:t>F</w:t>
      </w:r>
      <w:r w:rsidR="00586CC2">
        <w:t>ebruary Judgment”</w:t>
      </w:r>
      <w:r w:rsidR="00EE31A9">
        <w:t>)</w:t>
      </w:r>
      <w:r w:rsidR="00586CC2">
        <w:t xml:space="preserve"> and </w:t>
      </w:r>
      <w:r w:rsidR="00447071">
        <w:t xml:space="preserve">made an order </w:t>
      </w:r>
      <w:r w:rsidR="00E36AB4">
        <w:t>(“the February Order”</w:t>
      </w:r>
      <w:r w:rsidR="00586CC2">
        <w:t>)</w:t>
      </w:r>
      <w:r w:rsidR="00E36AB4">
        <w:t xml:space="preserve"> </w:t>
      </w:r>
      <w:r w:rsidR="00447071">
        <w:t xml:space="preserve">declaring </w:t>
      </w:r>
      <w:r w:rsidR="00E36AB4">
        <w:t>that the government question was governed by English law and that “the executive authority and government of Libya is represented today and has</w:t>
      </w:r>
      <w:r w:rsidR="006043C6">
        <w:t xml:space="preserve"> been represented since at least 19 April 2017 by the Government of </w:t>
      </w:r>
      <w:r w:rsidR="00447071">
        <w:t>N</w:t>
      </w:r>
      <w:r w:rsidR="006043C6">
        <w:t>ational Accord</w:t>
      </w:r>
      <w:r w:rsidR="00275CC8">
        <w:t xml:space="preserve"> and the Presidency Council, and that is so</w:t>
      </w:r>
      <w:r w:rsidR="00D52B86">
        <w:t xml:space="preserve"> if and insofar as relevant to and for the purposes of Art</w:t>
      </w:r>
      <w:r w:rsidR="00D34474">
        <w:t>icle 6 of [Law 13] or for any other purpose to which the question might matter</w:t>
      </w:r>
      <w:r w:rsidR="00001A46">
        <w:t xml:space="preserve"> if it arises before this court in relation to the applications.”</w:t>
      </w:r>
    </w:p>
    <w:p w14:paraId="5DF43AA4" w14:textId="63301902" w:rsidR="009E1479" w:rsidRDefault="0028149D" w:rsidP="00DB37C0">
      <w:pPr>
        <w:pStyle w:val="ParaLevel1"/>
      </w:pPr>
      <w:r>
        <w:t>The Judge reached this conclusion by</w:t>
      </w:r>
      <w:r w:rsidR="009E1479">
        <w:t xml:space="preserve"> reason of the two FCO letters</w:t>
      </w:r>
      <w:r w:rsidR="00CC5CB2">
        <w:t xml:space="preserve">, which he treated as </w:t>
      </w:r>
      <w:r w:rsidR="000F3DED">
        <w:t xml:space="preserve">unequivocal notification to the Court that HMG recognises </w:t>
      </w:r>
      <w:r w:rsidR="00E30CBD">
        <w:t>and has recognised since April 2017 the GNA and PC as the executive authority of Libya</w:t>
      </w:r>
      <w:r w:rsidR="00201BFC">
        <w:t xml:space="preserve"> [</w:t>
      </w:r>
      <w:r w:rsidR="00E1514E">
        <w:t xml:space="preserve">38], and by </w:t>
      </w:r>
      <w:r w:rsidR="009E1479">
        <w:t xml:space="preserve">application of the one voice principle which he expressed </w:t>
      </w:r>
      <w:r w:rsidR="007803EA">
        <w:t xml:space="preserve">in the following terms </w:t>
      </w:r>
      <w:r w:rsidR="009E1479">
        <w:t>at [32]:</w:t>
      </w:r>
    </w:p>
    <w:p w14:paraId="1E9178CD" w14:textId="3CBE4C01" w:rsidR="00001A46" w:rsidRDefault="007201C8" w:rsidP="00086F38">
      <w:pPr>
        <w:pStyle w:val="Quote"/>
      </w:pPr>
      <w:r>
        <w:t>“</w:t>
      </w:r>
      <w:r w:rsidRPr="007201C8">
        <w:t>It is a fundamental principle of English law and an aspect of the unwritten constitutional bedrock of the United Kingdom that it is the prerogative of the sovereign, acting through her government as the executive branch of the state, to decide whom to recognise as a fellow sovereign state and whom to recognise and treat as the executive government of such a state. The courts, as the judicial branch of the state, must accept, adopt and follow any such recognition as the state must speak with 'one voice' in such matters. Where, therefore, a court, considering a case in which it is relevant to ask who is the government of a foreign state, is informed by the Foreign and Commonwealth Office ('the FCO') in unequivocal terms that HMG recognises some particular persons or body as such, that information must be acted on by the court as a fact of state. Such an unequivocal notification from the FCO is, in substance, the voice of the sovereign as to a matter upon which she has an absolute right to direct the answer.</w:t>
      </w:r>
      <w:r>
        <w:t>”</w:t>
      </w:r>
    </w:p>
    <w:p w14:paraId="4117EBEA" w14:textId="4C5DF963" w:rsidR="00B674AE" w:rsidRDefault="00B674AE" w:rsidP="00DB37C0">
      <w:pPr>
        <w:pStyle w:val="ParaLevel1"/>
      </w:pPr>
      <w:r>
        <w:t xml:space="preserve">Following the February Judgment, Mr Breish applied to the Court for </w:t>
      </w:r>
      <w:r w:rsidR="0010476A">
        <w:t>an order clarifying or adding to th</w:t>
      </w:r>
      <w:r w:rsidR="00E44B32">
        <w:t xml:space="preserve">e February Order declarations, in particular </w:t>
      </w:r>
      <w:r w:rsidR="00B07159">
        <w:t xml:space="preserve">as </w:t>
      </w:r>
      <w:r>
        <w:t xml:space="preserve">to whether, in light of certain passages in the </w:t>
      </w:r>
      <w:r w:rsidR="007803EA">
        <w:t xml:space="preserve">February </w:t>
      </w:r>
      <w:r>
        <w:t xml:space="preserve">Judgment, it remained open to him to challenge, as part of his response to the </w:t>
      </w:r>
      <w:r w:rsidR="00596A2F">
        <w:t>a</w:t>
      </w:r>
      <w:r>
        <w:t xml:space="preserve">pplications, the validity of Dr Mahmoud’s appointment on the basis of </w:t>
      </w:r>
      <w:r w:rsidR="009C01B2">
        <w:t xml:space="preserve">what </w:t>
      </w:r>
      <w:r w:rsidR="000260C2">
        <w:t xml:space="preserve">was then characterised as “the </w:t>
      </w:r>
      <w:r w:rsidR="00CE163C">
        <w:t>c</w:t>
      </w:r>
      <w:r w:rsidR="000260C2">
        <w:t xml:space="preserve">onstitutional </w:t>
      </w:r>
      <w:r w:rsidR="00CE163C">
        <w:t>i</w:t>
      </w:r>
      <w:r w:rsidR="000260C2">
        <w:t xml:space="preserve">ssue” and has </w:t>
      </w:r>
      <w:r w:rsidR="00CE163C">
        <w:t>now been called</w:t>
      </w:r>
      <w:r w:rsidR="00045B10">
        <w:t xml:space="preserve"> the</w:t>
      </w:r>
      <w:r w:rsidR="00CE163C">
        <w:t xml:space="preserve"> </w:t>
      </w:r>
      <w:r>
        <w:t>“vote of confidence issue”</w:t>
      </w:r>
      <w:r w:rsidR="00596A2F">
        <w:t xml:space="preserve">.  The vote of confidence issue </w:t>
      </w:r>
      <w:r w:rsidR="0010491F">
        <w:t>which Mr Breish wanted to raise was a c</w:t>
      </w:r>
      <w:r w:rsidR="00B91771">
        <w:t xml:space="preserve">hallenge </w:t>
      </w:r>
      <w:r w:rsidR="0010491F">
        <w:t xml:space="preserve">to </w:t>
      </w:r>
      <w:r w:rsidR="00192D74">
        <w:t xml:space="preserve">Dr Mahmoud’s appointment on the grounds </w:t>
      </w:r>
      <w:r w:rsidR="00385F7D">
        <w:t xml:space="preserve">that because the HoR </w:t>
      </w:r>
      <w:r w:rsidR="00CD0EB9">
        <w:t xml:space="preserve">has not passed the vote of confidence in </w:t>
      </w:r>
      <w:r w:rsidR="00DC6C0A">
        <w:t xml:space="preserve">the </w:t>
      </w:r>
      <w:r w:rsidR="00CD0EB9">
        <w:t xml:space="preserve">GNA required by Article 1(4) of the LPA, the GNA and PC was not </w:t>
      </w:r>
      <w:r>
        <w:t xml:space="preserve">in May 2017 (when Resolution 12 was made), and is still not, the valid/lawful executive in Libya and, therefore, Resolution 12 is invalid/unlawful as a matter of Libyan law. </w:t>
      </w:r>
    </w:p>
    <w:p w14:paraId="199CC457" w14:textId="7258B3D1" w:rsidR="00EF60D6" w:rsidRDefault="00AA4ED5" w:rsidP="00DB37C0">
      <w:pPr>
        <w:pStyle w:val="ParaLevel1"/>
      </w:pPr>
      <w:r>
        <w:t xml:space="preserve">By an </w:t>
      </w:r>
      <w:r w:rsidR="00D74EA4">
        <w:t xml:space="preserve">order </w:t>
      </w:r>
      <w:r w:rsidR="001E1FED">
        <w:t xml:space="preserve">of 1 April 2019 </w:t>
      </w:r>
      <w:r w:rsidR="00114B32">
        <w:t xml:space="preserve">(“the April </w:t>
      </w:r>
      <w:r>
        <w:t>Order”</w:t>
      </w:r>
      <w:r w:rsidR="00DF4571">
        <w:t xml:space="preserve">) </w:t>
      </w:r>
      <w:r w:rsidR="00114B32">
        <w:t>t</w:t>
      </w:r>
      <w:r w:rsidR="00B674AE">
        <w:t xml:space="preserve">he </w:t>
      </w:r>
      <w:r w:rsidR="00387B70">
        <w:t xml:space="preserve">Judge </w:t>
      </w:r>
      <w:r w:rsidR="008C7A3A">
        <w:t>dismissed the application for an additional declaration for the reasons given in a judgment of that date (“the April Judgment”</w:t>
      </w:r>
      <w:r w:rsidR="00850E15">
        <w:t xml:space="preserve">) which were essentially </w:t>
      </w:r>
      <w:r w:rsidR="004C3341">
        <w:t xml:space="preserve">that </w:t>
      </w:r>
      <w:r w:rsidR="00DF4571">
        <w:t xml:space="preserve">the vote of confidence issue did not arise on </w:t>
      </w:r>
      <w:r w:rsidR="004C3341">
        <w:t xml:space="preserve">the </w:t>
      </w:r>
      <w:r w:rsidR="004C3341">
        <w:lastRenderedPageBreak/>
        <w:t xml:space="preserve">basis of the concessions </w:t>
      </w:r>
      <w:r w:rsidR="009E136E">
        <w:t>made by Mr Breish in his position statement</w:t>
      </w:r>
      <w:r w:rsidR="008217CA">
        <w:t xml:space="preserve">, and that whether it did arise would depend upon </w:t>
      </w:r>
      <w:r w:rsidR="002F2D08">
        <w:t xml:space="preserve">what case Mr </w:t>
      </w:r>
      <w:r w:rsidR="00530306">
        <w:t>B</w:t>
      </w:r>
      <w:r w:rsidR="002F2D08">
        <w:t>reish thereafter advanced</w:t>
      </w:r>
      <w:r w:rsidR="00434D2E">
        <w:t>.</w:t>
      </w:r>
    </w:p>
    <w:p w14:paraId="4746F2B2" w14:textId="279CFEAA" w:rsidR="00046543" w:rsidRDefault="00046543" w:rsidP="00DB37C0">
      <w:pPr>
        <w:pStyle w:val="ParaLevel1"/>
      </w:pPr>
      <w:r>
        <w:t xml:space="preserve">On 5 April 2019, the Judge directed </w:t>
      </w:r>
      <w:r w:rsidR="00434D2E">
        <w:t xml:space="preserve">that </w:t>
      </w:r>
      <w:r w:rsidR="00045B10">
        <w:t xml:space="preserve">a </w:t>
      </w:r>
      <w:r>
        <w:t xml:space="preserve">CMC </w:t>
      </w:r>
      <w:r w:rsidR="00253176">
        <w:t xml:space="preserve">should take place </w:t>
      </w:r>
      <w:r>
        <w:t xml:space="preserve">to deal with various consequential issues, including permission to appeal the February and April Orders and directions as to the further conduct of the </w:t>
      </w:r>
      <w:r w:rsidR="0001303B">
        <w:t>a</w:t>
      </w:r>
      <w:r>
        <w:t xml:space="preserve">pplications.   Mr Breish and Dr Hussein were directed to file Position Statements on the </w:t>
      </w:r>
      <w:r w:rsidR="00434D2E">
        <w:t>a</w:t>
      </w:r>
      <w:r>
        <w:t xml:space="preserve">pplications in advance of the CMC. </w:t>
      </w:r>
    </w:p>
    <w:p w14:paraId="16B647BA" w14:textId="64F5BFFD" w:rsidR="00253176" w:rsidRDefault="00EF60D6" w:rsidP="00DB37C0">
      <w:pPr>
        <w:pStyle w:val="ParaLevel1"/>
      </w:pPr>
      <w:r>
        <w:t>On 2</w:t>
      </w:r>
      <w:r w:rsidR="00DC6C0A">
        <w:t>6</w:t>
      </w:r>
      <w:r>
        <w:t xml:space="preserve"> April 20</w:t>
      </w:r>
      <w:r w:rsidR="00A54333">
        <w:t xml:space="preserve">19 Mr Breish served </w:t>
      </w:r>
      <w:r w:rsidR="00046543">
        <w:t xml:space="preserve">his </w:t>
      </w:r>
      <w:r w:rsidR="00A54333">
        <w:t xml:space="preserve">amended </w:t>
      </w:r>
      <w:r w:rsidR="0066659D">
        <w:t>P</w:t>
      </w:r>
      <w:r w:rsidR="00A54333">
        <w:t xml:space="preserve">osition </w:t>
      </w:r>
      <w:r w:rsidR="0066659D">
        <w:t>S</w:t>
      </w:r>
      <w:r w:rsidR="00A54333">
        <w:t>tatement</w:t>
      </w:r>
      <w:r w:rsidR="00243B03">
        <w:t xml:space="preserve"> in which the vote of confidence issue was articulated at paragraph 12.5</w:t>
      </w:r>
      <w:r w:rsidR="00352939">
        <w:t xml:space="preserve"> </w:t>
      </w:r>
      <w:r w:rsidR="004D536D">
        <w:t xml:space="preserve">as being that “LIA Resolution 12 is invalid/unlawful as a matter of Libyan </w:t>
      </w:r>
      <w:r w:rsidR="002C767C">
        <w:t xml:space="preserve">law because the GNA and PC was not in May 2017 (when the Resolution was made) and is still not </w:t>
      </w:r>
      <w:r w:rsidR="002209BF">
        <w:t>the valid/</w:t>
      </w:r>
      <w:r w:rsidR="00045B10">
        <w:t xml:space="preserve">lawful </w:t>
      </w:r>
      <w:r w:rsidR="002209BF">
        <w:t xml:space="preserve">executive in Libya.  </w:t>
      </w:r>
      <w:r w:rsidR="00A66D93">
        <w:t xml:space="preserve">  This is because the GNA and PC have failed to obtain the HoR’s vote of confidence</w:t>
      </w:r>
      <w:r w:rsidR="008212B0">
        <w:t xml:space="preserve"> which is required by </w:t>
      </w:r>
      <w:r w:rsidR="00ED23DD">
        <w:t>Article 1(4)</w:t>
      </w:r>
      <w:r w:rsidR="00045B10">
        <w:t>,</w:t>
      </w:r>
      <w:r w:rsidR="00ED23DD">
        <w:t xml:space="preserve"> LPA.</w:t>
      </w:r>
      <w:r w:rsidR="00253176">
        <w:t>”</w:t>
      </w:r>
      <w:r w:rsidR="00ED23DD">
        <w:t xml:space="preserve">  The Particulars </w:t>
      </w:r>
      <w:r w:rsidR="0053370B">
        <w:t xml:space="preserve">made clear at </w:t>
      </w:r>
      <w:r w:rsidR="00904040">
        <w:t xml:space="preserve">sub paragraph (4) that the contention was that </w:t>
      </w:r>
      <w:r w:rsidR="008D54E4">
        <w:t xml:space="preserve">in the </w:t>
      </w:r>
      <w:r w:rsidR="00904040">
        <w:t xml:space="preserve">absence of </w:t>
      </w:r>
      <w:r w:rsidR="00ED23DD">
        <w:t xml:space="preserve"> an HoR vote of confidence </w:t>
      </w:r>
      <w:r w:rsidR="008D54E4">
        <w:t xml:space="preserve">“it follows that </w:t>
      </w:r>
      <w:r w:rsidR="0053370B">
        <w:t>the term of the GNA has not commenced</w:t>
      </w:r>
      <w:r w:rsidR="00E41870">
        <w:t xml:space="preserve"> and the GNA (and PC) is not the valid/lawful executive in Libya</w:t>
      </w:r>
      <w:r w:rsidR="00116711">
        <w:t>.”</w:t>
      </w:r>
      <w:r w:rsidR="00695A07">
        <w:t xml:space="preserve"> </w:t>
      </w:r>
    </w:p>
    <w:p w14:paraId="2D215A0E" w14:textId="69EA780B" w:rsidR="00116711" w:rsidRDefault="00695A07" w:rsidP="00DB37C0">
      <w:pPr>
        <w:pStyle w:val="ParaLevel1"/>
      </w:pPr>
      <w:r>
        <w:t>On 10 May 20</w:t>
      </w:r>
      <w:r w:rsidR="00B40A0F">
        <w:t>19 Dr Huss</w:t>
      </w:r>
      <w:r w:rsidR="00A4612C">
        <w:t>e</w:t>
      </w:r>
      <w:r w:rsidR="00B40A0F">
        <w:t>in, now legally represented</w:t>
      </w:r>
      <w:r w:rsidR="00A4612C">
        <w:t xml:space="preserve">, served </w:t>
      </w:r>
      <w:r w:rsidR="00046543">
        <w:t xml:space="preserve">his </w:t>
      </w:r>
      <w:r w:rsidR="0066659D">
        <w:t>P</w:t>
      </w:r>
      <w:r w:rsidR="00A4612C">
        <w:t xml:space="preserve">osition </w:t>
      </w:r>
      <w:r w:rsidR="0066659D">
        <w:t>S</w:t>
      </w:r>
      <w:r w:rsidR="00A4612C">
        <w:t xml:space="preserve">tatement which </w:t>
      </w:r>
      <w:r w:rsidR="00B45BE6">
        <w:t xml:space="preserve">advanced essentially </w:t>
      </w:r>
      <w:r w:rsidR="00A4612C">
        <w:t>the same argument at paragraph 8(e)</w:t>
      </w:r>
      <w:r w:rsidR="00860100">
        <w:t xml:space="preserve"> and (f) and asserted at paragraph 8(</w:t>
      </w:r>
      <w:r w:rsidR="003D3B6A">
        <w:t xml:space="preserve">g) that such a case was not precluded by the one voice principle and the February </w:t>
      </w:r>
      <w:r w:rsidR="009A2352">
        <w:t>Judgment.</w:t>
      </w:r>
    </w:p>
    <w:p w14:paraId="1B32FCE7" w14:textId="70CA50A8" w:rsidR="00F05C29" w:rsidRDefault="00B674AE" w:rsidP="00DB37C0">
      <w:pPr>
        <w:pStyle w:val="ParaLevel1"/>
      </w:pPr>
      <w:r>
        <w:t xml:space="preserve">In response to this Dr Mahmoud put on the agenda for the CMC the question of whether, in light of the one voice </w:t>
      </w:r>
      <w:r w:rsidR="00253176">
        <w:t xml:space="preserve">principle, </w:t>
      </w:r>
      <w:r>
        <w:t xml:space="preserve">any issue could arise as to the legal validity/constitutionality in Libyan law of the PC/GNA. </w:t>
      </w:r>
      <w:r w:rsidR="0066659D">
        <w:t xml:space="preserve"> </w:t>
      </w:r>
      <w:r w:rsidR="00745DB8">
        <w:t xml:space="preserve"> </w:t>
      </w:r>
      <w:r>
        <w:t>He contended that</w:t>
      </w:r>
      <w:r w:rsidR="0066659D">
        <w:t xml:space="preserve"> </w:t>
      </w:r>
      <w:r>
        <w:t>it could not</w:t>
      </w:r>
      <w:r w:rsidR="0066659D">
        <w:t xml:space="preserve"> and</w:t>
      </w:r>
      <w:r w:rsidR="00110074">
        <w:t xml:space="preserve"> that </w:t>
      </w:r>
      <w:r w:rsidR="0066659D">
        <w:t>paragraph 1</w:t>
      </w:r>
      <w:r>
        <w:t xml:space="preserve">2.5 </w:t>
      </w:r>
      <w:r w:rsidR="0066659D">
        <w:t>(</w:t>
      </w:r>
      <w:r>
        <w:t>and various other parts</w:t>
      </w:r>
      <w:r w:rsidR="0066659D">
        <w:t>)</w:t>
      </w:r>
      <w:r>
        <w:t xml:space="preserve"> of Mr Breish’s Position Statement</w:t>
      </w:r>
      <w:r w:rsidR="00745DB8">
        <w:t xml:space="preserve">, and </w:t>
      </w:r>
      <w:r w:rsidR="00110074">
        <w:t xml:space="preserve">paragraphs 8(e) </w:t>
      </w:r>
      <w:r w:rsidR="00745DB8">
        <w:t>and following of Dr Hussein’s Position S</w:t>
      </w:r>
      <w:r w:rsidR="00811F3A">
        <w:t>tatement</w:t>
      </w:r>
      <w:r w:rsidR="00110074">
        <w:t>,</w:t>
      </w:r>
      <w:r>
        <w:t xml:space="preserve"> should be struck out. That question, and other consequential issues, were addressed at the CMC on 20 and 26 June 2019</w:t>
      </w:r>
      <w:r w:rsidR="001316AD">
        <w:t xml:space="preserve">, at which </w:t>
      </w:r>
      <w:r w:rsidR="00402939">
        <w:t xml:space="preserve">Dr Mahmoud accepted that Mr </w:t>
      </w:r>
      <w:r w:rsidR="002343B4">
        <w:t>B</w:t>
      </w:r>
      <w:r w:rsidR="00402939">
        <w:t>reish should not be held to any previous concession</w:t>
      </w:r>
      <w:r>
        <w:t xml:space="preserve">. </w:t>
      </w:r>
      <w:r w:rsidR="00110074">
        <w:t xml:space="preserve"> </w:t>
      </w:r>
      <w:r w:rsidR="009817D2">
        <w:t xml:space="preserve">The Judge </w:t>
      </w:r>
      <w:r w:rsidR="007D2C68">
        <w:t>expressed  reservations as to whether as a matter of issue es</w:t>
      </w:r>
      <w:r w:rsidR="0071073A">
        <w:t>t</w:t>
      </w:r>
      <w:r w:rsidR="007D2C68">
        <w:t>op</w:t>
      </w:r>
      <w:r w:rsidR="0071073A">
        <w:t>p</w:t>
      </w:r>
      <w:r w:rsidR="007D2C68">
        <w:t>el it was open to the parties t</w:t>
      </w:r>
      <w:r w:rsidR="00AD3153">
        <w:t>o reopen the conclusions in the February and April Judgments</w:t>
      </w:r>
      <w:r w:rsidR="00D12679">
        <w:t xml:space="preserve">, but nevertheless entertained further argument on the scope of the one voice principle. </w:t>
      </w:r>
      <w:r w:rsidR="00110074">
        <w:t xml:space="preserve"> </w:t>
      </w:r>
      <w:r w:rsidR="00D12679">
        <w:t xml:space="preserve">By an </w:t>
      </w:r>
      <w:r w:rsidR="00811F3A">
        <w:t>Order date</w:t>
      </w:r>
      <w:r w:rsidR="00D12679">
        <w:t>d</w:t>
      </w:r>
      <w:r w:rsidR="00811F3A">
        <w:t xml:space="preserve"> </w:t>
      </w:r>
      <w:r>
        <w:t xml:space="preserve">10 July 2019 (the “July </w:t>
      </w:r>
      <w:r w:rsidR="00811F3A">
        <w:t xml:space="preserve">Order”) </w:t>
      </w:r>
      <w:r w:rsidR="00946EF6">
        <w:t>the Judge ordered that paragraph 12.5 of Mr Breish’s amended Position Statement (and some other paragraphs) should be struck out</w:t>
      </w:r>
      <w:r w:rsidR="00DB0608">
        <w:t xml:space="preserve">, as should </w:t>
      </w:r>
      <w:r w:rsidR="00110074">
        <w:t xml:space="preserve">paragraphs 8(e) and following </w:t>
      </w:r>
      <w:r w:rsidR="00DB0608">
        <w:t xml:space="preserve">of Dr Hussein’s Position </w:t>
      </w:r>
      <w:r w:rsidR="00686328">
        <w:t>Statement.  His reasons</w:t>
      </w:r>
      <w:r w:rsidR="003A2765">
        <w:t>,</w:t>
      </w:r>
      <w:r w:rsidR="00686328">
        <w:t xml:space="preserve"> given in </w:t>
      </w:r>
      <w:r w:rsidR="00E529C6">
        <w:t xml:space="preserve">a </w:t>
      </w:r>
      <w:r w:rsidR="00686328">
        <w:t>judgment of the same date</w:t>
      </w:r>
      <w:r w:rsidR="003A2765">
        <w:t>,</w:t>
      </w:r>
      <w:r w:rsidR="00686328">
        <w:t xml:space="preserve"> (“the July Judgment”</w:t>
      </w:r>
      <w:r w:rsidR="00F05C29">
        <w:t>) can be summarised as follows:</w:t>
      </w:r>
    </w:p>
    <w:p w14:paraId="371BD861" w14:textId="6DDE84B5" w:rsidR="00B2102D" w:rsidRDefault="00E529C6" w:rsidP="00DB37C0">
      <w:pPr>
        <w:pStyle w:val="ParaLevel2"/>
      </w:pPr>
      <w:r>
        <w:t xml:space="preserve">The Judge </w:t>
      </w:r>
      <w:r w:rsidR="00647D1F">
        <w:t xml:space="preserve">accepted the submission on behalf of Dr Mahmoud </w:t>
      </w:r>
      <w:r w:rsidR="00B2102D">
        <w:t xml:space="preserve">that a central purpose of </w:t>
      </w:r>
      <w:r>
        <w:t xml:space="preserve"> </w:t>
      </w:r>
      <w:r w:rsidR="00B2102D">
        <w:t>one voice recognition is that the court will treat the acts of a foreign government so recognised as the acts of a duly constituted executive authority of the foreign state in question; so there can be no further enquiry or challenge to the actions taken by the recognised foreign government on the basis that it is not duly constituted under local law</w:t>
      </w:r>
      <w:r w:rsidR="00B749B4">
        <w:t xml:space="preserve"> [14]</w:t>
      </w:r>
      <w:r w:rsidR="00B2102D">
        <w:t>.</w:t>
      </w:r>
    </w:p>
    <w:p w14:paraId="7DE73882" w14:textId="1CF53863" w:rsidR="00B2102D" w:rsidRDefault="00B2102D" w:rsidP="00DB37C0">
      <w:pPr>
        <w:pStyle w:val="ParaLevel2"/>
      </w:pPr>
      <w:r>
        <w:t xml:space="preserve">As Lord Atkin held in </w:t>
      </w:r>
      <w:r w:rsidRPr="00B749B4">
        <w:rPr>
          <w:i/>
          <w:iCs/>
        </w:rPr>
        <w:t>The Arantzazu Mendi</w:t>
      </w:r>
      <w:r>
        <w:t xml:space="preserve"> [1939] AC 256, at </w:t>
      </w:r>
      <w:r w:rsidR="00B749B4">
        <w:t xml:space="preserve">p. </w:t>
      </w:r>
      <w:r>
        <w:t>265, th</w:t>
      </w:r>
      <w:r w:rsidR="0033287F">
        <w:t>at applies as much to the d</w:t>
      </w:r>
      <w:r w:rsidR="00520EDC">
        <w:t xml:space="preserve">e facto </w:t>
      </w:r>
      <w:r>
        <w:t xml:space="preserve">recognition of a </w:t>
      </w:r>
      <w:r w:rsidR="00520EDC">
        <w:t>state</w:t>
      </w:r>
      <w:r w:rsidR="0033287F">
        <w:t xml:space="preserve"> as it does to a de jure </w:t>
      </w:r>
      <w:r w:rsidR="00CE6BE0">
        <w:t>recognition</w:t>
      </w:r>
      <w:r>
        <w:t>. Thus</w:t>
      </w:r>
      <w:r w:rsidR="00861409">
        <w:t xml:space="preserve"> </w:t>
      </w:r>
      <w:r>
        <w:t xml:space="preserve">the recognition of a foreign government by HMG may well be founded upon the foreign government’s de facto effectiveness as such even though it is not de jure properly established as a lawful government under the </w:t>
      </w:r>
      <w:r>
        <w:lastRenderedPageBreak/>
        <w:t>foreign law</w:t>
      </w:r>
      <w:r w:rsidR="00E17934">
        <w:t xml:space="preserve"> [15]</w:t>
      </w:r>
      <w:r>
        <w:t xml:space="preserve">. </w:t>
      </w:r>
      <w:r w:rsidR="0033287F">
        <w:t xml:space="preserve"> </w:t>
      </w:r>
      <w:r>
        <w:t xml:space="preserve">That is exemplified by </w:t>
      </w:r>
      <w:r w:rsidRPr="00D331DA">
        <w:rPr>
          <w:i/>
          <w:iCs/>
        </w:rPr>
        <w:t>Banco de Bilbao v Sancha</w:t>
      </w:r>
      <w:r>
        <w:t xml:space="preserve"> [1938] 2 KB 176 in which the British Government recognised General Franco’s de facto </w:t>
      </w:r>
      <w:r w:rsidR="0033287F">
        <w:t>Nationalist G</w:t>
      </w:r>
      <w:r>
        <w:t xml:space="preserve">overnment in the Basque Country whilst also recognising the Republican Government as the de jure government of Spain. </w:t>
      </w:r>
    </w:p>
    <w:p w14:paraId="1B999C8B" w14:textId="74899950" w:rsidR="00B2102D" w:rsidRDefault="00600080" w:rsidP="00DB37C0">
      <w:pPr>
        <w:pStyle w:val="ParaLevel2"/>
      </w:pPr>
      <w:r>
        <w:t>Mr Breish’s vote of con</w:t>
      </w:r>
      <w:r w:rsidR="00545606">
        <w:t xml:space="preserve">fidence issue </w:t>
      </w:r>
      <w:r>
        <w:t xml:space="preserve">challenge </w:t>
      </w:r>
      <w:r w:rsidR="00545606">
        <w:t xml:space="preserve">is to assert </w:t>
      </w:r>
      <w:r w:rsidR="007A0FE6">
        <w:t xml:space="preserve">that </w:t>
      </w:r>
      <w:r w:rsidR="00B2102D">
        <w:t>Resolution 12 is invalid or unlawful under Libyan law because the GNA/PC was not, when Resolution 12 was passed, the valid/lawful executive in Libya</w:t>
      </w:r>
      <w:r w:rsidR="007A0FE6">
        <w:t xml:space="preserve">.  That is </w:t>
      </w:r>
      <w:r w:rsidR="00B2102D">
        <w:t xml:space="preserve">precisely to seek to impugn an act of </w:t>
      </w:r>
      <w:r w:rsidR="0033287F">
        <w:t xml:space="preserve">a </w:t>
      </w:r>
      <w:r w:rsidR="00B2102D">
        <w:t>government recognised as such by HMG as the act of an usurping government</w:t>
      </w:r>
      <w:r w:rsidR="0033287F">
        <w:t>,</w:t>
      </w:r>
      <w:r w:rsidR="007A0FE6">
        <w:t xml:space="preserve"> and so contrary to the one voice principle </w:t>
      </w:r>
      <w:r w:rsidR="00281E0D">
        <w:t>which requires</w:t>
      </w:r>
      <w:r w:rsidR="0095011D">
        <w:t xml:space="preserve"> the acts of a foreign government recognised by HMG to be given by the Court the status of acts of</w:t>
      </w:r>
      <w:r w:rsidR="00BD23FB">
        <w:t xml:space="preserve"> a lawful government duly constituted within its territory </w:t>
      </w:r>
      <w:r w:rsidR="0081421C">
        <w:t>[19]</w:t>
      </w:r>
      <w:r w:rsidR="00281E0D">
        <w:t>, [21]</w:t>
      </w:r>
      <w:r w:rsidR="00B2102D">
        <w:t>.</w:t>
      </w:r>
      <w:r w:rsidR="00A61FE0">
        <w:t xml:space="preserve">  </w:t>
      </w:r>
    </w:p>
    <w:p w14:paraId="3586F4A4" w14:textId="7C7A613B" w:rsidR="00492E28" w:rsidRDefault="00346C8B" w:rsidP="00DB37C0">
      <w:pPr>
        <w:pStyle w:val="ParaLevel2"/>
      </w:pPr>
      <w:r>
        <w:t xml:space="preserve">The submission on behalf of Mr </w:t>
      </w:r>
      <w:r w:rsidR="00606FF8">
        <w:t>B</w:t>
      </w:r>
      <w:r>
        <w:t>reish that the one voice</w:t>
      </w:r>
      <w:r w:rsidR="00606FF8">
        <w:t xml:space="preserve"> doctrine did not prevent the court from </w:t>
      </w:r>
      <w:r w:rsidR="00F46EBC">
        <w:t xml:space="preserve">examining the </w:t>
      </w:r>
      <w:r w:rsidR="00992F7F">
        <w:t xml:space="preserve">validity or lawfulness of </w:t>
      </w:r>
      <w:r w:rsidR="00E03AB6">
        <w:t xml:space="preserve">acts of </w:t>
      </w:r>
      <w:r w:rsidR="00992F7F">
        <w:t>a recognised government under local law</w:t>
      </w:r>
      <w:r w:rsidR="004B62AB">
        <w:t xml:space="preserve"> </w:t>
      </w:r>
      <w:r w:rsidR="00992F7F">
        <w:t xml:space="preserve">did not assist </w:t>
      </w:r>
      <w:r w:rsidR="007D3308">
        <w:t xml:space="preserve">his case. </w:t>
      </w:r>
      <w:r w:rsidR="00783C98">
        <w:t xml:space="preserve">It was either correct but irrelevant or wrong.  </w:t>
      </w:r>
      <w:r w:rsidR="00970127">
        <w:t xml:space="preserve">If </w:t>
      </w:r>
      <w:r w:rsidR="00B65EA5">
        <w:t xml:space="preserve">the submission was </w:t>
      </w:r>
      <w:r w:rsidR="00970127">
        <w:t xml:space="preserve">that the one voice doctrine did not apply </w:t>
      </w:r>
      <w:r w:rsidR="001D76A2">
        <w:t xml:space="preserve">where the unlawfulness alleged did not impugn the </w:t>
      </w:r>
      <w:r w:rsidR="00967F36">
        <w:t>government being the duly constituted government at the time of the action in question, it was correct</w:t>
      </w:r>
      <w:r w:rsidR="00697C10">
        <w:t>, but irrelevant</w:t>
      </w:r>
      <w:r w:rsidR="00E00E8A">
        <w:t>,</w:t>
      </w:r>
      <w:r w:rsidR="00697C10">
        <w:t xml:space="preserve"> because the case advanced by the vote of confidence issue did</w:t>
      </w:r>
      <w:r w:rsidR="00DA0D52">
        <w:t xml:space="preserve"> extend that far, and therefore did conflict with the one voice principle</w:t>
      </w:r>
      <w:r w:rsidR="00492E28">
        <w:t xml:space="preserve"> [22]-[23].</w:t>
      </w:r>
    </w:p>
    <w:p w14:paraId="170D68C9" w14:textId="6C699D3C" w:rsidR="00D06846" w:rsidRDefault="00492E28" w:rsidP="00DB37C0">
      <w:pPr>
        <w:pStyle w:val="ParaLevel1"/>
      </w:pPr>
      <w:r>
        <w:t>The Judge gave permission to appeal against his July Order, and</w:t>
      </w:r>
      <w:r w:rsidR="00E00E8A">
        <w:t>,</w:t>
      </w:r>
      <w:r>
        <w:t xml:space="preserve"> in case it was needed</w:t>
      </w:r>
      <w:r w:rsidR="00E00E8A">
        <w:t>,</w:t>
      </w:r>
      <w:r>
        <w:t xml:space="preserve"> against the February and April Orders</w:t>
      </w:r>
      <w:r w:rsidR="00E00E8A">
        <w:t>;</w:t>
      </w:r>
      <w:r w:rsidR="00D06846">
        <w:t xml:space="preserve"> and ordered a number of further issues in the </w:t>
      </w:r>
      <w:r w:rsidR="00E00E8A">
        <w:t>a</w:t>
      </w:r>
      <w:r w:rsidR="00D06846">
        <w:t>pplications to be tried next.  These were not all the remaining issues in the applications but those which Dr Mahmoud had persuaded him to order to be tried next as a matter of case management</w:t>
      </w:r>
      <w:r w:rsidR="00E00E8A">
        <w:t>,</w:t>
      </w:r>
      <w:r w:rsidR="00D06846">
        <w:t xml:space="preserve"> on the footing that if Dr Mahmoud succeeded on them they would be determinative.   </w:t>
      </w:r>
    </w:p>
    <w:p w14:paraId="70A961D8" w14:textId="339519FD" w:rsidR="00D06846" w:rsidRDefault="00D06846" w:rsidP="00DB37C0">
      <w:pPr>
        <w:pStyle w:val="ParaLevel1"/>
      </w:pPr>
      <w:r>
        <w:t xml:space="preserve">On </w:t>
      </w:r>
      <w:r w:rsidR="003F7A53">
        <w:t xml:space="preserve">15 July </w:t>
      </w:r>
      <w:r w:rsidR="00454752">
        <w:t xml:space="preserve">2019 </w:t>
      </w:r>
      <w:r>
        <w:t xml:space="preserve">Dr Hussein served an </w:t>
      </w:r>
      <w:r w:rsidR="008C4624">
        <w:t xml:space="preserve">Addendum to his Position Statement </w:t>
      </w:r>
      <w:r>
        <w:t xml:space="preserve">in which the vote of confidence issue was articulated at paragraphs 16.4 and 16.5.  Paragraph 16.6 advanced </w:t>
      </w:r>
      <w:r w:rsidR="002C5920">
        <w:t xml:space="preserve">a </w:t>
      </w:r>
      <w:r>
        <w:t>new ground for challenging the validity of Resolution 12</w:t>
      </w:r>
      <w:r w:rsidR="002C5920">
        <w:t xml:space="preserve">, namely that </w:t>
      </w:r>
      <w:r>
        <w:t>the LPA and/or Libyan law required the appointment of the Board of Trustees to be approved by the HoR or required the HoR to be consulted in the appointment process</w:t>
      </w:r>
      <w:r w:rsidR="006E1322">
        <w:t xml:space="preserve"> because </w:t>
      </w:r>
      <w:r>
        <w:t>“the HoR presently forms a constituent part of the executive power of the Government of Libya (i</w:t>
      </w:r>
      <w:r w:rsidR="00AB4A43">
        <w:t>.</w:t>
      </w:r>
      <w:r>
        <w:t>e</w:t>
      </w:r>
      <w:r w:rsidR="00AB4A43">
        <w:t>.</w:t>
      </w:r>
      <w:r>
        <w:t xml:space="preserve"> the GNA PC)</w:t>
      </w:r>
      <w:r w:rsidR="00732E98">
        <w:t xml:space="preserve"> and therefore must be engaged in </w:t>
      </w:r>
      <w:r w:rsidR="001300CA">
        <w:t>and form part of the process</w:t>
      </w:r>
      <w:r>
        <w:t xml:space="preserve">”.  </w:t>
      </w:r>
      <w:r w:rsidR="003F3681">
        <w:t xml:space="preserve">I shall call this the </w:t>
      </w:r>
      <w:r w:rsidR="00B72C8F">
        <w:t xml:space="preserve">consultation/approval issue.  </w:t>
      </w:r>
    </w:p>
    <w:p w14:paraId="0CD411EE" w14:textId="5FD20CE5" w:rsidR="00805E37" w:rsidRDefault="00454752" w:rsidP="00DB37C0">
      <w:pPr>
        <w:pStyle w:val="ParaLevel1"/>
      </w:pPr>
      <w:r>
        <w:t xml:space="preserve">The trial of the </w:t>
      </w:r>
      <w:r w:rsidR="00B72C8F">
        <w:t xml:space="preserve">further </w:t>
      </w:r>
      <w:r>
        <w:t xml:space="preserve">issues </w:t>
      </w:r>
      <w:r w:rsidR="00122E9A">
        <w:t>took place before Andrew Baker J in December 2019 and February 2020</w:t>
      </w:r>
      <w:r w:rsidR="006D7AD5">
        <w:t xml:space="preserve">.   </w:t>
      </w:r>
      <w:r w:rsidR="00122E9A">
        <w:t xml:space="preserve">He gave judgment on them </w:t>
      </w:r>
      <w:r w:rsidR="00887954">
        <w:t>on 25 March 2020 (“the 2020 Judgment”)</w:t>
      </w:r>
      <w:r w:rsidR="00D41661">
        <w:t>, before the appeal against his February</w:t>
      </w:r>
      <w:r w:rsidR="00DC6C0A">
        <w:t xml:space="preserve">, </w:t>
      </w:r>
      <w:r w:rsidR="00D41661">
        <w:t xml:space="preserve">April </w:t>
      </w:r>
      <w:r w:rsidR="0088179B">
        <w:t>and</w:t>
      </w:r>
      <w:r w:rsidR="00D41661">
        <w:t xml:space="preserve"> July Orders came on before this Court</w:t>
      </w:r>
      <w:r w:rsidR="00550046">
        <w:t xml:space="preserve">, </w:t>
      </w:r>
      <w:r w:rsidR="006D7AD5">
        <w:t xml:space="preserve">Coulson </w:t>
      </w:r>
      <w:r w:rsidR="00550046">
        <w:t>LJ having refused a</w:t>
      </w:r>
      <w:r w:rsidR="006D7AD5">
        <w:t>n application to expedite the appeal</w:t>
      </w:r>
      <w:r w:rsidR="00550046">
        <w:t xml:space="preserve">.  </w:t>
      </w:r>
      <w:r w:rsidR="0088179B">
        <w:t xml:space="preserve">The argument before him and his </w:t>
      </w:r>
      <w:r w:rsidR="00D70372">
        <w:t xml:space="preserve">judgment on them proceeded on the basis that </w:t>
      </w:r>
      <w:r w:rsidR="0001180F">
        <w:t>his February</w:t>
      </w:r>
      <w:r w:rsidR="00DC6C0A">
        <w:t>,</w:t>
      </w:r>
      <w:r w:rsidR="0001180F">
        <w:t xml:space="preserve"> April and July Orders</w:t>
      </w:r>
      <w:r w:rsidR="00081290">
        <w:t xml:space="preserve"> and Judgments were correct, and that if and to the extent they might be r</w:t>
      </w:r>
      <w:r w:rsidR="00805E37">
        <w:t>e</w:t>
      </w:r>
      <w:r w:rsidR="00081290">
        <w:t>versed on this appeal the parties should have a further opportunity to advance</w:t>
      </w:r>
      <w:r w:rsidR="00805E37">
        <w:t xml:space="preserve"> the arguments which were thereby precluded</w:t>
      </w:r>
      <w:r w:rsidR="00D70372">
        <w:t>, as he made clear at paragraph</w:t>
      </w:r>
      <w:r w:rsidR="00E93160">
        <w:t xml:space="preserve"> [4] of the 2020 Judgment</w:t>
      </w:r>
      <w:r w:rsidR="00DE15E8">
        <w:t>.</w:t>
      </w:r>
      <w:r w:rsidR="00805E37">
        <w:t xml:space="preserve">  </w:t>
      </w:r>
    </w:p>
    <w:p w14:paraId="31789831" w14:textId="7E7635F8" w:rsidR="0064622A" w:rsidRDefault="00E93160" w:rsidP="00DB37C0">
      <w:pPr>
        <w:pStyle w:val="ParaLevel1"/>
      </w:pPr>
      <w:r>
        <w:t xml:space="preserve">At that hearing </w:t>
      </w:r>
      <w:r w:rsidR="00150B6C">
        <w:t xml:space="preserve">Mr Breish and Dr Hussein were permitted to advance and did advance a series of arguments that </w:t>
      </w:r>
      <w:r w:rsidR="007C525C">
        <w:t xml:space="preserve">Resolution 12 </w:t>
      </w:r>
      <w:r w:rsidR="00CC0C54">
        <w:t>and/or Resolution</w:t>
      </w:r>
      <w:r w:rsidR="000B69F2">
        <w:t xml:space="preserve"> 1 </w:t>
      </w:r>
      <w:r w:rsidR="007C525C">
        <w:t>w</w:t>
      </w:r>
      <w:r>
        <w:t xml:space="preserve">ere </w:t>
      </w:r>
      <w:r w:rsidR="007C525C">
        <w:t xml:space="preserve"> invalid under Libyan </w:t>
      </w:r>
      <w:r w:rsidR="007C525C">
        <w:lastRenderedPageBreak/>
        <w:t>law which it was accepted were not precluded from consideration by the one voice principle because the arguments did not involve impugning</w:t>
      </w:r>
      <w:r w:rsidR="004C3717">
        <w:t xml:space="preserve"> the </w:t>
      </w:r>
      <w:r w:rsidR="007C525C">
        <w:t>validity of the GNA as the executive government</w:t>
      </w:r>
      <w:r w:rsidR="004C3717">
        <w:t xml:space="preserve">.  </w:t>
      </w:r>
      <w:r w:rsidR="007C525C">
        <w:t xml:space="preserve">So for example </w:t>
      </w:r>
      <w:r w:rsidR="000B69F2">
        <w:t xml:space="preserve">Mr Breish argued that Resolution 12 was invalid as an abuse of power under Libyan law; </w:t>
      </w:r>
      <w:r w:rsidR="007764A9">
        <w:t xml:space="preserve">Mr Breish and Dr Hussein argued </w:t>
      </w:r>
      <w:r w:rsidR="000746D4">
        <w:t xml:space="preserve">that Resolution 1 was invalid because it only appointed 5 members to the Board of </w:t>
      </w:r>
      <w:r w:rsidR="002877AB">
        <w:t xml:space="preserve">Directors of the LIA whereas Article </w:t>
      </w:r>
      <w:r w:rsidR="00617B21">
        <w:t xml:space="preserve">10 of Law </w:t>
      </w:r>
      <w:r w:rsidR="00D52D43">
        <w:t xml:space="preserve">13 provided that it should have 7 members; </w:t>
      </w:r>
      <w:r w:rsidR="00567F81">
        <w:t xml:space="preserve">and </w:t>
      </w:r>
      <w:r w:rsidR="00001112">
        <w:t xml:space="preserve">that </w:t>
      </w:r>
      <w:r w:rsidR="00E36B7C">
        <w:t>Dr Mahmoud’s appointment was invalidated by the lack of a handover</w:t>
      </w:r>
      <w:r w:rsidR="00FC5137">
        <w:t xml:space="preserve"> which was a matter of binding custom</w:t>
      </w:r>
      <w:r w:rsidR="00A3038C">
        <w:t>.  Dr Huss</w:t>
      </w:r>
      <w:r w:rsidR="00656347">
        <w:t>e</w:t>
      </w:r>
      <w:r w:rsidR="00A3038C">
        <w:t>in</w:t>
      </w:r>
      <w:r w:rsidR="00135BD7">
        <w:t xml:space="preserve"> additionally advanced the argument outlined at paragraph 16.7.1 of his </w:t>
      </w:r>
      <w:r w:rsidR="00391715">
        <w:t xml:space="preserve">Addendum to </w:t>
      </w:r>
      <w:r w:rsidR="00135BD7">
        <w:t xml:space="preserve">Position Statement that Libyan Law and the LPA required </w:t>
      </w:r>
      <w:r w:rsidR="005A3B2E">
        <w:t xml:space="preserve">the </w:t>
      </w:r>
      <w:r w:rsidR="00B619A6">
        <w:t xml:space="preserve">HoR’s </w:t>
      </w:r>
      <w:r w:rsidR="00135BD7">
        <w:t xml:space="preserve">approval </w:t>
      </w:r>
      <w:r w:rsidR="00B619A6">
        <w:t xml:space="preserve">of </w:t>
      </w:r>
      <w:r w:rsidR="00135BD7">
        <w:t xml:space="preserve">the Board of Trustees or </w:t>
      </w:r>
      <w:r w:rsidR="00B619A6">
        <w:t xml:space="preserve">its </w:t>
      </w:r>
      <w:r w:rsidR="00135BD7">
        <w:t>consultation in the appointment</w:t>
      </w:r>
      <w:r w:rsidR="00B619A6">
        <w:t xml:space="preserve"> process</w:t>
      </w:r>
      <w:r w:rsidR="00317865">
        <w:t xml:space="preserve"> (this </w:t>
      </w:r>
      <w:r w:rsidR="00114668">
        <w:t xml:space="preserve">being a separate argument from that based on the HoR being part of the executive government, which was advanced </w:t>
      </w:r>
      <w:r w:rsidR="00170ADC">
        <w:t xml:space="preserve">as the consultation/approval </w:t>
      </w:r>
      <w:r w:rsidR="000716BE">
        <w:t xml:space="preserve">issue raised </w:t>
      </w:r>
      <w:r w:rsidR="00114668">
        <w:t>at paragraph 16.6)</w:t>
      </w:r>
      <w:r w:rsidR="00B619A6">
        <w:t xml:space="preserve">. </w:t>
      </w:r>
      <w:r w:rsidR="007C525C">
        <w:t xml:space="preserve"> </w:t>
      </w:r>
      <w:r>
        <w:t xml:space="preserve">The parties adduced substantial </w:t>
      </w:r>
      <w:r w:rsidR="0064622A">
        <w:t xml:space="preserve">expert evidence of Libyan law for the purposes of resolution of these issues.   </w:t>
      </w:r>
    </w:p>
    <w:p w14:paraId="04CDB8B6" w14:textId="18458D67" w:rsidR="00F05C29" w:rsidRDefault="0064622A" w:rsidP="00DB37C0">
      <w:pPr>
        <w:pStyle w:val="ParaLevel1"/>
      </w:pPr>
      <w:r>
        <w:t>By his 2020</w:t>
      </w:r>
      <w:r w:rsidR="00500B36">
        <w:t xml:space="preserve"> Judgment the Judge resolved these issues in </w:t>
      </w:r>
      <w:r w:rsidR="00AF4FA1">
        <w:t>D</w:t>
      </w:r>
      <w:r w:rsidR="00500B36">
        <w:t xml:space="preserve">r Mahmoud’s favour and declared that </w:t>
      </w:r>
      <w:r w:rsidR="000215FD">
        <w:t xml:space="preserve">Dr Mahmoud stands validly appointed </w:t>
      </w:r>
      <w:r w:rsidR="00735D45">
        <w:t>as Chairman of the Board of Directors having been so appointed by Resolution 1 on 15 July</w:t>
      </w:r>
      <w:r w:rsidR="00AF4FA1">
        <w:t xml:space="preserve"> 2017.  There has been no application for permission to appeal </w:t>
      </w:r>
      <w:r w:rsidR="006C14FE">
        <w:t xml:space="preserve">that determination.  It therefore finally resolves the chairmanship issue </w:t>
      </w:r>
      <w:r w:rsidR="000716BE">
        <w:t>so far as the English Court and the English Assets are concerned</w:t>
      </w:r>
      <w:r w:rsidR="007A2167">
        <w:t xml:space="preserve">, </w:t>
      </w:r>
      <w:r w:rsidR="006C14FE">
        <w:t xml:space="preserve">subject to </w:t>
      </w:r>
      <w:r w:rsidR="00335035">
        <w:t>reconsideration</w:t>
      </w:r>
      <w:r w:rsidR="007A2167">
        <w:t>,</w:t>
      </w:r>
      <w:r w:rsidR="00335035">
        <w:t xml:space="preserve"> should this appeal be allowed</w:t>
      </w:r>
      <w:r w:rsidR="007A2167">
        <w:t>,</w:t>
      </w:r>
      <w:r w:rsidR="00335035">
        <w:t xml:space="preserve"> of the arguments precluded by his</w:t>
      </w:r>
      <w:r w:rsidR="00D57390">
        <w:t xml:space="preserve"> </w:t>
      </w:r>
      <w:r w:rsidR="00335035">
        <w:t>February</w:t>
      </w:r>
      <w:r w:rsidR="00DC6C0A">
        <w:t>,</w:t>
      </w:r>
      <w:r w:rsidR="00D57390">
        <w:t xml:space="preserve"> April and July Orders.</w:t>
      </w:r>
    </w:p>
    <w:p w14:paraId="6EFA440D" w14:textId="3F4E6496" w:rsidR="00AF19DB" w:rsidRDefault="00FD7535" w:rsidP="00DB37C0">
      <w:pPr>
        <w:pStyle w:val="ParaLevel1"/>
      </w:pPr>
      <w:r>
        <w:t xml:space="preserve">Although I have referred compendiously to </w:t>
      </w:r>
      <w:r w:rsidR="006E7E98">
        <w:t>his February</w:t>
      </w:r>
      <w:r w:rsidR="00DC6C0A">
        <w:t>,</w:t>
      </w:r>
      <w:r w:rsidR="006E7E98">
        <w:t xml:space="preserve"> April and July Orders, the appeal can conveniently be treated simply</w:t>
      </w:r>
      <w:r w:rsidR="0015203B">
        <w:t xml:space="preserve"> </w:t>
      </w:r>
      <w:r w:rsidR="006E7E98">
        <w:t>as an appeal from his July Order</w:t>
      </w:r>
      <w:r w:rsidR="00493956">
        <w:t xml:space="preserve"> striking out parts of the Position Statements.  </w:t>
      </w:r>
      <w:r w:rsidR="0015203B">
        <w:t xml:space="preserve">Moreover </w:t>
      </w:r>
      <w:r w:rsidR="005645CA">
        <w:t xml:space="preserve">it is important to keep in mind </w:t>
      </w:r>
      <w:r w:rsidR="0087589E">
        <w:t>the specific arguments which Mr Breish and Dr Hussein</w:t>
      </w:r>
      <w:r w:rsidR="00C717E4">
        <w:t xml:space="preserve"> wished to have been able to </w:t>
      </w:r>
      <w:r w:rsidR="00AC337C">
        <w:t xml:space="preserve">advance </w:t>
      </w:r>
      <w:r w:rsidR="00C717E4">
        <w:t xml:space="preserve">but were precluded from </w:t>
      </w:r>
      <w:r w:rsidR="00AC337C">
        <w:t xml:space="preserve">advancing </w:t>
      </w:r>
      <w:r w:rsidR="00B77405">
        <w:t>by the Judge’s ruling.</w:t>
      </w:r>
      <w:r w:rsidR="00C717E4">
        <w:t xml:space="preserve">  </w:t>
      </w:r>
      <w:r w:rsidR="00AF19DB">
        <w:t>They are twofold:</w:t>
      </w:r>
    </w:p>
    <w:p w14:paraId="7632A577" w14:textId="055CB013" w:rsidR="009624B1" w:rsidRDefault="00AF19DB" w:rsidP="00DB37C0">
      <w:pPr>
        <w:pStyle w:val="ParaLevel2"/>
      </w:pPr>
      <w:r>
        <w:t xml:space="preserve">The vote of confidence issue, as articulated in </w:t>
      </w:r>
      <w:r w:rsidR="00B9007F">
        <w:t xml:space="preserve">paragraph 12.5 of Mr Breish’s amended Position Statement and </w:t>
      </w:r>
      <w:r w:rsidR="00AA4638">
        <w:t>paragraph</w:t>
      </w:r>
      <w:r w:rsidR="006576F9">
        <w:t>s 16.4 and 16.5</w:t>
      </w:r>
      <w:r w:rsidR="0079272A">
        <w:t xml:space="preserve"> of Dr Hussein’s</w:t>
      </w:r>
      <w:r w:rsidR="005C1725">
        <w:t xml:space="preserve"> Addendum to Position Statement</w:t>
      </w:r>
      <w:r w:rsidR="006576F9">
        <w:t xml:space="preserve">.  These were repeated in paragraph 21 </w:t>
      </w:r>
      <w:r w:rsidR="00600106">
        <w:t xml:space="preserve">and 50.1 &amp; 50.2 of </w:t>
      </w:r>
      <w:r w:rsidR="009624B1">
        <w:t xml:space="preserve">their respective skeleton arguments on the appeal. </w:t>
      </w:r>
    </w:p>
    <w:p w14:paraId="5432A62C" w14:textId="69E7CC00" w:rsidR="001D06AE" w:rsidRDefault="009624B1" w:rsidP="00DB37C0">
      <w:pPr>
        <w:pStyle w:val="ParaLevel2"/>
      </w:pPr>
      <w:r>
        <w:t>Additionally in Dr Hussei</w:t>
      </w:r>
      <w:r w:rsidR="001D06AE">
        <w:t>n</w:t>
      </w:r>
      <w:r>
        <w:t xml:space="preserve">’s case the </w:t>
      </w:r>
      <w:r w:rsidR="001D06AE">
        <w:t xml:space="preserve">consultation/approval </w:t>
      </w:r>
      <w:r>
        <w:t>issue</w:t>
      </w:r>
      <w:r w:rsidR="00E03AA5">
        <w:t xml:space="preserve"> identified at paragraph 16.6 of his </w:t>
      </w:r>
      <w:r w:rsidR="005C1725">
        <w:t xml:space="preserve">Addendum to </w:t>
      </w:r>
      <w:r w:rsidR="00E03AA5">
        <w:t>Position Statement and articulated again at paragraph 50.</w:t>
      </w:r>
      <w:r w:rsidR="00656BE1">
        <w:t>3</w:t>
      </w:r>
      <w:r w:rsidR="00E03AA5">
        <w:t xml:space="preserve"> of his skeleton argument on the appeal</w:t>
      </w:r>
      <w:r w:rsidR="001D06AE">
        <w:t xml:space="preserve">. </w:t>
      </w:r>
    </w:p>
    <w:p w14:paraId="5ACD052F" w14:textId="22619053" w:rsidR="00B77405" w:rsidRDefault="00B77405" w:rsidP="00DB37C0">
      <w:pPr>
        <w:pStyle w:val="ParaLevel1"/>
      </w:pPr>
      <w:r>
        <w:t>The issue in the appeal is simply whether the</w:t>
      </w:r>
      <w:r w:rsidR="00494C0F">
        <w:t xml:space="preserve"> one voice principle extends to these </w:t>
      </w:r>
      <w:r w:rsidR="005C1725">
        <w:t xml:space="preserve">two </w:t>
      </w:r>
      <w:r w:rsidR="00494C0F">
        <w:t xml:space="preserve">arguments.  I emphasise the point because the </w:t>
      </w:r>
      <w:r w:rsidR="00C21E35">
        <w:t xml:space="preserve">appellants’ </w:t>
      </w:r>
      <w:r w:rsidR="00494C0F">
        <w:t>argument before us ranged widely over</w:t>
      </w:r>
      <w:r w:rsidR="00571475">
        <w:t xml:space="preserve"> many areas of public international law </w:t>
      </w:r>
      <w:r w:rsidR="002A3E1C">
        <w:t>and ascended into generalities as to the scope of the doctrine</w:t>
      </w:r>
      <w:r w:rsidR="000A5FA7">
        <w:t xml:space="preserve"> </w:t>
      </w:r>
      <w:r w:rsidR="00571475">
        <w:t xml:space="preserve">which </w:t>
      </w:r>
      <w:r w:rsidR="000A5FA7">
        <w:t xml:space="preserve">were so far removed from any relevance to the specific issues </w:t>
      </w:r>
      <w:r w:rsidR="005C1725">
        <w:t xml:space="preserve">in the appeal that I found them of </w:t>
      </w:r>
      <w:r w:rsidR="00C042C2">
        <w:t xml:space="preserve">no assistance.  </w:t>
      </w:r>
    </w:p>
    <w:p w14:paraId="2CD15409" w14:textId="75162E39" w:rsidR="00CF680B" w:rsidRPr="00BE1317" w:rsidRDefault="00CF680B" w:rsidP="00DB37C0">
      <w:pPr>
        <w:pStyle w:val="ParaLevel1"/>
        <w:numPr>
          <w:ilvl w:val="0"/>
          <w:numId w:val="0"/>
        </w:numPr>
        <w:rPr>
          <w:b/>
          <w:bCs/>
        </w:rPr>
      </w:pPr>
      <w:r w:rsidRPr="00BE1317">
        <w:rPr>
          <w:b/>
          <w:bCs/>
        </w:rPr>
        <w:t>Unequivocal recognition</w:t>
      </w:r>
    </w:p>
    <w:p w14:paraId="7E937958" w14:textId="2B28FA2F" w:rsidR="00C042C2" w:rsidRPr="00CF680B" w:rsidRDefault="00C042C2" w:rsidP="00DB37C0">
      <w:pPr>
        <w:pStyle w:val="ParaLevel1"/>
        <w:rPr>
          <w:b/>
          <w:bCs/>
        </w:rPr>
      </w:pPr>
      <w:r>
        <w:t>There is one further issue</w:t>
      </w:r>
      <w:r w:rsidR="00375946">
        <w:t xml:space="preserve"> which arises, and which it is convenient to deal with first.  </w:t>
      </w:r>
      <w:r w:rsidR="00C25F45">
        <w:t xml:space="preserve">In his February Judgment </w:t>
      </w:r>
      <w:r w:rsidR="00F01BBD">
        <w:t xml:space="preserve">the Judge held that the FCO letters constituted an unequivocal </w:t>
      </w:r>
      <w:r w:rsidR="001E5283">
        <w:t>statement that HMG recognised the GNA as the executive authority of the government of Libya</w:t>
      </w:r>
      <w:r w:rsidR="00961982">
        <w:t xml:space="preserve"> so as to engage the one voice doctrine.  </w:t>
      </w:r>
      <w:r w:rsidR="00E72D9B">
        <w:t xml:space="preserve">That had not been challenged by either Mr Breish or Dr Hussein, but it was necessary for the </w:t>
      </w:r>
      <w:r w:rsidR="00E53B73">
        <w:t xml:space="preserve">Judge to deal with it in order to </w:t>
      </w:r>
      <w:r w:rsidR="00E53B73">
        <w:lastRenderedPageBreak/>
        <w:t xml:space="preserve">grant the declaration sought.  </w:t>
      </w:r>
      <w:r w:rsidR="00EF584D">
        <w:t xml:space="preserve"> Consistently with his approach below, </w:t>
      </w:r>
      <w:r w:rsidR="00961982">
        <w:t xml:space="preserve">Mr Breish does not challenge that aspect of </w:t>
      </w:r>
      <w:r w:rsidR="00EF584D">
        <w:t xml:space="preserve">the Judge’s </w:t>
      </w:r>
      <w:r w:rsidR="00961982">
        <w:t>decision</w:t>
      </w:r>
      <w:r w:rsidR="009B2B8B">
        <w:t xml:space="preserve"> on this appeal.  Nor did </w:t>
      </w:r>
      <w:r w:rsidR="00961982">
        <w:t>Dr Huss</w:t>
      </w:r>
      <w:r w:rsidR="000A6394">
        <w:t>e</w:t>
      </w:r>
      <w:r w:rsidR="00961982">
        <w:t xml:space="preserve">in in his </w:t>
      </w:r>
      <w:r w:rsidR="00983642">
        <w:t xml:space="preserve">original </w:t>
      </w:r>
      <w:r w:rsidR="00961982">
        <w:t xml:space="preserve">grounds of </w:t>
      </w:r>
      <w:r w:rsidR="00123CE9">
        <w:t>appeal</w:t>
      </w:r>
      <w:r w:rsidR="00983642">
        <w:t xml:space="preserve">, but he sought to do so </w:t>
      </w:r>
      <w:r w:rsidR="00157C6F">
        <w:t xml:space="preserve">by </w:t>
      </w:r>
      <w:r w:rsidR="00123CE9">
        <w:t xml:space="preserve">an application </w:t>
      </w:r>
      <w:r w:rsidR="000C6FD2">
        <w:t xml:space="preserve">made very shortly before the hearing </w:t>
      </w:r>
      <w:r w:rsidR="00123CE9">
        <w:t>to amend the</w:t>
      </w:r>
      <w:r w:rsidR="00157C6F">
        <w:t xml:space="preserve"> grounds to do so, </w:t>
      </w:r>
      <w:r w:rsidR="00C54A2A">
        <w:t xml:space="preserve">accompanied by a replacement skeleton argument.  </w:t>
      </w:r>
      <w:r w:rsidR="004A5869">
        <w:t xml:space="preserve">Dr Mahmoud did not </w:t>
      </w:r>
      <w:r w:rsidR="00316577">
        <w:t xml:space="preserve">positively </w:t>
      </w:r>
      <w:r w:rsidR="004A5869">
        <w:t>object to the point being raised</w:t>
      </w:r>
      <w:r w:rsidR="001B0F30">
        <w:t xml:space="preserve">, and </w:t>
      </w:r>
      <w:r w:rsidR="00277F86">
        <w:t>helpfully dealt with it in a supplementary skeleton argument</w:t>
      </w:r>
      <w:r w:rsidR="00E72D9B">
        <w:t xml:space="preserve">.  We </w:t>
      </w:r>
      <w:r w:rsidR="001B0F30">
        <w:t>g</w:t>
      </w:r>
      <w:r w:rsidR="00436AC7">
        <w:t>ranted permission</w:t>
      </w:r>
      <w:r w:rsidR="00E72D9B">
        <w:t xml:space="preserve">.  </w:t>
      </w:r>
      <w:r w:rsidR="00330316">
        <w:t xml:space="preserve"> </w:t>
      </w:r>
    </w:p>
    <w:p w14:paraId="086041BB" w14:textId="60BA76D4" w:rsidR="00B674AE" w:rsidRDefault="00BE1317" w:rsidP="00DB37C0">
      <w:pPr>
        <w:pStyle w:val="ParaLevel1"/>
      </w:pPr>
      <w:r>
        <w:t xml:space="preserve">I have </w:t>
      </w:r>
      <w:r w:rsidR="003A08A4">
        <w:t>no</w:t>
      </w:r>
      <w:r>
        <w:t xml:space="preserve"> hesitation</w:t>
      </w:r>
      <w:r w:rsidR="00524963">
        <w:t xml:space="preserve"> </w:t>
      </w:r>
      <w:r>
        <w:t xml:space="preserve">in concluding that </w:t>
      </w:r>
      <w:r w:rsidR="00524963">
        <w:t xml:space="preserve">the </w:t>
      </w:r>
      <w:r w:rsidR="00316577">
        <w:t xml:space="preserve">Judge was right to hold </w:t>
      </w:r>
      <w:r w:rsidR="000A28B0">
        <w:t xml:space="preserve">that the </w:t>
      </w:r>
      <w:r w:rsidR="00524963">
        <w:t xml:space="preserve">FCO letters and the other evidence before </w:t>
      </w:r>
      <w:r w:rsidR="000A28B0">
        <w:t xml:space="preserve">him </w:t>
      </w:r>
      <w:r w:rsidR="00524963">
        <w:t xml:space="preserve">establish that </w:t>
      </w:r>
      <w:r w:rsidR="00385976">
        <w:t xml:space="preserve">HMG has </w:t>
      </w:r>
      <w:r w:rsidR="003E71DE">
        <w:t xml:space="preserve">unequivocally </w:t>
      </w:r>
      <w:r w:rsidR="00385976">
        <w:t>recognised the GNA as the executive body representing the government of Libya since at least</w:t>
      </w:r>
      <w:r w:rsidR="00260C0C">
        <w:t xml:space="preserve"> as far back as May 2017 and continues to do so.</w:t>
      </w:r>
    </w:p>
    <w:p w14:paraId="423CFC0A" w14:textId="64C6F07C" w:rsidR="00BF7829" w:rsidRDefault="00711089" w:rsidP="00DB37C0">
      <w:pPr>
        <w:pStyle w:val="ParaLevel1"/>
      </w:pPr>
      <w:r>
        <w:t>The Appellants</w:t>
      </w:r>
      <w:r w:rsidR="00665D4E">
        <w:t xml:space="preserve"> argued that it was important to </w:t>
      </w:r>
      <w:r w:rsidR="00A03345">
        <w:t xml:space="preserve">address this issue in the context of </w:t>
      </w:r>
      <w:r>
        <w:t>the change of policy announced in 1980 by HMG</w:t>
      </w:r>
      <w:r w:rsidR="00A03345">
        <w:t>,</w:t>
      </w:r>
      <w:r w:rsidR="002E70C4">
        <w:t xml:space="preserve"> which is set out in full in the </w:t>
      </w:r>
      <w:r w:rsidR="000A28B0">
        <w:t>j</w:t>
      </w:r>
      <w:r w:rsidR="002E70C4">
        <w:t xml:space="preserve">udgment of Lord Donaldson MR in </w:t>
      </w:r>
      <w:r w:rsidR="002E70C4" w:rsidRPr="00C75D4A">
        <w:rPr>
          <w:i/>
          <w:iCs/>
        </w:rPr>
        <w:t xml:space="preserve">Gur </w:t>
      </w:r>
      <w:r w:rsidR="00FE668E" w:rsidRPr="00C75D4A">
        <w:rPr>
          <w:i/>
          <w:iCs/>
        </w:rPr>
        <w:t xml:space="preserve">Corporation v Trust </w:t>
      </w:r>
      <w:r w:rsidR="00F67DB4" w:rsidRPr="00C75D4A">
        <w:rPr>
          <w:i/>
          <w:iCs/>
        </w:rPr>
        <w:t>B</w:t>
      </w:r>
      <w:r w:rsidR="00FE668E" w:rsidRPr="00C75D4A">
        <w:rPr>
          <w:i/>
          <w:iCs/>
        </w:rPr>
        <w:t>ank of Africa Ltd</w:t>
      </w:r>
      <w:r w:rsidR="00CC59DE" w:rsidRPr="00C75D4A">
        <w:rPr>
          <w:i/>
          <w:iCs/>
        </w:rPr>
        <w:t xml:space="preserve"> </w:t>
      </w:r>
      <w:r w:rsidR="00F67DB4">
        <w:t>[1987] 1 QB 599</w:t>
      </w:r>
      <w:r w:rsidR="00A52B5F">
        <w:t xml:space="preserve"> at </w:t>
      </w:r>
      <w:r w:rsidR="00B842C1">
        <w:t>pp. 619-6</w:t>
      </w:r>
      <w:r w:rsidR="00A03345">
        <w:t>2</w:t>
      </w:r>
      <w:r w:rsidR="00B842C1">
        <w:t xml:space="preserve">0. </w:t>
      </w:r>
      <w:r w:rsidR="004A010E">
        <w:t xml:space="preserve"> Previously </w:t>
      </w:r>
      <w:r w:rsidR="003E71DE">
        <w:t xml:space="preserve">HMG’s policy </w:t>
      </w:r>
      <w:r w:rsidR="004A010E">
        <w:t xml:space="preserve">had been to recognise both states and governments.  </w:t>
      </w:r>
      <w:r w:rsidR="00E54561">
        <w:t xml:space="preserve">Following a review of </w:t>
      </w:r>
      <w:r w:rsidR="003E71DE">
        <w:t xml:space="preserve">the </w:t>
      </w:r>
      <w:r w:rsidR="00E54561">
        <w:t xml:space="preserve">practices of </w:t>
      </w:r>
      <w:r w:rsidR="003E71DE">
        <w:t>other countrie</w:t>
      </w:r>
      <w:r w:rsidR="00CF680B">
        <w:t>s</w:t>
      </w:r>
      <w:r w:rsidR="003E71DE">
        <w:t xml:space="preserve">, </w:t>
      </w:r>
      <w:r w:rsidR="00E36D5B">
        <w:t xml:space="preserve">the </w:t>
      </w:r>
      <w:r w:rsidR="00DD49AC">
        <w:t xml:space="preserve">1980 </w:t>
      </w:r>
      <w:r w:rsidR="00E36D5B">
        <w:t xml:space="preserve">statement of policy was that </w:t>
      </w:r>
      <w:r w:rsidR="00D40988">
        <w:t xml:space="preserve">HMG would no </w:t>
      </w:r>
      <w:r w:rsidR="00EB67C3">
        <w:t>l</w:t>
      </w:r>
      <w:r w:rsidR="00D40988">
        <w:t>onger accord recognition to governments</w:t>
      </w:r>
      <w:r w:rsidR="00EB67C3">
        <w:t xml:space="preserve">.  This </w:t>
      </w:r>
      <w:r w:rsidR="00DD49AC">
        <w:t>included the following explanation for the change</w:t>
      </w:r>
      <w:r w:rsidR="00BF7829">
        <w:t>:</w:t>
      </w:r>
    </w:p>
    <w:p w14:paraId="60F4C720" w14:textId="01E341D7" w:rsidR="00394F1C" w:rsidRDefault="00BF7829" w:rsidP="009B5305">
      <w:pPr>
        <w:pStyle w:val="Quote"/>
      </w:pPr>
      <w:r>
        <w:t xml:space="preserve">“Where an </w:t>
      </w:r>
      <w:r w:rsidR="00394F1C">
        <w:t>unconstitutional change of regime takes place</w:t>
      </w:r>
      <w:r w:rsidR="00832365">
        <w:t xml:space="preserve"> in a recognised State, Governmen</w:t>
      </w:r>
      <w:r w:rsidR="0052077B">
        <w:t>t</w:t>
      </w:r>
      <w:r w:rsidR="00832365">
        <w:t>s of othe</w:t>
      </w:r>
      <w:r w:rsidR="0052077B">
        <w:t>r</w:t>
      </w:r>
      <w:r w:rsidR="00832365">
        <w:t xml:space="preserve"> States must necessarily </w:t>
      </w:r>
      <w:r w:rsidR="0052077B">
        <w:t>consider what dealings, if any, they will have with the ne</w:t>
      </w:r>
      <w:r w:rsidR="009C53F5">
        <w:t>w</w:t>
      </w:r>
      <w:r w:rsidR="0052077B">
        <w:t xml:space="preserve"> regime</w:t>
      </w:r>
      <w:r w:rsidR="00BA3FC6">
        <w:t>, and whether and to what extent it qualifies to be treated as the Government of the State concerned.</w:t>
      </w:r>
      <w:r w:rsidR="006A2EDD">
        <w:t xml:space="preserve">  Many of our partners and allies take the </w:t>
      </w:r>
      <w:r w:rsidR="00F6531C">
        <w:t>position that they do not recognise Governments and that therefore no question of recognition arises</w:t>
      </w:r>
      <w:r w:rsidR="00F73046">
        <w:t xml:space="preserve"> in such cases.  By contrast the policy of successive British Governments</w:t>
      </w:r>
      <w:r w:rsidR="00902EE5">
        <w:t xml:space="preserve"> has been that we should make and announce a decision</w:t>
      </w:r>
      <w:r w:rsidR="003B1EDE">
        <w:t xml:space="preserve"> formally </w:t>
      </w:r>
      <w:r w:rsidR="00CD791D">
        <w:t>‘</w:t>
      </w:r>
      <w:r w:rsidR="003B1EDE">
        <w:t>recognising</w:t>
      </w:r>
      <w:r w:rsidR="00673336">
        <w:t>’</w:t>
      </w:r>
      <w:r w:rsidR="003B1EDE">
        <w:t xml:space="preserve"> </w:t>
      </w:r>
      <w:r w:rsidR="00532B93">
        <w:t>the new Government.</w:t>
      </w:r>
    </w:p>
    <w:p w14:paraId="0F557D75" w14:textId="42D34698" w:rsidR="00532B93" w:rsidRDefault="00532B93" w:rsidP="009B5305">
      <w:pPr>
        <w:pStyle w:val="Quote"/>
      </w:pPr>
      <w:r>
        <w:t>This practice has sometimes been misunderstood</w:t>
      </w:r>
      <w:r w:rsidR="00AF5D72">
        <w:t>, and</w:t>
      </w:r>
      <w:r w:rsidR="00DC6C0A">
        <w:t>,</w:t>
      </w:r>
      <w:r w:rsidR="00AF5D72">
        <w:t xml:space="preserve"> despite explanations to the contrary</w:t>
      </w:r>
      <w:r w:rsidR="000C69FF">
        <w:t xml:space="preserve">, our </w:t>
      </w:r>
      <w:r w:rsidR="00673336">
        <w:t>‘</w:t>
      </w:r>
      <w:r w:rsidR="000C69FF">
        <w:t>recognition</w:t>
      </w:r>
      <w:r w:rsidR="00673336">
        <w:t>’</w:t>
      </w:r>
      <w:r w:rsidR="000C69FF">
        <w:t xml:space="preserve"> interpreted as implying approval.</w:t>
      </w:r>
      <w:r w:rsidR="007922C0">
        <w:t xml:space="preserve">  For example in circumstances where there might be legitimate public concern</w:t>
      </w:r>
      <w:r w:rsidR="009F3AAE">
        <w:t xml:space="preserve"> about the violation of human rights </w:t>
      </w:r>
      <w:r w:rsidR="00B12549">
        <w:t xml:space="preserve"> by the new</w:t>
      </w:r>
      <w:r w:rsidR="00B27BC4">
        <w:t xml:space="preserve"> regime, or the manner in which it achieved power, it has not sufficed to say</w:t>
      </w:r>
      <w:r w:rsidR="008D03B9">
        <w:t xml:space="preserve"> that an announcement of </w:t>
      </w:r>
      <w:r w:rsidR="00673336">
        <w:t>‘</w:t>
      </w:r>
      <w:r w:rsidR="008D03B9">
        <w:t>recognition</w:t>
      </w:r>
      <w:r w:rsidR="00673336">
        <w:t>’</w:t>
      </w:r>
      <w:r w:rsidR="008D03B9">
        <w:t xml:space="preserve"> is simply a neutral formality.</w:t>
      </w:r>
      <w:r w:rsidR="00CD791D">
        <w:t>”</w:t>
      </w:r>
      <w:r w:rsidR="00B12549">
        <w:t xml:space="preserve"> </w:t>
      </w:r>
    </w:p>
    <w:p w14:paraId="18C0EF55" w14:textId="1526C6E1" w:rsidR="00115FE6" w:rsidRDefault="00B12549" w:rsidP="00DB37C0">
      <w:pPr>
        <w:pStyle w:val="ParaLevel1"/>
      </w:pPr>
      <w:r>
        <w:t xml:space="preserve">There are limits to the </w:t>
      </w:r>
      <w:r w:rsidR="00D639B5">
        <w:t xml:space="preserve">significance </w:t>
      </w:r>
      <w:r w:rsidR="00EF3380">
        <w:t xml:space="preserve">of </w:t>
      </w:r>
      <w:r>
        <w:t xml:space="preserve">this policy statement in the current context.  </w:t>
      </w:r>
      <w:r w:rsidR="00F65669">
        <w:t>It is a truism that pol</w:t>
      </w:r>
      <w:r w:rsidR="00326DC5">
        <w:t>i</w:t>
      </w:r>
      <w:r w:rsidR="00F65669">
        <w:t>cy is a matter for each successive government</w:t>
      </w:r>
      <w:r w:rsidR="00EF3380">
        <w:t>;</w:t>
      </w:r>
      <w:r w:rsidR="00F65669">
        <w:t xml:space="preserve"> </w:t>
      </w:r>
      <w:r w:rsidR="00326DC5">
        <w:t>and w</w:t>
      </w:r>
      <w:r>
        <w:t xml:space="preserve">hat was </w:t>
      </w:r>
      <w:r w:rsidR="00413C98">
        <w:t xml:space="preserve">there </w:t>
      </w:r>
      <w:r>
        <w:t xml:space="preserve">being expressed was a </w:t>
      </w:r>
      <w:r w:rsidR="00413C98">
        <w:t xml:space="preserve">general </w:t>
      </w:r>
      <w:r>
        <w:t xml:space="preserve">policy in relation </w:t>
      </w:r>
      <w:r w:rsidR="00C86264">
        <w:t xml:space="preserve">to </w:t>
      </w:r>
      <w:r w:rsidR="0043216A">
        <w:t>routinely making declarat</w:t>
      </w:r>
      <w:r w:rsidR="00413C98">
        <w:t>i</w:t>
      </w:r>
      <w:r w:rsidR="0043216A">
        <w:t xml:space="preserve">ons of recognition </w:t>
      </w:r>
      <w:r w:rsidR="00413C98">
        <w:t>of governments</w:t>
      </w:r>
      <w:r w:rsidR="00BA7BD8">
        <w:t xml:space="preserve">. </w:t>
      </w:r>
      <w:r w:rsidR="00413C98">
        <w:t xml:space="preserve"> </w:t>
      </w:r>
      <w:r w:rsidR="008D3A9D">
        <w:t xml:space="preserve">As Mance J observed in </w:t>
      </w:r>
      <w:r w:rsidR="008D3A9D" w:rsidRPr="00BA7BD8">
        <w:rPr>
          <w:i/>
          <w:iCs/>
        </w:rPr>
        <w:t>Kuwait Airwa</w:t>
      </w:r>
      <w:r w:rsidR="00BF3966" w:rsidRPr="00BA7BD8">
        <w:rPr>
          <w:i/>
          <w:iCs/>
        </w:rPr>
        <w:t>y</w:t>
      </w:r>
      <w:r w:rsidR="008D3A9D" w:rsidRPr="00BA7BD8">
        <w:rPr>
          <w:i/>
          <w:iCs/>
        </w:rPr>
        <w:t xml:space="preserve">s Co v Iraqi Airways Co </w:t>
      </w:r>
      <w:r w:rsidR="00FF723F" w:rsidRPr="00EF3380">
        <w:t>[1999]</w:t>
      </w:r>
      <w:r w:rsidR="00FF723F">
        <w:t xml:space="preserve"> 1 LRC</w:t>
      </w:r>
      <w:r w:rsidR="00EF3380">
        <w:t xml:space="preserve"> </w:t>
      </w:r>
      <w:r w:rsidR="00BF3966">
        <w:t xml:space="preserve">223 at p. 267, </w:t>
      </w:r>
      <w:r w:rsidR="003E5036">
        <w:t>in a particular case</w:t>
      </w:r>
      <w:r w:rsidR="00BA7BD8">
        <w:t xml:space="preserve"> HMG </w:t>
      </w:r>
      <w:r w:rsidR="009808BA">
        <w:t>must remain free to take and to inform the court of a more categorical</w:t>
      </w:r>
      <w:r w:rsidR="003B6C16">
        <w:t xml:space="preserve"> attitude regarding recogni</w:t>
      </w:r>
      <w:r w:rsidR="008E7BB7">
        <w:t xml:space="preserve">tion </w:t>
      </w:r>
      <w:r w:rsidR="003B6C16">
        <w:t>or non</w:t>
      </w:r>
      <w:r w:rsidR="008E7BB7">
        <w:t>-</w:t>
      </w:r>
      <w:r w:rsidR="003B6C16">
        <w:t>recognition of a foreign government.</w:t>
      </w:r>
      <w:r w:rsidR="008E7BB7">
        <w:t xml:space="preserve"> </w:t>
      </w:r>
      <w:r w:rsidR="003E5036">
        <w:t xml:space="preserve"> </w:t>
      </w:r>
      <w:r w:rsidR="0043216A">
        <w:t xml:space="preserve">It does not follow </w:t>
      </w:r>
      <w:r w:rsidR="00C113C0">
        <w:t xml:space="preserve">from the general policy that </w:t>
      </w:r>
      <w:r w:rsidR="00B424DF">
        <w:t xml:space="preserve">there will </w:t>
      </w:r>
      <w:r w:rsidR="0043216A">
        <w:t xml:space="preserve">be reluctance to do so in </w:t>
      </w:r>
      <w:r w:rsidR="006B40E7">
        <w:t xml:space="preserve">some </w:t>
      </w:r>
      <w:r w:rsidR="00FF7B61">
        <w:t>individual cases</w:t>
      </w:r>
      <w:r w:rsidR="00115FE6">
        <w:t xml:space="preserve">.  </w:t>
      </w:r>
      <w:r w:rsidR="000E0ECF">
        <w:t>T</w:t>
      </w:r>
      <w:r w:rsidR="006B40E7">
        <w:t xml:space="preserve">he given rationale for </w:t>
      </w:r>
      <w:r w:rsidR="000E0ECF">
        <w:t xml:space="preserve">reluctance </w:t>
      </w:r>
      <w:r w:rsidR="006B40E7">
        <w:t xml:space="preserve">would not arise in a case in which </w:t>
      </w:r>
      <w:r w:rsidR="00B424DF">
        <w:t xml:space="preserve">HMG </w:t>
      </w:r>
      <w:r w:rsidR="0028306F">
        <w:t xml:space="preserve">would not be concerned if such recognition were treated as approval of the new </w:t>
      </w:r>
      <w:r w:rsidR="00655BBA">
        <w:t>regime</w:t>
      </w:r>
      <w:r w:rsidR="000E0ECF">
        <w:t>.  It is clear from the evidenc</w:t>
      </w:r>
      <w:r w:rsidR="00873AFC">
        <w:t>e</w:t>
      </w:r>
      <w:r w:rsidR="000E0ECF">
        <w:t xml:space="preserve"> of the public support for</w:t>
      </w:r>
      <w:r w:rsidR="00873AFC">
        <w:t xml:space="preserve"> Prime Minister </w:t>
      </w:r>
      <w:r w:rsidR="00EF3380">
        <w:t>a</w:t>
      </w:r>
      <w:r w:rsidR="00873AFC">
        <w:t>l-S</w:t>
      </w:r>
      <w:r w:rsidR="001B48D9">
        <w:t>arraj</w:t>
      </w:r>
      <w:r w:rsidR="00873AFC">
        <w:t xml:space="preserve">’s GNA by HMG and the UN, some </w:t>
      </w:r>
      <w:r w:rsidR="00873AFC">
        <w:lastRenderedPageBreak/>
        <w:t xml:space="preserve">of which I refer to below, that this is such a case.  Moreover the </w:t>
      </w:r>
      <w:r w:rsidR="00C26FC3">
        <w:t xml:space="preserve">reluctance implicit in the general policy might give way where </w:t>
      </w:r>
      <w:r w:rsidR="0028306F">
        <w:t>it</w:t>
      </w:r>
      <w:r w:rsidR="006302AF">
        <w:t xml:space="preserve"> is </w:t>
      </w:r>
      <w:r w:rsidR="0028306F">
        <w:t>desirable to make a st</w:t>
      </w:r>
      <w:r w:rsidR="00FF7B61">
        <w:t xml:space="preserve">atement </w:t>
      </w:r>
      <w:r w:rsidR="0028306F">
        <w:t>of</w:t>
      </w:r>
      <w:r w:rsidR="007B61BC">
        <w:t xml:space="preserve"> reco</w:t>
      </w:r>
      <w:r w:rsidR="00FF7B61">
        <w:t>g</w:t>
      </w:r>
      <w:r w:rsidR="007B61BC">
        <w:t>nition o</w:t>
      </w:r>
      <w:r w:rsidR="004125B5">
        <w:t xml:space="preserve">f the </w:t>
      </w:r>
      <w:r w:rsidR="007B61BC">
        <w:t xml:space="preserve">de facto status </w:t>
      </w:r>
      <w:r w:rsidR="00C0663C">
        <w:t xml:space="preserve">of a government </w:t>
      </w:r>
      <w:r w:rsidR="00FF7B61">
        <w:t xml:space="preserve">for </w:t>
      </w:r>
      <w:r w:rsidR="007B61BC">
        <w:t xml:space="preserve">some </w:t>
      </w:r>
      <w:r w:rsidR="002241B7">
        <w:t xml:space="preserve">particular objective. </w:t>
      </w:r>
      <w:r w:rsidR="00C26FC3">
        <w:t xml:space="preserve">  </w:t>
      </w:r>
      <w:r w:rsidR="00B82CCD">
        <w:t xml:space="preserve">That also applies in the current context where the statements have been made </w:t>
      </w:r>
      <w:r w:rsidR="006302AF">
        <w:t xml:space="preserve">in order to assist in resolving the deadlock in </w:t>
      </w:r>
      <w:r w:rsidR="00857378">
        <w:t xml:space="preserve">the </w:t>
      </w:r>
      <w:r w:rsidR="006302AF">
        <w:t>LIA</w:t>
      </w:r>
      <w:r w:rsidR="00857378">
        <w:t xml:space="preserve">’s ability </w:t>
      </w:r>
      <w:r w:rsidR="007621ED">
        <w:t xml:space="preserve">to exercise </w:t>
      </w:r>
      <w:r w:rsidR="00543C87">
        <w:t>e</w:t>
      </w:r>
      <w:r w:rsidR="007621ED">
        <w:t xml:space="preserve">ffective control </w:t>
      </w:r>
      <w:r w:rsidR="00543C87">
        <w:t xml:space="preserve">as Libya’s sovereign wealth fund for the benefit of all the Libyan people, an objective which HMG and the UN have repeatedly </w:t>
      </w:r>
      <w:r w:rsidR="007F5389">
        <w:t>endorsed</w:t>
      </w:r>
      <w:r w:rsidR="00270CD8">
        <w:t xml:space="preserve"> in </w:t>
      </w:r>
      <w:r w:rsidR="002241B7">
        <w:t xml:space="preserve">public </w:t>
      </w:r>
      <w:r w:rsidR="00270CD8">
        <w:t>statements</w:t>
      </w:r>
      <w:r w:rsidR="004125B5">
        <w:t>,</w:t>
      </w:r>
      <w:r w:rsidR="00270CD8">
        <w:t xml:space="preserve"> some of which I refer to below.</w:t>
      </w:r>
      <w:r w:rsidR="00F65669">
        <w:t xml:space="preserve">  </w:t>
      </w:r>
      <w:r w:rsidR="000C7112">
        <w:t xml:space="preserve">Moreover </w:t>
      </w:r>
      <w:r w:rsidR="00195FB3">
        <w:t>it is not uncommon for the FCO to refer expressly to the 1980 policy in qualifying what is said in a statement</w:t>
      </w:r>
      <w:r w:rsidR="00CC7573">
        <w:t xml:space="preserve">, as it did for example in </w:t>
      </w:r>
      <w:r w:rsidR="00DE2DC2">
        <w:t xml:space="preserve">its </w:t>
      </w:r>
      <w:r w:rsidR="00D71D19">
        <w:t xml:space="preserve">statement in </w:t>
      </w:r>
      <w:r w:rsidR="00D71D19" w:rsidRPr="00D71D19">
        <w:rPr>
          <w:i/>
          <w:iCs/>
        </w:rPr>
        <w:t>Gur</w:t>
      </w:r>
      <w:r w:rsidR="006F732F">
        <w:rPr>
          <w:i/>
          <w:iCs/>
        </w:rPr>
        <w:t xml:space="preserve"> v Trust Bank</w:t>
      </w:r>
      <w:r w:rsidR="00DE2DC2">
        <w:t>.</w:t>
      </w:r>
      <w:r w:rsidR="00A75FD2">
        <w:t xml:space="preserve">  </w:t>
      </w:r>
      <w:r w:rsidR="00894F9D">
        <w:t>The absence of such qualification in this case</w:t>
      </w:r>
      <w:r w:rsidR="00A944B4">
        <w:t xml:space="preserve"> is a further indication that the </w:t>
      </w:r>
      <w:r w:rsidR="006D6685">
        <w:t xml:space="preserve">1980 </w:t>
      </w:r>
      <w:r w:rsidR="00A944B4">
        <w:t>policy is not a significant consideration.</w:t>
      </w:r>
    </w:p>
    <w:p w14:paraId="20411D56" w14:textId="575FA90E" w:rsidR="00A944B4" w:rsidRDefault="00A944B4" w:rsidP="00DB37C0">
      <w:pPr>
        <w:pStyle w:val="ParaLevel1"/>
      </w:pPr>
      <w:r>
        <w:t>Accordingly the</w:t>
      </w:r>
      <w:r w:rsidR="002C52FA">
        <w:t xml:space="preserve"> question whether there has or has not been an unequivocal recognition in</w:t>
      </w:r>
      <w:r w:rsidR="006D6685">
        <w:t xml:space="preserve"> </w:t>
      </w:r>
      <w:r w:rsidR="002C52FA">
        <w:t xml:space="preserve">this case falls to be determined from the terms of the two FCO letters and the public </w:t>
      </w:r>
      <w:r w:rsidR="00877534">
        <w:t>stance HMG has taken in its statements and conduct.</w:t>
      </w:r>
    </w:p>
    <w:p w14:paraId="239B40FC" w14:textId="6B0F7291" w:rsidR="00877534" w:rsidRDefault="00877534" w:rsidP="00DB37C0">
      <w:pPr>
        <w:pStyle w:val="ParaLevel1"/>
      </w:pPr>
      <w:r>
        <w:t xml:space="preserve">As to </w:t>
      </w:r>
      <w:r w:rsidR="007E2C26">
        <w:t>t</w:t>
      </w:r>
      <w:r>
        <w:t>he FCO letters:</w:t>
      </w:r>
    </w:p>
    <w:p w14:paraId="305ADE5B" w14:textId="3E6C02FD" w:rsidR="0007445E" w:rsidRDefault="004A5BD0" w:rsidP="00DB37C0">
      <w:pPr>
        <w:pStyle w:val="ParaLevel2"/>
      </w:pPr>
      <w:r>
        <w:t>T</w:t>
      </w:r>
      <w:r w:rsidR="0007445E">
        <w:t xml:space="preserve">he FCO letter of </w:t>
      </w:r>
      <w:r w:rsidR="001E19CB">
        <w:t xml:space="preserve">27 July 2018 </w:t>
      </w:r>
      <w:r>
        <w:t xml:space="preserve">states </w:t>
      </w:r>
      <w:r w:rsidR="001E19CB">
        <w:t>that “</w:t>
      </w:r>
      <w:r w:rsidR="001E19CB" w:rsidRPr="004A5D66">
        <w:t>Since the FCO letter of 2016, Prime Minister Fayez Al Sarraj has finalised the formation of the PC and the GNA.</w:t>
      </w:r>
      <w:r w:rsidR="001E19CB">
        <w:t xml:space="preserve">”  </w:t>
      </w:r>
      <w:r w:rsidR="00CF57E8">
        <w:t xml:space="preserve">In the light of the contents of the letter of 3 March 2016, quoted above, </w:t>
      </w:r>
      <w:r w:rsidR="007741BF">
        <w:t>t</w:t>
      </w:r>
      <w:r w:rsidR="001E19CB">
        <w:t xml:space="preserve">his is an unequivocal </w:t>
      </w:r>
      <w:r w:rsidR="000A44E6">
        <w:t xml:space="preserve">statement that the GNA has come into being as the </w:t>
      </w:r>
      <w:r w:rsidR="00E043D3">
        <w:t>government of Libya.</w:t>
      </w:r>
    </w:p>
    <w:p w14:paraId="6AAABB68" w14:textId="0DC85886" w:rsidR="00877534" w:rsidRDefault="007E2C26" w:rsidP="00DB37C0">
      <w:pPr>
        <w:pStyle w:val="ParaLevel2"/>
      </w:pPr>
      <w:r>
        <w:t xml:space="preserve">The statement that </w:t>
      </w:r>
      <w:r w:rsidR="00B658D0">
        <w:t xml:space="preserve">HMG supports </w:t>
      </w:r>
      <w:r w:rsidR="00A12A52">
        <w:t>the PC and GNA “as the legitimate</w:t>
      </w:r>
      <w:r w:rsidR="00135515">
        <w:t xml:space="preserve"> executive authorities of Libya” implies recognition of its effective status as the executive authority.  There was some debate in the course of argument as to </w:t>
      </w:r>
      <w:r w:rsidR="00640505">
        <w:t>what was meant by “legitimate”.  Ms Fatima QC argued that it did no</w:t>
      </w:r>
      <w:r w:rsidR="00792F02">
        <w:t>t</w:t>
      </w:r>
      <w:r w:rsidR="00640505">
        <w:t xml:space="preserve"> mean lawful</w:t>
      </w:r>
      <w:r w:rsidR="00195453">
        <w:t xml:space="preserve"> under local constitutional law, and that if it did, it went beyond the scope of the prero</w:t>
      </w:r>
      <w:r w:rsidR="005E39D9">
        <w:t xml:space="preserve">gative function of the executive which the one voice principle would oblige the courts to follow.  I am inclined to accept </w:t>
      </w:r>
      <w:r w:rsidR="003B6B78">
        <w:t xml:space="preserve">that argument.  However the concept of legitimacy </w:t>
      </w:r>
      <w:r w:rsidR="00CB6B37">
        <w:t xml:space="preserve">used in this context </w:t>
      </w:r>
      <w:r w:rsidR="003B6B78">
        <w:t>seem</w:t>
      </w:r>
      <w:r w:rsidR="00540C43">
        <w:t>s</w:t>
      </w:r>
      <w:r w:rsidR="003B6B78">
        <w:t xml:space="preserve"> to me to convey</w:t>
      </w:r>
      <w:r w:rsidR="00B8200D">
        <w:t xml:space="preserve"> </w:t>
      </w:r>
      <w:r w:rsidR="00E93B59">
        <w:t xml:space="preserve">at least </w:t>
      </w:r>
      <w:r w:rsidR="00B8200D">
        <w:t>recognition of de facto status as a government</w:t>
      </w:r>
      <w:r w:rsidR="00FF6BD0">
        <w:t>.</w:t>
      </w:r>
      <w:r w:rsidR="003A646C">
        <w:t xml:space="preserve">  Mr Sp</w:t>
      </w:r>
      <w:r w:rsidR="009253FF">
        <w:t>range QC argued that “support” did not necessarily connote recognition</w:t>
      </w:r>
      <w:r w:rsidR="00F13A9D">
        <w:t>; it was consistent with support of a process of progress towards government which had not yet occurred</w:t>
      </w:r>
      <w:r w:rsidR="009253FF">
        <w:t xml:space="preserve">.  However </w:t>
      </w:r>
      <w:r w:rsidR="00EF6273">
        <w:t xml:space="preserve">this is not an interpretation which can fairly be put upon it in the light of the other language used and the </w:t>
      </w:r>
      <w:r w:rsidR="00BF4262">
        <w:t>public statements and conduct of HMG more generally.</w:t>
      </w:r>
    </w:p>
    <w:p w14:paraId="75BCEA05" w14:textId="679F49EB" w:rsidR="00B74F1F" w:rsidRDefault="00FF6BD0" w:rsidP="00DB37C0">
      <w:pPr>
        <w:pStyle w:val="ParaLevel2"/>
      </w:pPr>
      <w:r>
        <w:t xml:space="preserve">This is supported by the </w:t>
      </w:r>
      <w:r w:rsidR="000C1C09">
        <w:t xml:space="preserve">endorsement </w:t>
      </w:r>
      <w:r w:rsidR="00BF4262">
        <w:t xml:space="preserve">in the FCO letter </w:t>
      </w:r>
      <w:r w:rsidR="000C1C09">
        <w:t xml:space="preserve">of the </w:t>
      </w:r>
      <w:r>
        <w:t>statement of the President</w:t>
      </w:r>
      <w:r w:rsidR="000C1C09">
        <w:t xml:space="preserve"> of the UN Security Council of </w:t>
      </w:r>
      <w:r w:rsidR="00FD3CD1">
        <w:t>14 December 2017</w:t>
      </w:r>
      <w:r w:rsidR="00A671DC">
        <w:t xml:space="preserve"> whereby </w:t>
      </w:r>
      <w:r w:rsidR="00540C43">
        <w:t xml:space="preserve">the </w:t>
      </w:r>
      <w:r w:rsidR="00A671DC">
        <w:t>GNA “exercises full oversight of national</w:t>
      </w:r>
      <w:r w:rsidR="000E25AC">
        <w:t xml:space="preserve"> economic institutions, which includes the LIA”.  Reference to the text of that statement shows that </w:t>
      </w:r>
      <w:r w:rsidR="004D0322">
        <w:t>“full oversight” includes “sole and effective</w:t>
      </w:r>
      <w:r w:rsidR="00C15800">
        <w:t xml:space="preserve"> oversight”.  This is a clear statement that </w:t>
      </w:r>
      <w:r w:rsidR="00540C43">
        <w:t xml:space="preserve">the </w:t>
      </w:r>
      <w:r w:rsidR="00C15800">
        <w:t xml:space="preserve">GNA is the organ of </w:t>
      </w:r>
      <w:r w:rsidR="003623D4">
        <w:t>government ex</w:t>
      </w:r>
      <w:r w:rsidR="00B74F1F">
        <w:t>e</w:t>
      </w:r>
      <w:r w:rsidR="003623D4">
        <w:t>rcising full and de facto control in the sphere with which this case is concerned, nam</w:t>
      </w:r>
      <w:r w:rsidR="00B74F1F">
        <w:t>e</w:t>
      </w:r>
      <w:r w:rsidR="003623D4">
        <w:t xml:space="preserve">ly the </w:t>
      </w:r>
      <w:r w:rsidR="00B74F1F">
        <w:t>oversight of the LIA.</w:t>
      </w:r>
    </w:p>
    <w:p w14:paraId="3296436B" w14:textId="5F074C67" w:rsidR="004B14A0" w:rsidRDefault="004B14A0" w:rsidP="00DB37C0">
      <w:pPr>
        <w:pStyle w:val="ParaLevel2"/>
      </w:pPr>
      <w:r>
        <w:t>The same is true of the similar language</w:t>
      </w:r>
      <w:r w:rsidR="00D27023">
        <w:t>, in both respects</w:t>
      </w:r>
      <w:r w:rsidR="00821394">
        <w:t xml:space="preserve"> referred to in (2) and (3)</w:t>
      </w:r>
      <w:r w:rsidR="00D27023">
        <w:t xml:space="preserve">, </w:t>
      </w:r>
      <w:r>
        <w:t xml:space="preserve">in the FCO letter of </w:t>
      </w:r>
      <w:r w:rsidR="00647989">
        <w:t>13 November 2018</w:t>
      </w:r>
      <w:r w:rsidR="00D27023">
        <w:t>.</w:t>
      </w:r>
      <w:r w:rsidR="00647989">
        <w:t xml:space="preserve"> </w:t>
      </w:r>
    </w:p>
    <w:p w14:paraId="360AF9F0" w14:textId="1915323C" w:rsidR="00DD0639" w:rsidRDefault="00DD0639" w:rsidP="00DB37C0">
      <w:pPr>
        <w:pStyle w:val="ParaLevel2"/>
      </w:pPr>
      <w:r>
        <w:lastRenderedPageBreak/>
        <w:t xml:space="preserve">The </w:t>
      </w:r>
      <w:r w:rsidR="004116ED">
        <w:t>13 Novem</w:t>
      </w:r>
      <w:r w:rsidR="0067256E">
        <w:t xml:space="preserve">ber </w:t>
      </w:r>
      <w:r w:rsidR="004116ED">
        <w:t xml:space="preserve">letter goes on to state that </w:t>
      </w:r>
      <w:r w:rsidR="0033388F">
        <w:t xml:space="preserve">“we </w:t>
      </w:r>
      <w:r w:rsidR="004116ED">
        <w:t>continue to recognise those appointed by the GNA</w:t>
      </w:r>
      <w:r w:rsidR="0033388F">
        <w:t>”</w:t>
      </w:r>
      <w:r w:rsidR="004116ED">
        <w:t xml:space="preserve"> </w:t>
      </w:r>
      <w:r w:rsidR="0067256E">
        <w:t>which confirms</w:t>
      </w:r>
      <w:r w:rsidR="0033388F">
        <w:t>,</w:t>
      </w:r>
      <w:r w:rsidR="0067256E">
        <w:t xml:space="preserve"> and is only consistent with</w:t>
      </w:r>
      <w:r w:rsidR="0033388F">
        <w:t>,</w:t>
      </w:r>
      <w:r w:rsidR="0067256E">
        <w:t xml:space="preserve"> recognition of the GNA as the government.  </w:t>
      </w:r>
    </w:p>
    <w:p w14:paraId="6A219AFE" w14:textId="7583ED7E" w:rsidR="00E7665E" w:rsidRDefault="00B74F1F" w:rsidP="00DB37C0">
      <w:pPr>
        <w:pStyle w:val="ParaLevel1"/>
      </w:pPr>
      <w:r>
        <w:t>Mr Sprange  re</w:t>
      </w:r>
      <w:r w:rsidR="0028173D">
        <w:t xml:space="preserve">lied upon the </w:t>
      </w:r>
      <w:r w:rsidR="00A0205C">
        <w:t>reference</w:t>
      </w:r>
      <w:r w:rsidR="00743037">
        <w:t xml:space="preserve"> in the UNSC President’s statement to the </w:t>
      </w:r>
      <w:r w:rsidR="0043527B">
        <w:t xml:space="preserve">GNA acting “in accordance with the [LPA]” in exercising </w:t>
      </w:r>
      <w:r w:rsidR="00082FAA">
        <w:t xml:space="preserve">full oversight.  </w:t>
      </w:r>
      <w:r w:rsidR="00A0205C">
        <w:t>This is not, however</w:t>
      </w:r>
      <w:r w:rsidR="00F60CB2">
        <w:t>,</w:t>
      </w:r>
      <w:r w:rsidR="00A0205C">
        <w:t xml:space="preserve"> to be treated</w:t>
      </w:r>
      <w:r w:rsidR="0028173D">
        <w:t xml:space="preserve">, </w:t>
      </w:r>
      <w:r w:rsidR="00A0205C">
        <w:t>as he wou</w:t>
      </w:r>
      <w:r w:rsidR="0028173D">
        <w:t>l</w:t>
      </w:r>
      <w:r w:rsidR="00A0205C">
        <w:t>d have it</w:t>
      </w:r>
      <w:r w:rsidR="0028173D">
        <w:t>,</w:t>
      </w:r>
      <w:r w:rsidR="00A0205C">
        <w:t xml:space="preserve"> as </w:t>
      </w:r>
      <w:r w:rsidR="009171A7">
        <w:t xml:space="preserve">HMG’s </w:t>
      </w:r>
      <w:r w:rsidR="00F93B44">
        <w:t>recognition being qualified an</w:t>
      </w:r>
      <w:r w:rsidR="0028173D">
        <w:t>d</w:t>
      </w:r>
      <w:r w:rsidR="00F93B44">
        <w:t xml:space="preserve"> limited to that which the GNA does which</w:t>
      </w:r>
      <w:r w:rsidR="0028173D">
        <w:t xml:space="preserve"> </w:t>
      </w:r>
      <w:r w:rsidR="00F93B44">
        <w:t>is in fact conformant with the terms of the LPA.  On the contrary it is</w:t>
      </w:r>
      <w:r w:rsidR="00033BD5">
        <w:t>,</w:t>
      </w:r>
      <w:r w:rsidR="00F93B44">
        <w:t xml:space="preserve"> to my mind</w:t>
      </w:r>
      <w:r w:rsidR="00033BD5">
        <w:t>,</w:t>
      </w:r>
      <w:r w:rsidR="00F93B44">
        <w:t xml:space="preserve"> </w:t>
      </w:r>
      <w:r w:rsidR="00DA3AFE">
        <w:t xml:space="preserve">HMG </w:t>
      </w:r>
      <w:r w:rsidR="001B6E18">
        <w:t xml:space="preserve">stating that it </w:t>
      </w:r>
      <w:r w:rsidR="00244B59">
        <w:t xml:space="preserve">regards </w:t>
      </w:r>
      <w:r w:rsidR="00B82A8E">
        <w:t xml:space="preserve">GNA as compliant with the LPA in its acts so as to treat them as the effective acts of </w:t>
      </w:r>
      <w:r w:rsidR="00543EA8">
        <w:t xml:space="preserve">the </w:t>
      </w:r>
      <w:r w:rsidR="00C96523">
        <w:t>body exercising executive authority for the government of Libya, i</w:t>
      </w:r>
      <w:r w:rsidR="00F60CB2">
        <w:t xml:space="preserve">.e. </w:t>
      </w:r>
      <w:r w:rsidR="00C96523">
        <w:t xml:space="preserve">as the </w:t>
      </w:r>
      <w:r w:rsidR="00E7665E">
        <w:t>de facto government of Libya in this sphere.</w:t>
      </w:r>
    </w:p>
    <w:p w14:paraId="3DC1DDBC" w14:textId="71333E45" w:rsidR="00E9502C" w:rsidRPr="00880AA1" w:rsidRDefault="001978A0" w:rsidP="00DB37C0">
      <w:pPr>
        <w:pStyle w:val="ParaLevel1"/>
        <w:rPr>
          <w:i/>
        </w:rPr>
      </w:pPr>
      <w:r>
        <w:rPr>
          <w:iCs/>
        </w:rPr>
        <w:t>Mr Sprange also complained</w:t>
      </w:r>
      <w:r w:rsidR="00CF680B">
        <w:rPr>
          <w:iCs/>
        </w:rPr>
        <w:t xml:space="preserve"> </w:t>
      </w:r>
      <w:r>
        <w:rPr>
          <w:iCs/>
        </w:rPr>
        <w:t xml:space="preserve">of the way in which the FCO letters had been procured, arguing that </w:t>
      </w:r>
      <w:r w:rsidR="004E5920">
        <w:rPr>
          <w:iCs/>
        </w:rPr>
        <w:t>it was inappropriate for them to be sought privately by one party following private meetings with officials in which a pa</w:t>
      </w:r>
      <w:r w:rsidR="00737FA7">
        <w:rPr>
          <w:iCs/>
        </w:rPr>
        <w:t>r</w:t>
      </w:r>
      <w:r w:rsidR="004E5920">
        <w:rPr>
          <w:iCs/>
        </w:rPr>
        <w:t xml:space="preserve">tial view of the dispute could be presented and in which </w:t>
      </w:r>
      <w:r w:rsidR="00737FA7">
        <w:rPr>
          <w:iCs/>
        </w:rPr>
        <w:t>other parties did not have an opportunity to</w:t>
      </w:r>
      <w:r w:rsidR="00067D12">
        <w:rPr>
          <w:iCs/>
        </w:rPr>
        <w:t xml:space="preserve"> put forward their views</w:t>
      </w:r>
      <w:r w:rsidR="00A140B1">
        <w:rPr>
          <w:iCs/>
        </w:rPr>
        <w:t xml:space="preserve"> or relevant materials</w:t>
      </w:r>
      <w:r w:rsidR="00067D12">
        <w:rPr>
          <w:iCs/>
        </w:rPr>
        <w:t xml:space="preserve">.  I am quite satisfied that no unfairness has resulted </w:t>
      </w:r>
      <w:r w:rsidR="007F7D22">
        <w:rPr>
          <w:iCs/>
        </w:rPr>
        <w:t xml:space="preserve">from the course taken in this case.  The first FCO letter recorded that </w:t>
      </w:r>
      <w:r w:rsidR="00C25B81">
        <w:rPr>
          <w:iCs/>
        </w:rPr>
        <w:t xml:space="preserve">the FCO </w:t>
      </w:r>
      <w:r w:rsidR="00455D06">
        <w:rPr>
          <w:iCs/>
        </w:rPr>
        <w:t>would normally set out its views in answer to a request from the court or a request from all parties</w:t>
      </w:r>
      <w:r w:rsidR="00BC6B32">
        <w:rPr>
          <w:iCs/>
        </w:rPr>
        <w:t xml:space="preserve">, but was doing so on this occasion in response </w:t>
      </w:r>
      <w:r w:rsidR="00DE15E8">
        <w:rPr>
          <w:iCs/>
        </w:rPr>
        <w:t xml:space="preserve">to </w:t>
      </w:r>
      <w:r w:rsidR="00BC6B32">
        <w:rPr>
          <w:iCs/>
        </w:rPr>
        <w:t xml:space="preserve">one party’s request </w:t>
      </w:r>
      <w:r w:rsidR="00DE15E8">
        <w:rPr>
          <w:iCs/>
        </w:rPr>
        <w:t>on</w:t>
      </w:r>
      <w:r w:rsidR="00BC6B32">
        <w:rPr>
          <w:iCs/>
        </w:rPr>
        <w:t xml:space="preserve"> the basis that the information set out was</w:t>
      </w:r>
      <w:r w:rsidR="00E17F0B">
        <w:rPr>
          <w:iCs/>
        </w:rPr>
        <w:t xml:space="preserve"> already a matter of public record.  </w:t>
      </w:r>
      <w:r w:rsidR="00C25B81">
        <w:rPr>
          <w:iCs/>
        </w:rPr>
        <w:t>The evidence in the case shows that to be</w:t>
      </w:r>
      <w:r w:rsidR="00E73A6D">
        <w:rPr>
          <w:iCs/>
        </w:rPr>
        <w:t xml:space="preserve"> fully justified.  The letters </w:t>
      </w:r>
      <w:r w:rsidR="00E17F0B">
        <w:rPr>
          <w:iCs/>
        </w:rPr>
        <w:t xml:space="preserve">followed a request to the Court from Flaux J in relation to the initial </w:t>
      </w:r>
      <w:r w:rsidR="0076716D">
        <w:rPr>
          <w:iCs/>
        </w:rPr>
        <w:t>rival claims to chairmanship of the LIA</w:t>
      </w:r>
      <w:r w:rsidR="009D0C3B">
        <w:rPr>
          <w:iCs/>
        </w:rPr>
        <w:t>,</w:t>
      </w:r>
      <w:r w:rsidR="0076716D">
        <w:rPr>
          <w:iCs/>
        </w:rPr>
        <w:t xml:space="preserve"> and the FCO knew that the letters were intended to be produced to the Court</w:t>
      </w:r>
      <w:r w:rsidR="00E73A6D">
        <w:rPr>
          <w:iCs/>
        </w:rPr>
        <w:t xml:space="preserve"> for the purposes of the current dispute</w:t>
      </w:r>
      <w:r w:rsidR="0076716D">
        <w:rPr>
          <w:iCs/>
        </w:rPr>
        <w:t>.  As such</w:t>
      </w:r>
      <w:r w:rsidR="008B22D5">
        <w:rPr>
          <w:iCs/>
        </w:rPr>
        <w:t xml:space="preserve"> one would expect them to </w:t>
      </w:r>
      <w:r w:rsidR="00346C9A">
        <w:rPr>
          <w:iCs/>
        </w:rPr>
        <w:t xml:space="preserve">contain </w:t>
      </w:r>
      <w:r w:rsidR="009139A8">
        <w:rPr>
          <w:iCs/>
        </w:rPr>
        <w:t xml:space="preserve">the carefully </w:t>
      </w:r>
      <w:r w:rsidR="00FD6783">
        <w:rPr>
          <w:iCs/>
        </w:rPr>
        <w:t xml:space="preserve">considered views of HMG </w:t>
      </w:r>
      <w:r w:rsidR="008B22D5">
        <w:rPr>
          <w:iCs/>
        </w:rPr>
        <w:t xml:space="preserve">for use in a public forum and possible widespread </w:t>
      </w:r>
      <w:r w:rsidR="009139A8">
        <w:rPr>
          <w:iCs/>
        </w:rPr>
        <w:t>dissemination, and their language confirms this impression</w:t>
      </w:r>
      <w:r w:rsidR="00E9502C">
        <w:rPr>
          <w:iCs/>
        </w:rPr>
        <w:t>.</w:t>
      </w:r>
      <w:r w:rsidR="009F4B5A" w:rsidRPr="009F4B5A">
        <w:rPr>
          <w:iCs/>
        </w:rPr>
        <w:t xml:space="preserve"> </w:t>
      </w:r>
      <w:r w:rsidR="009F4B5A">
        <w:rPr>
          <w:iCs/>
        </w:rPr>
        <w:t xml:space="preserve">  In fairness to Mr Sprange, this point was pressed only faintly</w:t>
      </w:r>
      <w:r w:rsidR="00C64991">
        <w:rPr>
          <w:iCs/>
        </w:rPr>
        <w:t>.  What I have said is also an answer to his reliance on passages in the notes of the meetings which pre</w:t>
      </w:r>
      <w:r w:rsidR="005B5AEE">
        <w:rPr>
          <w:iCs/>
        </w:rPr>
        <w:t>c</w:t>
      </w:r>
      <w:r w:rsidR="00C64991">
        <w:rPr>
          <w:iCs/>
        </w:rPr>
        <w:t>eded the letters.  The passages relied on do not in fact advance Dr Hussein’s case</w:t>
      </w:r>
      <w:r w:rsidR="005B5AEE">
        <w:rPr>
          <w:iCs/>
        </w:rPr>
        <w:t xml:space="preserve">, but </w:t>
      </w:r>
      <w:r w:rsidR="00C64991">
        <w:rPr>
          <w:iCs/>
        </w:rPr>
        <w:t>even if they did, I would be loath to accord them any significance</w:t>
      </w:r>
      <w:r w:rsidR="005B5AEE">
        <w:rPr>
          <w:iCs/>
        </w:rPr>
        <w:t xml:space="preserve"> when they were merely part of a general discussion to explore what the FCO might say which was then superseded by a carefully worded communication of the FCO’s position.  </w:t>
      </w:r>
    </w:p>
    <w:p w14:paraId="219A3047" w14:textId="5C7158CE" w:rsidR="00770CFC" w:rsidRPr="007C4C4D" w:rsidRDefault="00D733C3" w:rsidP="00DB37C0">
      <w:pPr>
        <w:pStyle w:val="ParaLevel1"/>
        <w:rPr>
          <w:i/>
        </w:rPr>
      </w:pPr>
      <w:r>
        <w:rPr>
          <w:iCs/>
        </w:rPr>
        <w:t xml:space="preserve">This construction of the two FCO letters is supported </w:t>
      </w:r>
      <w:r w:rsidR="00AB70F1">
        <w:rPr>
          <w:iCs/>
        </w:rPr>
        <w:t xml:space="preserve">by the </w:t>
      </w:r>
      <w:r w:rsidR="006D6685">
        <w:rPr>
          <w:iCs/>
        </w:rPr>
        <w:t>public statements and conduct of HMG</w:t>
      </w:r>
      <w:r w:rsidR="00AB70F1">
        <w:rPr>
          <w:iCs/>
        </w:rPr>
        <w:t xml:space="preserve">. </w:t>
      </w:r>
      <w:r w:rsidR="005B5AEE">
        <w:rPr>
          <w:iCs/>
        </w:rPr>
        <w:t xml:space="preserve"> </w:t>
      </w:r>
      <w:r w:rsidR="00AF22F7" w:rsidRPr="00AB70F1">
        <w:rPr>
          <w:iCs/>
        </w:rPr>
        <w:t xml:space="preserve">HMG </w:t>
      </w:r>
      <w:r w:rsidR="00704E43" w:rsidRPr="00AB70F1">
        <w:rPr>
          <w:iCs/>
        </w:rPr>
        <w:t xml:space="preserve">has full diplomatic relations with </w:t>
      </w:r>
      <w:r w:rsidR="00AB70F1">
        <w:rPr>
          <w:iCs/>
        </w:rPr>
        <w:t xml:space="preserve">representatives of </w:t>
      </w:r>
      <w:r w:rsidR="00D23F68" w:rsidRPr="00AB70F1">
        <w:rPr>
          <w:iCs/>
        </w:rPr>
        <w:t xml:space="preserve">the </w:t>
      </w:r>
      <w:r w:rsidR="00704E43" w:rsidRPr="00AB70F1">
        <w:rPr>
          <w:iCs/>
        </w:rPr>
        <w:t xml:space="preserve">GNA and has </w:t>
      </w:r>
      <w:r w:rsidR="00A62EF0" w:rsidRPr="00AB70F1">
        <w:rPr>
          <w:iCs/>
        </w:rPr>
        <w:t xml:space="preserve">maintained them throughout the relevant period, appointing </w:t>
      </w:r>
      <w:r w:rsidR="009D1EB3" w:rsidRPr="00AB70F1">
        <w:rPr>
          <w:iCs/>
        </w:rPr>
        <w:t xml:space="preserve">an ambassador </w:t>
      </w:r>
      <w:r w:rsidR="00E56B09" w:rsidRPr="00AB70F1">
        <w:rPr>
          <w:iCs/>
        </w:rPr>
        <w:t xml:space="preserve">with letters patent from the Queen addressed to Prime Minister </w:t>
      </w:r>
      <w:r w:rsidR="00A8724D" w:rsidRPr="00AB70F1">
        <w:rPr>
          <w:iCs/>
        </w:rPr>
        <w:t>a</w:t>
      </w:r>
      <w:r w:rsidR="00E56B09" w:rsidRPr="00AB70F1">
        <w:rPr>
          <w:iCs/>
        </w:rPr>
        <w:t>l</w:t>
      </w:r>
      <w:r w:rsidR="00186666" w:rsidRPr="00AB70F1">
        <w:rPr>
          <w:iCs/>
        </w:rPr>
        <w:t>-</w:t>
      </w:r>
      <w:r w:rsidR="00E56B09" w:rsidRPr="00AB70F1">
        <w:rPr>
          <w:iCs/>
        </w:rPr>
        <w:t xml:space="preserve">Sarraj as early as </w:t>
      </w:r>
      <w:r w:rsidR="0067052E" w:rsidRPr="00AB70F1">
        <w:rPr>
          <w:iCs/>
        </w:rPr>
        <w:t>18 December 2015.</w:t>
      </w:r>
      <w:r w:rsidR="007C4C4D">
        <w:rPr>
          <w:i/>
        </w:rPr>
        <w:t xml:space="preserve">  </w:t>
      </w:r>
      <w:r w:rsidR="00901DCB" w:rsidRPr="007C4C4D">
        <w:rPr>
          <w:iCs/>
        </w:rPr>
        <w:t xml:space="preserve">UN Security Council Resolution </w:t>
      </w:r>
      <w:r w:rsidR="00B35C0E" w:rsidRPr="007C4C4D">
        <w:rPr>
          <w:iCs/>
        </w:rPr>
        <w:t xml:space="preserve">2259 made on </w:t>
      </w:r>
      <w:r w:rsidR="00C13A8E" w:rsidRPr="007C4C4D">
        <w:rPr>
          <w:iCs/>
        </w:rPr>
        <w:t>23 December 2015</w:t>
      </w:r>
      <w:r w:rsidR="00DF6219" w:rsidRPr="007C4C4D">
        <w:rPr>
          <w:iCs/>
        </w:rPr>
        <w:t xml:space="preserve"> </w:t>
      </w:r>
      <w:r w:rsidR="007C4C4D" w:rsidRPr="007C4C4D">
        <w:rPr>
          <w:iCs/>
        </w:rPr>
        <w:t xml:space="preserve">had </w:t>
      </w:r>
      <w:r w:rsidR="00DF6219" w:rsidRPr="007C4C4D">
        <w:rPr>
          <w:iCs/>
        </w:rPr>
        <w:t>welcomed the signature of the LPA and the formation of the PC</w:t>
      </w:r>
      <w:r w:rsidR="005718EB" w:rsidRPr="007C4C4D">
        <w:rPr>
          <w:iCs/>
        </w:rPr>
        <w:t xml:space="preserve"> and called on all Me</w:t>
      </w:r>
      <w:r w:rsidR="00C13CA2" w:rsidRPr="007C4C4D">
        <w:rPr>
          <w:iCs/>
        </w:rPr>
        <w:t>m</w:t>
      </w:r>
      <w:r w:rsidR="005718EB" w:rsidRPr="007C4C4D">
        <w:rPr>
          <w:iCs/>
        </w:rPr>
        <w:t>ber States to engage constructively with the GNA</w:t>
      </w:r>
      <w:r w:rsidR="00616985" w:rsidRPr="007C4C4D">
        <w:rPr>
          <w:iCs/>
        </w:rPr>
        <w:t>.</w:t>
      </w:r>
      <w:r w:rsidR="00C11180" w:rsidRPr="007C4C4D">
        <w:rPr>
          <w:iCs/>
        </w:rPr>
        <w:t xml:space="preserve">  Paragraph 9 called on the GNA to protect the integrity and </w:t>
      </w:r>
      <w:r w:rsidR="00BF3FB9" w:rsidRPr="007C4C4D">
        <w:rPr>
          <w:iCs/>
        </w:rPr>
        <w:t xml:space="preserve">unity of the National Oil Company, the Central Bank </w:t>
      </w:r>
      <w:r w:rsidR="00186666" w:rsidRPr="007C4C4D">
        <w:rPr>
          <w:iCs/>
        </w:rPr>
        <w:t>o</w:t>
      </w:r>
      <w:r w:rsidR="00BF3FB9" w:rsidRPr="007C4C4D">
        <w:rPr>
          <w:iCs/>
        </w:rPr>
        <w:t>f Libya and the LIA</w:t>
      </w:r>
      <w:r w:rsidR="0047469C" w:rsidRPr="007C4C4D">
        <w:rPr>
          <w:iCs/>
        </w:rPr>
        <w:t>, and for these institutions to accept the authority of the GNA.</w:t>
      </w:r>
      <w:r w:rsidR="007C4C4D" w:rsidRPr="007C4C4D">
        <w:rPr>
          <w:i/>
        </w:rPr>
        <w:t xml:space="preserve">  </w:t>
      </w:r>
      <w:r w:rsidR="00040E59" w:rsidRPr="007C4C4D">
        <w:rPr>
          <w:iCs/>
        </w:rPr>
        <w:t xml:space="preserve">In a joint </w:t>
      </w:r>
      <w:r w:rsidR="00186666" w:rsidRPr="007C4C4D">
        <w:rPr>
          <w:iCs/>
        </w:rPr>
        <w:t xml:space="preserve">governmental </w:t>
      </w:r>
      <w:r w:rsidR="00040E59" w:rsidRPr="007C4C4D">
        <w:rPr>
          <w:iCs/>
        </w:rPr>
        <w:t>statement of 17 August 2016</w:t>
      </w:r>
      <w:r w:rsidR="00FD37AB" w:rsidRPr="007C4C4D">
        <w:rPr>
          <w:iCs/>
        </w:rPr>
        <w:t xml:space="preserve"> with the governments of France</w:t>
      </w:r>
      <w:r w:rsidR="00A864A1" w:rsidRPr="007C4C4D">
        <w:rPr>
          <w:iCs/>
        </w:rPr>
        <w:t>,</w:t>
      </w:r>
      <w:r w:rsidR="00FD37AB" w:rsidRPr="007C4C4D">
        <w:rPr>
          <w:iCs/>
        </w:rPr>
        <w:t xml:space="preserve"> Germany</w:t>
      </w:r>
      <w:r w:rsidR="00A864A1" w:rsidRPr="007C4C4D">
        <w:rPr>
          <w:iCs/>
        </w:rPr>
        <w:t>,</w:t>
      </w:r>
      <w:r w:rsidR="00FD37AB" w:rsidRPr="007C4C4D">
        <w:rPr>
          <w:iCs/>
        </w:rPr>
        <w:t xml:space="preserve"> Italy</w:t>
      </w:r>
      <w:r w:rsidR="00A864A1" w:rsidRPr="007C4C4D">
        <w:rPr>
          <w:iCs/>
        </w:rPr>
        <w:t>,</w:t>
      </w:r>
      <w:r w:rsidR="00FD37AB" w:rsidRPr="007C4C4D">
        <w:rPr>
          <w:iCs/>
        </w:rPr>
        <w:t xml:space="preserve"> Spain</w:t>
      </w:r>
      <w:r w:rsidR="00A864A1" w:rsidRPr="007C4C4D">
        <w:rPr>
          <w:iCs/>
        </w:rPr>
        <w:t>,</w:t>
      </w:r>
      <w:r w:rsidR="00FD37AB" w:rsidRPr="007C4C4D">
        <w:rPr>
          <w:iCs/>
        </w:rPr>
        <w:t xml:space="preserve"> and the United States of America</w:t>
      </w:r>
      <w:r w:rsidR="00040E59" w:rsidRPr="007C4C4D">
        <w:rPr>
          <w:iCs/>
        </w:rPr>
        <w:t>, HMG</w:t>
      </w:r>
      <w:r w:rsidR="00FD37AB" w:rsidRPr="007C4C4D">
        <w:rPr>
          <w:iCs/>
        </w:rPr>
        <w:t xml:space="preserve"> </w:t>
      </w:r>
      <w:r w:rsidR="00683819" w:rsidRPr="007C4C4D">
        <w:rPr>
          <w:iCs/>
        </w:rPr>
        <w:t>welcomed the announcement</w:t>
      </w:r>
      <w:r w:rsidR="001262BE" w:rsidRPr="007C4C4D">
        <w:rPr>
          <w:iCs/>
        </w:rPr>
        <w:t xml:space="preserve"> of the PC of the GNA appointing an Interim Steering Committee of the LIA</w:t>
      </w:r>
      <w:r w:rsidR="00FD37AB" w:rsidRPr="007C4C4D">
        <w:rPr>
          <w:iCs/>
        </w:rPr>
        <w:t xml:space="preserve">; </w:t>
      </w:r>
      <w:r w:rsidR="0047469C" w:rsidRPr="007C4C4D">
        <w:rPr>
          <w:iCs/>
        </w:rPr>
        <w:t xml:space="preserve">referred to </w:t>
      </w:r>
      <w:r w:rsidR="009967CE" w:rsidRPr="007C4C4D">
        <w:rPr>
          <w:iCs/>
        </w:rPr>
        <w:t>UNSC</w:t>
      </w:r>
      <w:r w:rsidR="007F2D25" w:rsidRPr="007C4C4D">
        <w:rPr>
          <w:iCs/>
        </w:rPr>
        <w:t xml:space="preserve"> Resolution 2259 stressing the need for the GNA to </w:t>
      </w:r>
      <w:r w:rsidR="002F58A9" w:rsidRPr="007C4C4D">
        <w:rPr>
          <w:iCs/>
        </w:rPr>
        <w:t xml:space="preserve">exercise sole and effective oversight over the </w:t>
      </w:r>
      <w:r w:rsidR="00CD30F0">
        <w:rPr>
          <w:iCs/>
        </w:rPr>
        <w:t>N</w:t>
      </w:r>
      <w:r w:rsidR="002F58A9" w:rsidRPr="007C4C4D">
        <w:rPr>
          <w:iCs/>
        </w:rPr>
        <w:t>ational Oil Company</w:t>
      </w:r>
      <w:r w:rsidR="001B1833" w:rsidRPr="007C4C4D">
        <w:rPr>
          <w:iCs/>
        </w:rPr>
        <w:t>, the Central Bank of Libya and the LIA</w:t>
      </w:r>
      <w:r w:rsidR="00FD37AB" w:rsidRPr="007C4C4D">
        <w:rPr>
          <w:iCs/>
        </w:rPr>
        <w:t xml:space="preserve">; </w:t>
      </w:r>
      <w:r w:rsidR="001B1833" w:rsidRPr="007C4C4D">
        <w:rPr>
          <w:iCs/>
        </w:rPr>
        <w:t xml:space="preserve">and called on all Libyans to support the GNA in preserving </w:t>
      </w:r>
      <w:r w:rsidR="00960321" w:rsidRPr="007C4C4D">
        <w:rPr>
          <w:iCs/>
        </w:rPr>
        <w:t xml:space="preserve">and protecting the </w:t>
      </w:r>
      <w:r w:rsidR="00960321" w:rsidRPr="007C4C4D">
        <w:rPr>
          <w:iCs/>
        </w:rPr>
        <w:lastRenderedPageBreak/>
        <w:t>independence of the Libyan Financial Institutions for the benefit of all Libyans.</w:t>
      </w:r>
      <w:r w:rsidR="007C4C4D">
        <w:rPr>
          <w:i/>
        </w:rPr>
        <w:t xml:space="preserve">  </w:t>
      </w:r>
      <w:r w:rsidR="00C80D77" w:rsidRPr="007C4C4D">
        <w:rPr>
          <w:iCs/>
        </w:rPr>
        <w:t xml:space="preserve">On </w:t>
      </w:r>
      <w:r w:rsidR="00454115" w:rsidRPr="007C4C4D">
        <w:rPr>
          <w:iCs/>
        </w:rPr>
        <w:t>19 April 2017 Ambassador Rycroft made the statement to the UNSC referred to in the FCO letter and quoted above.</w:t>
      </w:r>
      <w:r w:rsidR="007C4C4D">
        <w:rPr>
          <w:iCs/>
        </w:rPr>
        <w:t xml:space="preserve">  </w:t>
      </w:r>
      <w:r w:rsidR="00FB5ED1" w:rsidRPr="007C4C4D">
        <w:rPr>
          <w:iCs/>
        </w:rPr>
        <w:t xml:space="preserve">On 14 December </w:t>
      </w:r>
      <w:r w:rsidR="00B45CAB" w:rsidRPr="007C4C4D">
        <w:rPr>
          <w:iCs/>
        </w:rPr>
        <w:t xml:space="preserve">2017 </w:t>
      </w:r>
      <w:r w:rsidR="00FB5ED1" w:rsidRPr="007C4C4D">
        <w:rPr>
          <w:iCs/>
        </w:rPr>
        <w:t>the President of the UNSC m</w:t>
      </w:r>
      <w:r w:rsidR="00CD6E86" w:rsidRPr="007C4C4D">
        <w:rPr>
          <w:iCs/>
        </w:rPr>
        <w:t xml:space="preserve">ade the statement referred to in the </w:t>
      </w:r>
      <w:r w:rsidR="001326E4" w:rsidRPr="007C4C4D">
        <w:rPr>
          <w:iCs/>
        </w:rPr>
        <w:t>FCO letter and quoted above.</w:t>
      </w:r>
      <w:r w:rsidR="007C4C4D">
        <w:rPr>
          <w:i/>
        </w:rPr>
        <w:t xml:space="preserve">  </w:t>
      </w:r>
      <w:r w:rsidR="001326E4" w:rsidRPr="007C4C4D">
        <w:rPr>
          <w:iCs/>
        </w:rPr>
        <w:t>On 27</w:t>
      </w:r>
      <w:r w:rsidR="008E1828" w:rsidRPr="007C4C4D">
        <w:rPr>
          <w:iCs/>
        </w:rPr>
        <w:t xml:space="preserve"> June 2018 HMG was party to a further joint government statement </w:t>
      </w:r>
      <w:r w:rsidR="00445CD2" w:rsidRPr="007C4C4D">
        <w:rPr>
          <w:iCs/>
        </w:rPr>
        <w:t xml:space="preserve">focussing in particular on the </w:t>
      </w:r>
      <w:r w:rsidR="004D4837" w:rsidRPr="007C4C4D">
        <w:rPr>
          <w:iCs/>
        </w:rPr>
        <w:t xml:space="preserve">seizure of oil fields by </w:t>
      </w:r>
      <w:r w:rsidR="00FA4578" w:rsidRPr="007C4C4D">
        <w:rPr>
          <w:iCs/>
        </w:rPr>
        <w:t>parallel institutions not acting under the authority of the GNA</w:t>
      </w:r>
      <w:r w:rsidR="00FB5ED1" w:rsidRPr="007C4C4D">
        <w:rPr>
          <w:iCs/>
        </w:rPr>
        <w:t xml:space="preserve">. It emphasised </w:t>
      </w:r>
      <w:r w:rsidR="00225F51" w:rsidRPr="007C4C4D">
        <w:rPr>
          <w:iCs/>
        </w:rPr>
        <w:t xml:space="preserve">that these </w:t>
      </w:r>
      <w:r w:rsidR="00B22DC6" w:rsidRPr="007C4C4D">
        <w:rPr>
          <w:iCs/>
        </w:rPr>
        <w:t xml:space="preserve">facilities and revenues belonged to the Libyan people and as vital Libyan resources must remain under the </w:t>
      </w:r>
      <w:r w:rsidR="001F1DB3" w:rsidRPr="007C4C4D">
        <w:rPr>
          <w:iCs/>
        </w:rPr>
        <w:t>exclusive control of the National Oil Company and the sole oversight of the GNA</w:t>
      </w:r>
      <w:r w:rsidR="005C0F54" w:rsidRPr="007C4C4D">
        <w:rPr>
          <w:iCs/>
        </w:rPr>
        <w:t xml:space="preserve">.  </w:t>
      </w:r>
      <w:r w:rsidR="000D1B63" w:rsidRPr="007C4C4D">
        <w:rPr>
          <w:iCs/>
        </w:rPr>
        <w:t xml:space="preserve">On 19 July 2018 </w:t>
      </w:r>
      <w:r w:rsidR="007F4B46" w:rsidRPr="007C4C4D">
        <w:rPr>
          <w:iCs/>
        </w:rPr>
        <w:t>t</w:t>
      </w:r>
      <w:r w:rsidR="000D1B63" w:rsidRPr="007C4C4D">
        <w:rPr>
          <w:iCs/>
        </w:rPr>
        <w:t>he U</w:t>
      </w:r>
      <w:r w:rsidR="00121794" w:rsidRPr="007C4C4D">
        <w:rPr>
          <w:iCs/>
        </w:rPr>
        <w:t>N</w:t>
      </w:r>
      <w:r w:rsidR="007C4C4D">
        <w:rPr>
          <w:iCs/>
        </w:rPr>
        <w:t xml:space="preserve">SC </w:t>
      </w:r>
      <w:r w:rsidR="00315AC5" w:rsidRPr="007C4C4D">
        <w:rPr>
          <w:iCs/>
        </w:rPr>
        <w:t>reaffirm</w:t>
      </w:r>
      <w:r w:rsidR="007629BA" w:rsidRPr="007C4C4D">
        <w:rPr>
          <w:iCs/>
        </w:rPr>
        <w:t xml:space="preserve">ed </w:t>
      </w:r>
      <w:r w:rsidR="00315AC5" w:rsidRPr="007C4C4D">
        <w:rPr>
          <w:iCs/>
        </w:rPr>
        <w:t xml:space="preserve">the Council’s commitment </w:t>
      </w:r>
      <w:r w:rsidR="00FF552A" w:rsidRPr="007C4C4D">
        <w:rPr>
          <w:iCs/>
        </w:rPr>
        <w:t>to the sovereignty of Libya over its resources and stress</w:t>
      </w:r>
      <w:r w:rsidR="007629BA" w:rsidRPr="007C4C4D">
        <w:rPr>
          <w:iCs/>
        </w:rPr>
        <w:t>ed</w:t>
      </w:r>
      <w:r w:rsidR="00FF552A" w:rsidRPr="007C4C4D">
        <w:rPr>
          <w:iCs/>
        </w:rPr>
        <w:t xml:space="preserve"> </w:t>
      </w:r>
      <w:r w:rsidR="0074756B" w:rsidRPr="007C4C4D">
        <w:rPr>
          <w:iCs/>
        </w:rPr>
        <w:t xml:space="preserve">amongst other things the need for the </w:t>
      </w:r>
      <w:r w:rsidR="001F76B8">
        <w:rPr>
          <w:iCs/>
        </w:rPr>
        <w:t>GNA</w:t>
      </w:r>
      <w:r w:rsidR="00901201" w:rsidRPr="007C4C4D">
        <w:rPr>
          <w:iCs/>
        </w:rPr>
        <w:t xml:space="preserve"> to exercise sole and effective oversight over Libya’s economic and </w:t>
      </w:r>
      <w:r w:rsidR="006663BE" w:rsidRPr="007C4C4D">
        <w:rPr>
          <w:iCs/>
        </w:rPr>
        <w:t xml:space="preserve">financial institutions without prejudice to future constitutional arrangements pursuant to the </w:t>
      </w:r>
      <w:r w:rsidR="004602D9" w:rsidRPr="007C4C4D">
        <w:rPr>
          <w:iCs/>
        </w:rPr>
        <w:t>LPA</w:t>
      </w:r>
      <w:r w:rsidR="004602D9" w:rsidRPr="007C4C4D">
        <w:rPr>
          <w:i/>
        </w:rPr>
        <w:t>.</w:t>
      </w:r>
      <w:r w:rsidR="007C4C4D">
        <w:rPr>
          <w:i/>
        </w:rPr>
        <w:t xml:space="preserve">  </w:t>
      </w:r>
      <w:r w:rsidR="00121794" w:rsidRPr="007C4C4D">
        <w:rPr>
          <w:iCs/>
        </w:rPr>
        <w:t xml:space="preserve">On </w:t>
      </w:r>
      <w:r w:rsidR="009A2ACF" w:rsidRPr="007C4C4D">
        <w:rPr>
          <w:iCs/>
        </w:rPr>
        <w:t>5 Novem</w:t>
      </w:r>
      <w:r w:rsidR="00004591" w:rsidRPr="007C4C4D">
        <w:rPr>
          <w:iCs/>
        </w:rPr>
        <w:t>ber</w:t>
      </w:r>
      <w:r w:rsidR="009A2ACF" w:rsidRPr="007C4C4D">
        <w:rPr>
          <w:iCs/>
        </w:rPr>
        <w:t xml:space="preserve"> 2018 the UN</w:t>
      </w:r>
      <w:r w:rsidR="007C4C4D">
        <w:rPr>
          <w:iCs/>
        </w:rPr>
        <w:t xml:space="preserve">SC </w:t>
      </w:r>
      <w:r w:rsidR="009A2ACF" w:rsidRPr="007C4C4D">
        <w:rPr>
          <w:iCs/>
        </w:rPr>
        <w:t>passed Resolution 2441</w:t>
      </w:r>
      <w:r w:rsidR="00222464" w:rsidRPr="007C4C4D">
        <w:rPr>
          <w:iCs/>
        </w:rPr>
        <w:t xml:space="preserve"> involving renewed sanctions</w:t>
      </w:r>
      <w:r w:rsidR="00654A6E" w:rsidRPr="007C4C4D">
        <w:rPr>
          <w:iCs/>
        </w:rPr>
        <w:t xml:space="preserve">.  </w:t>
      </w:r>
      <w:r w:rsidR="00C21B6E" w:rsidRPr="007C4C4D">
        <w:rPr>
          <w:iCs/>
        </w:rPr>
        <w:t xml:space="preserve">It underlined “the primary responsibility of the GNA in taking </w:t>
      </w:r>
      <w:r w:rsidR="006601E8" w:rsidRPr="007C4C4D">
        <w:rPr>
          <w:iCs/>
        </w:rPr>
        <w:t xml:space="preserve">appropriate action to prevent the illicit export of </w:t>
      </w:r>
      <w:r w:rsidR="003D61AB" w:rsidRPr="007C4C4D">
        <w:rPr>
          <w:iCs/>
        </w:rPr>
        <w:t xml:space="preserve">petroleum, including </w:t>
      </w:r>
      <w:r w:rsidR="006601E8" w:rsidRPr="007C4C4D">
        <w:rPr>
          <w:iCs/>
        </w:rPr>
        <w:t xml:space="preserve">crude oil and </w:t>
      </w:r>
      <w:r w:rsidR="003D61AB" w:rsidRPr="007C4C4D">
        <w:rPr>
          <w:iCs/>
        </w:rPr>
        <w:t>refined</w:t>
      </w:r>
      <w:r w:rsidR="00694684" w:rsidRPr="007C4C4D">
        <w:rPr>
          <w:iCs/>
        </w:rPr>
        <w:t xml:space="preserve"> </w:t>
      </w:r>
      <w:r w:rsidR="006601E8" w:rsidRPr="007C4C4D">
        <w:rPr>
          <w:iCs/>
        </w:rPr>
        <w:t>petroleum products</w:t>
      </w:r>
      <w:r w:rsidR="00403912" w:rsidRPr="007C4C4D">
        <w:rPr>
          <w:iCs/>
        </w:rPr>
        <w:t xml:space="preserve"> </w:t>
      </w:r>
      <w:r w:rsidR="00B42C1B">
        <w:rPr>
          <w:iCs/>
        </w:rPr>
        <w:t xml:space="preserve">from Libya </w:t>
      </w:r>
      <w:r w:rsidR="00403912" w:rsidRPr="007C4C4D">
        <w:rPr>
          <w:iCs/>
        </w:rPr>
        <w:t xml:space="preserve">and </w:t>
      </w:r>
      <w:r w:rsidR="00694684" w:rsidRPr="007C4C4D">
        <w:rPr>
          <w:i/>
        </w:rPr>
        <w:t xml:space="preserve">reaffirming </w:t>
      </w:r>
      <w:r w:rsidR="00BE04F8" w:rsidRPr="007C4C4D">
        <w:rPr>
          <w:iCs/>
        </w:rPr>
        <w:t>the importance of international support for Libyan sovereignty over its territory and resources”</w:t>
      </w:r>
      <w:r w:rsidR="00EF296F" w:rsidRPr="007C4C4D">
        <w:rPr>
          <w:iCs/>
        </w:rPr>
        <w:t xml:space="preserve">.  It </w:t>
      </w:r>
      <w:r w:rsidR="00D2238F" w:rsidRPr="007C4C4D">
        <w:rPr>
          <w:iCs/>
        </w:rPr>
        <w:t xml:space="preserve">further urged member states to assist the GNA in an arms embargo on terrorist organisations, </w:t>
      </w:r>
      <w:r w:rsidR="00770CFC" w:rsidRPr="007C4C4D">
        <w:rPr>
          <w:iCs/>
        </w:rPr>
        <w:t>and in enforcing an asset freeze and travel ban against them.</w:t>
      </w:r>
      <w:r w:rsidR="0036563D" w:rsidRPr="007C4C4D">
        <w:rPr>
          <w:iCs/>
        </w:rPr>
        <w:t xml:space="preserve">  The same day the FCO published a statement </w:t>
      </w:r>
      <w:r w:rsidR="00C4779A" w:rsidRPr="007C4C4D">
        <w:rPr>
          <w:iCs/>
        </w:rPr>
        <w:t xml:space="preserve">which said amongst other things “We reiterate our support </w:t>
      </w:r>
      <w:r w:rsidR="00AE09D2" w:rsidRPr="007C4C4D">
        <w:rPr>
          <w:iCs/>
        </w:rPr>
        <w:t>to the Presidency Council and the Government of National Accord, headed by Prime Ministe</w:t>
      </w:r>
      <w:r w:rsidR="000B1890" w:rsidRPr="007C4C4D">
        <w:rPr>
          <w:iCs/>
        </w:rPr>
        <w:t>r</w:t>
      </w:r>
      <w:r w:rsidR="00AE09D2" w:rsidRPr="007C4C4D">
        <w:rPr>
          <w:iCs/>
        </w:rPr>
        <w:t xml:space="preserve"> </w:t>
      </w:r>
      <w:r w:rsidR="000B1890" w:rsidRPr="007C4C4D">
        <w:rPr>
          <w:iCs/>
        </w:rPr>
        <w:t>a</w:t>
      </w:r>
      <w:r w:rsidR="00AE09D2" w:rsidRPr="007C4C4D">
        <w:rPr>
          <w:iCs/>
        </w:rPr>
        <w:t>l-S</w:t>
      </w:r>
      <w:r w:rsidR="000B1890" w:rsidRPr="007C4C4D">
        <w:rPr>
          <w:iCs/>
        </w:rPr>
        <w:t>ar</w:t>
      </w:r>
      <w:r w:rsidR="007629BA" w:rsidRPr="007C4C4D">
        <w:rPr>
          <w:iCs/>
        </w:rPr>
        <w:t>r</w:t>
      </w:r>
      <w:r w:rsidR="000B1890" w:rsidRPr="007C4C4D">
        <w:rPr>
          <w:iCs/>
        </w:rPr>
        <w:t>aj, as the legitimate executive</w:t>
      </w:r>
      <w:r w:rsidR="008B6655" w:rsidRPr="007C4C4D">
        <w:rPr>
          <w:iCs/>
        </w:rPr>
        <w:t xml:space="preserve"> authorities under the Libyan political agreement.</w:t>
      </w:r>
      <w:r w:rsidR="007F4B46" w:rsidRPr="007C4C4D">
        <w:rPr>
          <w:iCs/>
        </w:rPr>
        <w:t>”</w:t>
      </w:r>
      <w:r w:rsidR="00222464" w:rsidRPr="007C4C4D">
        <w:rPr>
          <w:iCs/>
        </w:rPr>
        <w:t xml:space="preserve"> </w:t>
      </w:r>
    </w:p>
    <w:p w14:paraId="0B600F1B" w14:textId="678F2F4E" w:rsidR="009B6274" w:rsidRPr="009B6274" w:rsidRDefault="007F4B46" w:rsidP="00DB37C0">
      <w:pPr>
        <w:pStyle w:val="ParaLevel1"/>
        <w:rPr>
          <w:i/>
        </w:rPr>
      </w:pPr>
      <w:r>
        <w:rPr>
          <w:iCs/>
        </w:rPr>
        <w:t>These leave no ro</w:t>
      </w:r>
      <w:r w:rsidR="00924ADA">
        <w:rPr>
          <w:iCs/>
        </w:rPr>
        <w:t>o</w:t>
      </w:r>
      <w:r>
        <w:rPr>
          <w:iCs/>
        </w:rPr>
        <w:t xml:space="preserve">m for any doubt that </w:t>
      </w:r>
      <w:r w:rsidR="00924ADA">
        <w:rPr>
          <w:iCs/>
        </w:rPr>
        <w:t xml:space="preserve">HMG has recognised </w:t>
      </w:r>
      <w:r w:rsidR="00E25D40">
        <w:rPr>
          <w:iCs/>
        </w:rPr>
        <w:t xml:space="preserve">the GNA as the executive arm of government with sole </w:t>
      </w:r>
      <w:r w:rsidR="00E17978">
        <w:rPr>
          <w:iCs/>
        </w:rPr>
        <w:t xml:space="preserve">oversight of executive functions which include protection of Libya’s oil revenues and its financial institutions including the LIA.  </w:t>
      </w:r>
      <w:r w:rsidR="00924F74">
        <w:rPr>
          <w:iCs/>
        </w:rPr>
        <w:t>Mr Sprange submitted tha</w:t>
      </w:r>
      <w:r w:rsidR="000C3BC3">
        <w:rPr>
          <w:iCs/>
        </w:rPr>
        <w:t xml:space="preserve">t references to the LPA mean that HMG must also recognise the </w:t>
      </w:r>
      <w:r w:rsidR="00096D4A">
        <w:rPr>
          <w:iCs/>
        </w:rPr>
        <w:t xml:space="preserve">legislative authority of the HoR under the LPA.  </w:t>
      </w:r>
      <w:r w:rsidR="006136BF">
        <w:rPr>
          <w:iCs/>
        </w:rPr>
        <w:t xml:space="preserve">Whether or not that is so, however, </w:t>
      </w:r>
      <w:r w:rsidR="00096D4A">
        <w:rPr>
          <w:iCs/>
        </w:rPr>
        <w:t>is of no relevance to the current</w:t>
      </w:r>
      <w:r w:rsidR="00820FB2">
        <w:rPr>
          <w:iCs/>
        </w:rPr>
        <w:t xml:space="preserve"> dispute which concerns acts of the </w:t>
      </w:r>
      <w:r w:rsidR="00D50C23">
        <w:rPr>
          <w:iCs/>
        </w:rPr>
        <w:t>GNA</w:t>
      </w:r>
      <w:r w:rsidR="00820FB2">
        <w:rPr>
          <w:iCs/>
        </w:rPr>
        <w:t xml:space="preserve"> </w:t>
      </w:r>
      <w:r w:rsidR="008019FF">
        <w:rPr>
          <w:iCs/>
        </w:rPr>
        <w:t xml:space="preserve">which fall </w:t>
      </w:r>
      <w:r w:rsidR="00820FB2">
        <w:rPr>
          <w:iCs/>
        </w:rPr>
        <w:t>within the natural sphere of executive authority, and which are moreover treated as such by the LPA itself</w:t>
      </w:r>
      <w:r w:rsidR="00732004">
        <w:rPr>
          <w:iCs/>
        </w:rPr>
        <w:t xml:space="preserve">: </w:t>
      </w:r>
      <w:r w:rsidR="00820FB2">
        <w:rPr>
          <w:iCs/>
        </w:rPr>
        <w:t>Arti</w:t>
      </w:r>
      <w:r w:rsidR="00E67D5C">
        <w:rPr>
          <w:iCs/>
        </w:rPr>
        <w:t xml:space="preserve">cle </w:t>
      </w:r>
      <w:r w:rsidR="00F13352">
        <w:rPr>
          <w:iCs/>
        </w:rPr>
        <w:t>1</w:t>
      </w:r>
      <w:r w:rsidR="008571BB">
        <w:rPr>
          <w:iCs/>
        </w:rPr>
        <w:t xml:space="preserve">(2) assigns to </w:t>
      </w:r>
      <w:r w:rsidR="00732004">
        <w:rPr>
          <w:iCs/>
        </w:rPr>
        <w:t xml:space="preserve">the GNA </w:t>
      </w:r>
      <w:r w:rsidR="008571BB">
        <w:rPr>
          <w:iCs/>
        </w:rPr>
        <w:t xml:space="preserve">“the tasks of executive authority” and Article </w:t>
      </w:r>
      <w:r w:rsidR="00F13352">
        <w:rPr>
          <w:iCs/>
        </w:rPr>
        <w:t xml:space="preserve">9(1) </w:t>
      </w:r>
      <w:r w:rsidR="008644F7">
        <w:rPr>
          <w:iCs/>
        </w:rPr>
        <w:t>prov</w:t>
      </w:r>
      <w:r w:rsidR="0034093E">
        <w:rPr>
          <w:iCs/>
        </w:rPr>
        <w:t>i</w:t>
      </w:r>
      <w:r w:rsidR="008644F7">
        <w:rPr>
          <w:iCs/>
        </w:rPr>
        <w:t>des that the Council of Ministers will ensure normal functioning of public state institutions</w:t>
      </w:r>
      <w:r w:rsidR="00362509">
        <w:rPr>
          <w:iCs/>
        </w:rPr>
        <w:t xml:space="preserve"> and structures, which clearly encompasses the LIA. </w:t>
      </w:r>
      <w:r w:rsidR="0034093E">
        <w:rPr>
          <w:iCs/>
        </w:rPr>
        <w:t xml:space="preserve"> </w:t>
      </w:r>
      <w:r w:rsidR="00362509">
        <w:rPr>
          <w:iCs/>
        </w:rPr>
        <w:t xml:space="preserve">A valiant argument </w:t>
      </w:r>
      <w:r w:rsidR="00920DAD">
        <w:rPr>
          <w:iCs/>
        </w:rPr>
        <w:t xml:space="preserve">by Ms Fatima </w:t>
      </w:r>
      <w:r w:rsidR="00362509">
        <w:rPr>
          <w:iCs/>
        </w:rPr>
        <w:t xml:space="preserve">that the GNA exercised </w:t>
      </w:r>
      <w:r w:rsidR="009B6274">
        <w:rPr>
          <w:iCs/>
        </w:rPr>
        <w:t xml:space="preserve">some legislative </w:t>
      </w:r>
      <w:r w:rsidR="00362509">
        <w:rPr>
          <w:iCs/>
        </w:rPr>
        <w:t>functions</w:t>
      </w:r>
      <w:r w:rsidR="0034093E">
        <w:rPr>
          <w:iCs/>
        </w:rPr>
        <w:t>,</w:t>
      </w:r>
      <w:r w:rsidR="00362509">
        <w:rPr>
          <w:iCs/>
        </w:rPr>
        <w:t xml:space="preserve"> based on </w:t>
      </w:r>
      <w:r w:rsidR="000E3F60">
        <w:rPr>
          <w:iCs/>
        </w:rPr>
        <w:t xml:space="preserve">some Libyan law evidence before </w:t>
      </w:r>
      <w:r w:rsidR="00920DAD">
        <w:rPr>
          <w:iCs/>
        </w:rPr>
        <w:t xml:space="preserve">the Judge at the recent trial </w:t>
      </w:r>
      <w:r w:rsidR="000E3F60">
        <w:rPr>
          <w:iCs/>
        </w:rPr>
        <w:t>that GNA</w:t>
      </w:r>
      <w:r w:rsidR="00920DAD">
        <w:rPr>
          <w:iCs/>
        </w:rPr>
        <w:t xml:space="preserve"> resolutions were </w:t>
      </w:r>
      <w:r w:rsidR="00FB1CF5">
        <w:rPr>
          <w:iCs/>
        </w:rPr>
        <w:t xml:space="preserve">one of a series of sources of </w:t>
      </w:r>
      <w:r w:rsidR="00920DAD">
        <w:rPr>
          <w:iCs/>
        </w:rPr>
        <w:t>law</w:t>
      </w:r>
      <w:r w:rsidR="0034093E">
        <w:rPr>
          <w:iCs/>
        </w:rPr>
        <w:t>,</w:t>
      </w:r>
      <w:r w:rsidR="00B02A55">
        <w:rPr>
          <w:iCs/>
        </w:rPr>
        <w:t xml:space="preserve"> is nothing to the point.  What has been recognised is the GNA as a government in its proper sphere of executive author</w:t>
      </w:r>
      <w:r w:rsidR="009B6274">
        <w:rPr>
          <w:iCs/>
        </w:rPr>
        <w:t>i</w:t>
      </w:r>
      <w:r w:rsidR="00B02A55">
        <w:rPr>
          <w:iCs/>
        </w:rPr>
        <w:t>ty,</w:t>
      </w:r>
      <w:r w:rsidR="00FB1CF5">
        <w:rPr>
          <w:iCs/>
        </w:rPr>
        <w:t xml:space="preserve"> </w:t>
      </w:r>
      <w:r w:rsidR="00732004">
        <w:rPr>
          <w:iCs/>
        </w:rPr>
        <w:t xml:space="preserve">and such sphere </w:t>
      </w:r>
      <w:r w:rsidR="002C4A2A">
        <w:rPr>
          <w:iCs/>
        </w:rPr>
        <w:t xml:space="preserve">encompasses </w:t>
      </w:r>
      <w:r w:rsidR="00FB1CF5">
        <w:rPr>
          <w:iCs/>
        </w:rPr>
        <w:t>the acts in issue in this case</w:t>
      </w:r>
      <w:r w:rsidR="002C4A2A">
        <w:rPr>
          <w:iCs/>
        </w:rPr>
        <w:t xml:space="preserve">, namely the appointment of a Board of Trustees to oversee the </w:t>
      </w:r>
      <w:r w:rsidR="0075587D">
        <w:rPr>
          <w:iCs/>
        </w:rPr>
        <w:t xml:space="preserve">management of one of the key state institutions </w:t>
      </w:r>
      <w:r w:rsidR="002F5B46">
        <w:rPr>
          <w:iCs/>
        </w:rPr>
        <w:t xml:space="preserve">which manages state assets.     </w:t>
      </w:r>
    </w:p>
    <w:p w14:paraId="46E0136E" w14:textId="5BC6C219" w:rsidR="009460BA" w:rsidRPr="00AD734C" w:rsidRDefault="00CB37EC" w:rsidP="00DB37C0">
      <w:pPr>
        <w:pStyle w:val="ParaLevel1"/>
        <w:numPr>
          <w:ilvl w:val="0"/>
          <w:numId w:val="0"/>
        </w:numPr>
        <w:rPr>
          <w:b/>
          <w:bCs/>
          <w:iCs/>
        </w:rPr>
      </w:pPr>
      <w:r>
        <w:rPr>
          <w:b/>
          <w:bCs/>
          <w:iCs/>
        </w:rPr>
        <w:t>Application of t</w:t>
      </w:r>
      <w:r w:rsidR="009460BA" w:rsidRPr="00AD734C">
        <w:rPr>
          <w:b/>
          <w:bCs/>
          <w:iCs/>
        </w:rPr>
        <w:t xml:space="preserve">he </w:t>
      </w:r>
      <w:r>
        <w:rPr>
          <w:b/>
          <w:bCs/>
          <w:iCs/>
        </w:rPr>
        <w:t>o</w:t>
      </w:r>
      <w:r w:rsidR="009460BA" w:rsidRPr="00AD734C">
        <w:rPr>
          <w:b/>
          <w:bCs/>
          <w:iCs/>
        </w:rPr>
        <w:t>n</w:t>
      </w:r>
      <w:r w:rsidR="00A65505" w:rsidRPr="00AD734C">
        <w:rPr>
          <w:b/>
          <w:bCs/>
          <w:iCs/>
        </w:rPr>
        <w:t xml:space="preserve">e </w:t>
      </w:r>
      <w:r>
        <w:rPr>
          <w:b/>
          <w:bCs/>
          <w:iCs/>
        </w:rPr>
        <w:t>v</w:t>
      </w:r>
      <w:r w:rsidR="00A65505" w:rsidRPr="00AD734C">
        <w:rPr>
          <w:b/>
          <w:bCs/>
          <w:iCs/>
        </w:rPr>
        <w:t xml:space="preserve">oice </w:t>
      </w:r>
      <w:r>
        <w:rPr>
          <w:b/>
          <w:bCs/>
          <w:iCs/>
        </w:rPr>
        <w:t>p</w:t>
      </w:r>
      <w:r w:rsidR="00A65505" w:rsidRPr="00AD734C">
        <w:rPr>
          <w:b/>
          <w:bCs/>
          <w:iCs/>
        </w:rPr>
        <w:t>rinciple</w:t>
      </w:r>
    </w:p>
    <w:p w14:paraId="3A210FAB" w14:textId="77777777" w:rsidR="00114976" w:rsidRPr="00114976" w:rsidRDefault="00EA2392" w:rsidP="00DB37C0">
      <w:pPr>
        <w:pStyle w:val="ParaLevel1"/>
        <w:rPr>
          <w:i/>
        </w:rPr>
      </w:pPr>
      <w:r>
        <w:rPr>
          <w:iCs/>
        </w:rPr>
        <w:t xml:space="preserve">The central theme of the argument on behalf of Mr Breish and Dr Hussein was that the one voice principle does not prevent the </w:t>
      </w:r>
      <w:r w:rsidR="00A24879">
        <w:rPr>
          <w:iCs/>
        </w:rPr>
        <w:t>court from examining the lawfulness of the acts of the recognised government under local law; and therefore it is not engaged in the challenges</w:t>
      </w:r>
      <w:r w:rsidR="00F672EC">
        <w:rPr>
          <w:iCs/>
        </w:rPr>
        <w:t xml:space="preserve"> which they wish to make to the validity of Resolution 12 and/or Resolution 1 which are</w:t>
      </w:r>
      <w:r w:rsidR="00CF45E5">
        <w:rPr>
          <w:iCs/>
        </w:rPr>
        <w:t xml:space="preserve"> that they are invalid as a matter of Libyan law.  </w:t>
      </w:r>
    </w:p>
    <w:p w14:paraId="1071BE34" w14:textId="1C29A70D" w:rsidR="008A7F21" w:rsidRPr="000E3C33" w:rsidRDefault="00114976" w:rsidP="00DB37C0">
      <w:pPr>
        <w:pStyle w:val="ParaLevel1"/>
        <w:rPr>
          <w:i/>
        </w:rPr>
      </w:pPr>
      <w:r>
        <w:rPr>
          <w:iCs/>
        </w:rPr>
        <w:t xml:space="preserve">The </w:t>
      </w:r>
      <w:r w:rsidR="00E16E7C">
        <w:rPr>
          <w:iCs/>
        </w:rPr>
        <w:t>fallacy in th</w:t>
      </w:r>
      <w:r w:rsidR="00880AA1">
        <w:rPr>
          <w:iCs/>
        </w:rPr>
        <w:t xml:space="preserve">is line of reasoning </w:t>
      </w:r>
      <w:r w:rsidR="00CE71C8">
        <w:rPr>
          <w:iCs/>
        </w:rPr>
        <w:t xml:space="preserve">lies in the nature of the particular </w:t>
      </w:r>
      <w:r w:rsidR="00CC01A7">
        <w:rPr>
          <w:iCs/>
        </w:rPr>
        <w:t>challenges they wish to make</w:t>
      </w:r>
      <w:r w:rsidR="00EB2D68">
        <w:rPr>
          <w:iCs/>
        </w:rPr>
        <w:t xml:space="preserve"> and the particular reasons advanced for the invalidity under local law.</w:t>
      </w:r>
      <w:r w:rsidR="00CC01A7">
        <w:rPr>
          <w:iCs/>
        </w:rPr>
        <w:t xml:space="preserve">  </w:t>
      </w:r>
      <w:r w:rsidR="0043061B">
        <w:rPr>
          <w:iCs/>
        </w:rPr>
        <w:t xml:space="preserve">It </w:t>
      </w:r>
      <w:r w:rsidR="0043061B">
        <w:rPr>
          <w:iCs/>
        </w:rPr>
        <w:lastRenderedPageBreak/>
        <w:t xml:space="preserve">is right to say that the </w:t>
      </w:r>
      <w:r w:rsidR="009D419A">
        <w:rPr>
          <w:iCs/>
        </w:rPr>
        <w:t xml:space="preserve">one voice principle does </w:t>
      </w:r>
      <w:r w:rsidR="00ED13B6">
        <w:rPr>
          <w:iCs/>
        </w:rPr>
        <w:t xml:space="preserve">not </w:t>
      </w:r>
      <w:r w:rsidR="0014114F">
        <w:rPr>
          <w:iCs/>
        </w:rPr>
        <w:t xml:space="preserve">preclude </w:t>
      </w:r>
      <w:r w:rsidR="00776B69">
        <w:rPr>
          <w:iCs/>
        </w:rPr>
        <w:t>a</w:t>
      </w:r>
      <w:r w:rsidR="00F16035">
        <w:rPr>
          <w:iCs/>
        </w:rPr>
        <w:t xml:space="preserve">ll challenges </w:t>
      </w:r>
      <w:r w:rsidR="00776B69">
        <w:rPr>
          <w:iCs/>
        </w:rPr>
        <w:t xml:space="preserve">to the validity </w:t>
      </w:r>
      <w:r w:rsidR="003D0A39">
        <w:rPr>
          <w:iCs/>
        </w:rPr>
        <w:t xml:space="preserve">of the acts of </w:t>
      </w:r>
      <w:r w:rsidR="00ED13B6">
        <w:rPr>
          <w:iCs/>
        </w:rPr>
        <w:t xml:space="preserve">the </w:t>
      </w:r>
      <w:r w:rsidR="003D0A39">
        <w:rPr>
          <w:iCs/>
        </w:rPr>
        <w:t>government under local law.  Such challenge</w:t>
      </w:r>
      <w:r w:rsidR="00F16035">
        <w:rPr>
          <w:iCs/>
        </w:rPr>
        <w:t>s</w:t>
      </w:r>
      <w:r w:rsidR="003D0A39">
        <w:rPr>
          <w:iCs/>
        </w:rPr>
        <w:t xml:space="preserve"> may take as </w:t>
      </w:r>
      <w:r w:rsidR="00F16035">
        <w:rPr>
          <w:iCs/>
        </w:rPr>
        <w:t xml:space="preserve">their </w:t>
      </w:r>
      <w:r w:rsidR="003D0A39">
        <w:rPr>
          <w:iCs/>
        </w:rPr>
        <w:t>starting point that the government is the government of the state</w:t>
      </w:r>
      <w:r w:rsidR="0067341C">
        <w:rPr>
          <w:iCs/>
        </w:rPr>
        <w:t xml:space="preserve">.  </w:t>
      </w:r>
      <w:r w:rsidR="00752EE9">
        <w:rPr>
          <w:iCs/>
        </w:rPr>
        <w:t xml:space="preserve">From that starting point, </w:t>
      </w:r>
      <w:r w:rsidR="006E3147">
        <w:rPr>
          <w:iCs/>
        </w:rPr>
        <w:t>they proceed by arguing that an act of the government is unlawful or ineffective under local law.</w:t>
      </w:r>
      <w:r w:rsidR="00477DB0">
        <w:rPr>
          <w:iCs/>
        </w:rPr>
        <w:t xml:space="preserve"> </w:t>
      </w:r>
      <w:r w:rsidR="0067341C">
        <w:rPr>
          <w:iCs/>
        </w:rPr>
        <w:t xml:space="preserve">That is so of the arguments which the appellants have not been precluded from advancing </w:t>
      </w:r>
      <w:r w:rsidR="00ED13B6">
        <w:rPr>
          <w:iCs/>
        </w:rPr>
        <w:t>in this case</w:t>
      </w:r>
      <w:r w:rsidR="00FB5EB0">
        <w:rPr>
          <w:iCs/>
        </w:rPr>
        <w:t xml:space="preserve"> in their challenge to the validity of Resolution 12 and/or Resolution 1 under Libyan law</w:t>
      </w:r>
      <w:r w:rsidR="00B22448">
        <w:rPr>
          <w:iCs/>
        </w:rPr>
        <w:t>,</w:t>
      </w:r>
      <w:r w:rsidR="00ED13B6">
        <w:rPr>
          <w:iCs/>
        </w:rPr>
        <w:t xml:space="preserve"> </w:t>
      </w:r>
      <w:r w:rsidR="0067341C">
        <w:rPr>
          <w:iCs/>
        </w:rPr>
        <w:t xml:space="preserve">and which were considered by the Judge in his 2020 Judgment, such as abuse of power.  </w:t>
      </w:r>
      <w:r w:rsidR="002E6B6B">
        <w:rPr>
          <w:iCs/>
        </w:rPr>
        <w:t xml:space="preserve">However where the alleged unlawfulness does not take as its starting point </w:t>
      </w:r>
      <w:r w:rsidR="00EF5FC4">
        <w:rPr>
          <w:iCs/>
        </w:rPr>
        <w:t xml:space="preserve">that the government is the government, it inevitably conflicts with the recognition </w:t>
      </w:r>
      <w:r w:rsidR="00ED13B6">
        <w:rPr>
          <w:iCs/>
        </w:rPr>
        <w:t xml:space="preserve">given to the government by HMG </w:t>
      </w:r>
      <w:r w:rsidR="005F7325">
        <w:rPr>
          <w:iCs/>
        </w:rPr>
        <w:t>and engages t</w:t>
      </w:r>
      <w:r w:rsidR="00EF5FC4">
        <w:rPr>
          <w:iCs/>
        </w:rPr>
        <w:t>he one voice principle</w:t>
      </w:r>
      <w:r w:rsidR="00ED13B6">
        <w:rPr>
          <w:iCs/>
        </w:rPr>
        <w:t xml:space="preserve">.  The latter is the position in relation to the </w:t>
      </w:r>
      <w:r w:rsidR="00880AA1">
        <w:rPr>
          <w:iCs/>
        </w:rPr>
        <w:t xml:space="preserve">two </w:t>
      </w:r>
      <w:r w:rsidR="005F7325">
        <w:rPr>
          <w:iCs/>
        </w:rPr>
        <w:t>particular challenges which are the subject matter of the appea</w:t>
      </w:r>
      <w:r w:rsidR="00880AA1">
        <w:rPr>
          <w:iCs/>
        </w:rPr>
        <w:t xml:space="preserve">l. The vote of confidence issue involves asserting that the </w:t>
      </w:r>
      <w:r w:rsidR="00B57CDC">
        <w:rPr>
          <w:iCs/>
        </w:rPr>
        <w:t>GNA</w:t>
      </w:r>
      <w:r w:rsidR="00880AA1">
        <w:rPr>
          <w:iCs/>
        </w:rPr>
        <w:t xml:space="preserve"> is not and never has been the </w:t>
      </w:r>
      <w:r w:rsidR="00F85283">
        <w:rPr>
          <w:iCs/>
        </w:rPr>
        <w:t xml:space="preserve">executive authority of the </w:t>
      </w:r>
      <w:r w:rsidR="00880AA1">
        <w:rPr>
          <w:iCs/>
        </w:rPr>
        <w:t>government of</w:t>
      </w:r>
      <w:r w:rsidR="009F32DD">
        <w:rPr>
          <w:iCs/>
        </w:rPr>
        <w:t xml:space="preserve"> Libya because its term </w:t>
      </w:r>
      <w:r w:rsidR="008740FE">
        <w:rPr>
          <w:iCs/>
        </w:rPr>
        <w:t>could</w:t>
      </w:r>
      <w:r w:rsidR="009F32DD">
        <w:rPr>
          <w:iCs/>
        </w:rPr>
        <w:t xml:space="preserve"> not start without a vote of confidence</w:t>
      </w:r>
      <w:r w:rsidR="00FA2904">
        <w:rPr>
          <w:iCs/>
        </w:rPr>
        <w:t>.  That is stated in terms at paragraph (4) of the particu</w:t>
      </w:r>
      <w:r w:rsidR="00BD01B5">
        <w:rPr>
          <w:iCs/>
        </w:rPr>
        <w:t>lars</w:t>
      </w:r>
      <w:r w:rsidR="00FA2904">
        <w:rPr>
          <w:iCs/>
        </w:rPr>
        <w:t xml:space="preserve"> under paragraph 12.5 of Mr Breish’s amended Position Statement</w:t>
      </w:r>
      <w:r w:rsidR="009F32DD">
        <w:rPr>
          <w:iCs/>
        </w:rPr>
        <w:t xml:space="preserve">. The </w:t>
      </w:r>
      <w:r w:rsidR="00FA2904">
        <w:rPr>
          <w:iCs/>
        </w:rPr>
        <w:t xml:space="preserve">additional </w:t>
      </w:r>
      <w:r w:rsidR="00BB0946">
        <w:rPr>
          <w:iCs/>
        </w:rPr>
        <w:t>consultation</w:t>
      </w:r>
      <w:r w:rsidR="006A798A">
        <w:rPr>
          <w:iCs/>
        </w:rPr>
        <w:t xml:space="preserve">/approval issue </w:t>
      </w:r>
      <w:r w:rsidR="00FA2904">
        <w:rPr>
          <w:iCs/>
        </w:rPr>
        <w:t xml:space="preserve">raised by Dr Hussein </w:t>
      </w:r>
      <w:r w:rsidR="006A798A">
        <w:rPr>
          <w:iCs/>
        </w:rPr>
        <w:t xml:space="preserve">involves asserting that the </w:t>
      </w:r>
      <w:r w:rsidR="008740FE">
        <w:rPr>
          <w:iCs/>
        </w:rPr>
        <w:t>GNA</w:t>
      </w:r>
      <w:r w:rsidR="006A798A">
        <w:rPr>
          <w:iCs/>
        </w:rPr>
        <w:t xml:space="preserve"> is not the sole </w:t>
      </w:r>
      <w:r w:rsidR="00303F19">
        <w:rPr>
          <w:iCs/>
        </w:rPr>
        <w:t xml:space="preserve">effective </w:t>
      </w:r>
      <w:r w:rsidR="006A798A">
        <w:rPr>
          <w:iCs/>
        </w:rPr>
        <w:t xml:space="preserve">executive authority </w:t>
      </w:r>
      <w:r w:rsidR="00303F19">
        <w:rPr>
          <w:iCs/>
        </w:rPr>
        <w:t>of the government but that it shares executive power with the HoR</w:t>
      </w:r>
      <w:r w:rsidR="00F85283">
        <w:rPr>
          <w:iCs/>
        </w:rPr>
        <w:t>.  Both are inconsistent with</w:t>
      </w:r>
      <w:r w:rsidR="00B22448">
        <w:rPr>
          <w:iCs/>
        </w:rPr>
        <w:t xml:space="preserve">, </w:t>
      </w:r>
      <w:r w:rsidR="00F85283">
        <w:rPr>
          <w:iCs/>
        </w:rPr>
        <w:t>and irreconcilable with</w:t>
      </w:r>
      <w:r w:rsidR="00B22448">
        <w:rPr>
          <w:iCs/>
        </w:rPr>
        <w:t>,</w:t>
      </w:r>
      <w:r w:rsidR="00F85283">
        <w:rPr>
          <w:iCs/>
        </w:rPr>
        <w:t xml:space="preserve"> </w:t>
      </w:r>
      <w:r w:rsidR="00B16315">
        <w:rPr>
          <w:iCs/>
        </w:rPr>
        <w:t>the recognition afforded by HMG</w:t>
      </w:r>
      <w:r w:rsidR="00B22448">
        <w:rPr>
          <w:iCs/>
        </w:rPr>
        <w:t xml:space="preserve"> in this case</w:t>
      </w:r>
      <w:r w:rsidR="00B16315">
        <w:rPr>
          <w:iCs/>
        </w:rPr>
        <w:t xml:space="preserve">.  Were the </w:t>
      </w:r>
      <w:r w:rsidR="00342B2E">
        <w:rPr>
          <w:iCs/>
        </w:rPr>
        <w:t>Court to allow a challenge on this basis it would be speaking with a</w:t>
      </w:r>
      <w:r w:rsidR="00414BA1">
        <w:rPr>
          <w:iCs/>
        </w:rPr>
        <w:t xml:space="preserve"> second voice because an essential element of its reasoning would be to deny the </w:t>
      </w:r>
      <w:r w:rsidR="00D65A1E">
        <w:rPr>
          <w:iCs/>
        </w:rPr>
        <w:t xml:space="preserve">effect of </w:t>
      </w:r>
      <w:r w:rsidR="00414BA1">
        <w:rPr>
          <w:iCs/>
        </w:rPr>
        <w:t>HMG</w:t>
      </w:r>
      <w:r w:rsidR="00BD01B5">
        <w:rPr>
          <w:iCs/>
        </w:rPr>
        <w:t>’s recognition</w:t>
      </w:r>
      <w:r w:rsidR="00AE7E3B">
        <w:rPr>
          <w:iCs/>
        </w:rPr>
        <w:t xml:space="preserve"> of GNA as the sole executive authority</w:t>
      </w:r>
      <w:r w:rsidR="003B2971">
        <w:rPr>
          <w:iCs/>
        </w:rPr>
        <w:t>.</w:t>
      </w:r>
      <w:r w:rsidR="008A7F21" w:rsidRPr="001A036C">
        <w:rPr>
          <w:iCs/>
        </w:rPr>
        <w:t xml:space="preserve"> </w:t>
      </w:r>
    </w:p>
    <w:p w14:paraId="67A33363" w14:textId="6B68A13A" w:rsidR="00FA0CCE" w:rsidRPr="001A036C" w:rsidRDefault="003B2971" w:rsidP="00DB37C0">
      <w:pPr>
        <w:pStyle w:val="ParaLevel1"/>
        <w:rPr>
          <w:i/>
        </w:rPr>
      </w:pPr>
      <w:r w:rsidRPr="001A036C">
        <w:rPr>
          <w:iCs/>
        </w:rPr>
        <w:t>This short answer to the appeals seems to me self</w:t>
      </w:r>
      <w:r w:rsidR="00135BFE" w:rsidRPr="001A036C">
        <w:rPr>
          <w:iCs/>
        </w:rPr>
        <w:t>-</w:t>
      </w:r>
      <w:r w:rsidRPr="001A036C">
        <w:rPr>
          <w:iCs/>
        </w:rPr>
        <w:t>evident</w:t>
      </w:r>
      <w:r w:rsidR="00135BFE" w:rsidRPr="001A036C">
        <w:rPr>
          <w:iCs/>
        </w:rPr>
        <w:t xml:space="preserve">, but </w:t>
      </w:r>
      <w:r w:rsidR="00D341CB">
        <w:rPr>
          <w:iCs/>
        </w:rPr>
        <w:t xml:space="preserve">it is underscored by </w:t>
      </w:r>
      <w:r w:rsidR="009F01BE">
        <w:rPr>
          <w:iCs/>
        </w:rPr>
        <w:t>three</w:t>
      </w:r>
      <w:r w:rsidR="000E3C33">
        <w:rPr>
          <w:iCs/>
        </w:rPr>
        <w:t xml:space="preserve"> </w:t>
      </w:r>
      <w:r w:rsidR="00EE1881">
        <w:rPr>
          <w:iCs/>
        </w:rPr>
        <w:t xml:space="preserve">aspects of the </w:t>
      </w:r>
      <w:r w:rsidR="004072EE">
        <w:rPr>
          <w:iCs/>
        </w:rPr>
        <w:t xml:space="preserve">one voice </w:t>
      </w:r>
      <w:r w:rsidR="00960D1C" w:rsidRPr="001A036C">
        <w:rPr>
          <w:iCs/>
        </w:rPr>
        <w:t>principle</w:t>
      </w:r>
      <w:r w:rsidR="00D341CB">
        <w:rPr>
          <w:iCs/>
        </w:rPr>
        <w:t>.</w:t>
      </w:r>
    </w:p>
    <w:p w14:paraId="3F371432" w14:textId="111FC6B9" w:rsidR="00465721" w:rsidRPr="00824F6F" w:rsidRDefault="00FA0CCE" w:rsidP="00DB37C0">
      <w:pPr>
        <w:pStyle w:val="ParaLevel1"/>
        <w:rPr>
          <w:i/>
        </w:rPr>
      </w:pPr>
      <w:r>
        <w:rPr>
          <w:iCs/>
        </w:rPr>
        <w:t xml:space="preserve">First, </w:t>
      </w:r>
      <w:r w:rsidR="00EE1881">
        <w:rPr>
          <w:iCs/>
        </w:rPr>
        <w:t xml:space="preserve">it is </w:t>
      </w:r>
      <w:r w:rsidR="001A47E2">
        <w:rPr>
          <w:iCs/>
        </w:rPr>
        <w:t>well</w:t>
      </w:r>
      <w:r w:rsidR="00861314">
        <w:rPr>
          <w:iCs/>
        </w:rPr>
        <w:t>-</w:t>
      </w:r>
      <w:r w:rsidR="001A47E2">
        <w:rPr>
          <w:iCs/>
        </w:rPr>
        <w:t xml:space="preserve">established by authority </w:t>
      </w:r>
      <w:r w:rsidR="00861314">
        <w:rPr>
          <w:iCs/>
        </w:rPr>
        <w:t>that the one voice principle is en</w:t>
      </w:r>
      <w:r w:rsidR="00284C91">
        <w:rPr>
          <w:iCs/>
        </w:rPr>
        <w:t>g</w:t>
      </w:r>
      <w:r w:rsidR="00861314">
        <w:rPr>
          <w:iCs/>
        </w:rPr>
        <w:t>aged by recognition of f</w:t>
      </w:r>
      <w:r w:rsidR="00284C91">
        <w:rPr>
          <w:iCs/>
        </w:rPr>
        <w:t xml:space="preserve">oreign </w:t>
      </w:r>
      <w:r w:rsidR="00861314">
        <w:rPr>
          <w:iCs/>
        </w:rPr>
        <w:t>governments as de facto governments</w:t>
      </w:r>
      <w:r w:rsidR="00284C91">
        <w:rPr>
          <w:iCs/>
        </w:rPr>
        <w:t xml:space="preserve">, </w:t>
      </w:r>
      <w:r w:rsidR="008617BE">
        <w:rPr>
          <w:iCs/>
        </w:rPr>
        <w:t xml:space="preserve">and that </w:t>
      </w:r>
      <w:r w:rsidR="00FB0A9E">
        <w:rPr>
          <w:iCs/>
        </w:rPr>
        <w:t xml:space="preserve">such recognition says nothing about the </w:t>
      </w:r>
      <w:r w:rsidR="00D94B3B">
        <w:rPr>
          <w:iCs/>
        </w:rPr>
        <w:t xml:space="preserve">de jure status or constitutional lawfulness of the </w:t>
      </w:r>
      <w:r w:rsidR="00465721">
        <w:rPr>
          <w:iCs/>
        </w:rPr>
        <w:t xml:space="preserve">government under local law. </w:t>
      </w:r>
      <w:r w:rsidR="00B912BD">
        <w:rPr>
          <w:iCs/>
        </w:rPr>
        <w:t xml:space="preserve"> </w:t>
      </w:r>
      <w:r w:rsidR="00EB7E54">
        <w:rPr>
          <w:iCs/>
        </w:rPr>
        <w:t xml:space="preserve">Such recognition </w:t>
      </w:r>
      <w:r w:rsidR="0019158E">
        <w:rPr>
          <w:iCs/>
        </w:rPr>
        <w:t xml:space="preserve">of a de facto government is a </w:t>
      </w:r>
      <w:r w:rsidR="00EB7E54">
        <w:rPr>
          <w:iCs/>
        </w:rPr>
        <w:t xml:space="preserve">recognition of </w:t>
      </w:r>
      <w:r w:rsidR="000D0C61">
        <w:rPr>
          <w:iCs/>
        </w:rPr>
        <w:t xml:space="preserve">its </w:t>
      </w:r>
      <w:r w:rsidR="00EB7E54">
        <w:rPr>
          <w:iCs/>
        </w:rPr>
        <w:t xml:space="preserve">sovereignty.  </w:t>
      </w:r>
      <w:r w:rsidR="000D0C61">
        <w:rPr>
          <w:iCs/>
        </w:rPr>
        <w:t xml:space="preserve"> </w:t>
      </w:r>
      <w:r w:rsidR="00EB7E54">
        <w:rPr>
          <w:iCs/>
        </w:rPr>
        <w:t>Accordingly what</w:t>
      </w:r>
      <w:r w:rsidR="006F34DF">
        <w:rPr>
          <w:iCs/>
        </w:rPr>
        <w:t xml:space="preserve"> </w:t>
      </w:r>
      <w:r w:rsidR="00EB7E54">
        <w:rPr>
          <w:iCs/>
        </w:rPr>
        <w:t>the one voic</w:t>
      </w:r>
      <w:r w:rsidR="006F34DF">
        <w:rPr>
          <w:iCs/>
        </w:rPr>
        <w:t>e</w:t>
      </w:r>
      <w:r w:rsidR="00EB7E54">
        <w:rPr>
          <w:iCs/>
        </w:rPr>
        <w:t xml:space="preserve"> principle requires of the </w:t>
      </w:r>
      <w:r w:rsidR="006F34DF">
        <w:rPr>
          <w:iCs/>
        </w:rPr>
        <w:t>C</w:t>
      </w:r>
      <w:r w:rsidR="00664497">
        <w:rPr>
          <w:iCs/>
        </w:rPr>
        <w:t xml:space="preserve">ourt </w:t>
      </w:r>
      <w:r w:rsidR="006F34DF">
        <w:rPr>
          <w:iCs/>
        </w:rPr>
        <w:t xml:space="preserve">is that it should </w:t>
      </w:r>
      <w:r w:rsidR="00664497">
        <w:rPr>
          <w:iCs/>
        </w:rPr>
        <w:t>give effect to the sovereign</w:t>
      </w:r>
      <w:r w:rsidR="0053061A">
        <w:rPr>
          <w:iCs/>
        </w:rPr>
        <w:t>t</w:t>
      </w:r>
      <w:r w:rsidR="00664497">
        <w:rPr>
          <w:iCs/>
        </w:rPr>
        <w:t xml:space="preserve">y notwithstanding any </w:t>
      </w:r>
      <w:r w:rsidR="0053061A">
        <w:rPr>
          <w:iCs/>
        </w:rPr>
        <w:t xml:space="preserve">constitutional unlawfulness of the government so recognised.  </w:t>
      </w:r>
      <w:r w:rsidR="00B912BD">
        <w:rPr>
          <w:iCs/>
        </w:rPr>
        <w:t>Four cases illustrate the point</w:t>
      </w:r>
      <w:r w:rsidR="00824F6F">
        <w:rPr>
          <w:iCs/>
        </w:rPr>
        <w:t>.</w:t>
      </w:r>
    </w:p>
    <w:p w14:paraId="1E52F660" w14:textId="6CE3526C" w:rsidR="000C4BB7" w:rsidRDefault="000C4BB7" w:rsidP="00DB37C0">
      <w:pPr>
        <w:pStyle w:val="ParaLevel1"/>
      </w:pPr>
      <w:r>
        <w:t xml:space="preserve">In </w:t>
      </w:r>
      <w:r w:rsidRPr="000C4BB7">
        <w:rPr>
          <w:i/>
          <w:iCs/>
        </w:rPr>
        <w:t xml:space="preserve">Aksionairnoye Obschestvo Dlia Mechanicheskoyi Obrabotky Diereva A.M. Luther v James Sagor &amp; Co </w:t>
      </w:r>
      <w:r>
        <w:t xml:space="preserve">[1921] 3 KB 532 the Soviet Russian government had expropriated the plaintiff’s sawmill and timber by a decree in June 1918, and by its agents sold some of the timber to the defendant.  In upholding the defendant’s title, the Court of Appeal </w:t>
      </w:r>
      <w:r w:rsidR="005849CF">
        <w:t xml:space="preserve">treated </w:t>
      </w:r>
      <w:r>
        <w:t xml:space="preserve">the </w:t>
      </w:r>
      <w:r w:rsidR="006559FD">
        <w:t xml:space="preserve">status </w:t>
      </w:r>
      <w:r>
        <w:t xml:space="preserve">of the decree of expropriation </w:t>
      </w:r>
      <w:r w:rsidR="000913C3">
        <w:t xml:space="preserve">as a decree of the </w:t>
      </w:r>
      <w:r w:rsidR="001B3A35">
        <w:t xml:space="preserve">sovereign </w:t>
      </w:r>
      <w:r w:rsidR="009C6E05">
        <w:t>government of Russia</w:t>
      </w:r>
      <w:r w:rsidR="0081331F">
        <w:t xml:space="preserve">, and that being </w:t>
      </w:r>
      <w:r>
        <w:t>conclusively determined by a certificate from HMG’</w:t>
      </w:r>
      <w:r w:rsidR="008E12E6">
        <w:t xml:space="preserve">s </w:t>
      </w:r>
      <w:r>
        <w:t>Secretary of State for Foreign Affairs recognising the Soviet  government as the de facto government of Russia at the time.  Bankes LJ said at p. 543:</w:t>
      </w:r>
    </w:p>
    <w:p w14:paraId="6FC2897A" w14:textId="72FC1CEB" w:rsidR="000C4BB7" w:rsidRDefault="000C4BB7" w:rsidP="00086F38">
      <w:pPr>
        <w:pStyle w:val="Quote"/>
      </w:pPr>
      <w:r>
        <w:t>“The Government of this country having, to use the language just quoted, recognised the Soviet Government as the Government really in possession of the powers of sovereignty in Russia, the acts of that Government must be treated by the Courts of this country with all the respect due to the acts of a duly recognised foreign sovereign state.”</w:t>
      </w:r>
    </w:p>
    <w:p w14:paraId="1FB1EF83" w14:textId="7D43BEF5" w:rsidR="00DF6490" w:rsidRPr="00DF6490" w:rsidRDefault="00DF6490" w:rsidP="00DB37C0">
      <w:pPr>
        <w:pStyle w:val="ParaLevel1"/>
        <w:rPr>
          <w:i/>
        </w:rPr>
      </w:pPr>
      <w:r>
        <w:lastRenderedPageBreak/>
        <w:t>Warrington LJ at p. 548 referred to the letter from the Secretary of State as being “conclusive as to the status of the Soviet Government namely that it is an independent sovereign government” and “that it is well settled that the acts of an independent sovereign government in relation to property and persons within its jurisdiction cannot be questioned in the Courts of this country”.   He went on at p.</w:t>
      </w:r>
      <w:r w:rsidR="002E46E5">
        <w:t xml:space="preserve"> </w:t>
      </w:r>
      <w:r>
        <w:t>551 to say:</w:t>
      </w:r>
    </w:p>
    <w:p w14:paraId="083E25D2" w14:textId="664D72AB" w:rsidR="00DF6490" w:rsidRDefault="00DF6490" w:rsidP="00086F38">
      <w:pPr>
        <w:pStyle w:val="Quote"/>
      </w:pPr>
      <w:r>
        <w:t xml:space="preserve">“It is true that in this case </w:t>
      </w:r>
      <w:r w:rsidR="0084467B">
        <w:t>[</w:t>
      </w:r>
      <w:r w:rsidR="00357E00" w:rsidRPr="009D2C55">
        <w:rPr>
          <w:i/>
          <w:iCs/>
        </w:rPr>
        <w:t xml:space="preserve">Oetjen v Central Leather </w:t>
      </w:r>
      <w:r w:rsidR="002A6DF3" w:rsidRPr="009D2C55">
        <w:rPr>
          <w:i/>
          <w:iCs/>
        </w:rPr>
        <w:t>Co</w:t>
      </w:r>
      <w:r w:rsidR="002A6DF3">
        <w:t xml:space="preserve"> 246 U.S.</w:t>
      </w:r>
      <w:r w:rsidR="0084467B">
        <w:t xml:space="preserve"> 297] </w:t>
      </w:r>
      <w:r>
        <w:t xml:space="preserve">the Court is applying the principle to a government recognised as the de </w:t>
      </w:r>
      <w:r w:rsidR="00391B28">
        <w:t>j</w:t>
      </w:r>
      <w:r>
        <w:t xml:space="preserve">ure government, but in my opinion there is no difference for the present purpose between a government recognised as such de jure and one recognised de facto.  In the latter case, as well as the former, the government in question acquires the right to be treated by the recognising state as an independent sovereign state, </w:t>
      </w:r>
      <w:r w:rsidRPr="006F6F8B">
        <w:rPr>
          <w:i/>
          <w:iCs/>
        </w:rPr>
        <w:t xml:space="preserve">and none the less that our Government does not </w:t>
      </w:r>
      <w:r w:rsidR="00435544">
        <w:rPr>
          <w:i/>
          <w:iCs/>
        </w:rPr>
        <w:t xml:space="preserve">pretend </w:t>
      </w:r>
      <w:r w:rsidRPr="006F6F8B">
        <w:rPr>
          <w:i/>
          <w:iCs/>
        </w:rPr>
        <w:t>to express any opinion on the legality  or otherwise of the means by which its power has been obtained.</w:t>
      </w:r>
      <w:r>
        <w:t xml:space="preserve">  In fact I rather think a de jure government </w:t>
      </w:r>
      <w:r w:rsidR="009C03DF">
        <w:t xml:space="preserve">in international law </w:t>
      </w:r>
      <w:r>
        <w:t xml:space="preserve">means </w:t>
      </w:r>
      <w:r w:rsidR="009E7323">
        <w:t>“</w:t>
      </w:r>
      <w:r>
        <w:t>one which, in the opinion of the person using the phrase, ought to possess the powers of sovereignty, though at the time it may be deprived of them”; while a de</w:t>
      </w:r>
      <w:r w:rsidR="00391B28">
        <w:t xml:space="preserve"> </w:t>
      </w:r>
      <w:r>
        <w:t xml:space="preserve">facto government is one which is </w:t>
      </w:r>
      <w:r w:rsidR="00A361F1">
        <w:t>“</w:t>
      </w:r>
      <w:r>
        <w:t xml:space="preserve">really in possession of them, </w:t>
      </w:r>
      <w:r w:rsidRPr="006F6F8B">
        <w:rPr>
          <w:i/>
          <w:iCs/>
        </w:rPr>
        <w:t>although the possession may be wrongful</w:t>
      </w:r>
      <w:r>
        <w:t xml:space="preserve"> or precarious” [the citations being from Wheaton International Law 5</w:t>
      </w:r>
      <w:r w:rsidRPr="00202977">
        <w:rPr>
          <w:vertAlign w:val="superscript"/>
        </w:rPr>
        <w:t>th</w:t>
      </w:r>
      <w:r>
        <w:t xml:space="preserve"> Ed p 36]</w:t>
      </w:r>
      <w:r w:rsidR="006F6F8B">
        <w:t xml:space="preserve"> (Emphas</w:t>
      </w:r>
      <w:r w:rsidR="005B2F12">
        <w:t>is added)</w:t>
      </w:r>
      <w:r w:rsidR="00650045">
        <w:t>.</w:t>
      </w:r>
    </w:p>
    <w:p w14:paraId="18C2A4CA" w14:textId="7F5D036E" w:rsidR="00477B36" w:rsidRDefault="00477B36" w:rsidP="00DB37C0">
      <w:pPr>
        <w:pStyle w:val="ParaLevel1"/>
      </w:pPr>
      <w:r w:rsidRPr="00D341CB">
        <w:rPr>
          <w:i/>
          <w:iCs/>
        </w:rPr>
        <w:t>Bank of Ethiopia v National Bank of Egypt and Liguori</w:t>
      </w:r>
      <w:r>
        <w:t xml:space="preserve"> [1937] 1 Ch 513 was concerned with the aftermath of the Italian annexation of Ethiopia in May 1936.  The Italian government had issued a decree in June 1936 purporting to dissolve the Bank of Ethiopia and a liquidator was appointed.    The Bank of Ethiopia subsequently brought proceedings and the question in issue was whether such proceedings were competent in the face of the Italian decree purporting to dissolve it and </w:t>
      </w:r>
      <w:r w:rsidR="006366AD">
        <w:t xml:space="preserve">having been </w:t>
      </w:r>
      <w:r w:rsidR="00F55FB5">
        <w:t xml:space="preserve">brought </w:t>
      </w:r>
      <w:r>
        <w:t xml:space="preserve">without the consent of the liquidator.  There was before the court a certificate from </w:t>
      </w:r>
      <w:r w:rsidR="00F55FB5">
        <w:t xml:space="preserve">HMG’s </w:t>
      </w:r>
      <w:r>
        <w:t>Secretary of State for Foreign Affairs recognising the Italian government as the de facto government in December 1936</w:t>
      </w:r>
      <w:r w:rsidR="00F55FB5">
        <w:t xml:space="preserve">. </w:t>
      </w:r>
      <w:r w:rsidR="00602D1D">
        <w:t xml:space="preserve"> </w:t>
      </w:r>
      <w:r w:rsidR="00F55FB5">
        <w:t>Cl</w:t>
      </w:r>
      <w:r>
        <w:t>auson J said at p. 519:</w:t>
      </w:r>
    </w:p>
    <w:p w14:paraId="7E38A788" w14:textId="77777777" w:rsidR="00477B36" w:rsidRDefault="00477B36" w:rsidP="00086F38">
      <w:pPr>
        <w:pStyle w:val="Quote"/>
      </w:pPr>
      <w:r>
        <w:t>“the effect of that communication is that I am bound to treat the acts of the government which was so recognised as acts which cannot be impugned on the ground that it was not the rightful but a usurping government.”</w:t>
      </w:r>
    </w:p>
    <w:p w14:paraId="71A321CD" w14:textId="77777777" w:rsidR="003875B9" w:rsidRPr="003875B9" w:rsidRDefault="003875B9" w:rsidP="00DB37C0">
      <w:pPr>
        <w:pStyle w:val="ParaLevel1"/>
        <w:tabs>
          <w:tab w:val="num" w:pos="2061"/>
        </w:tabs>
        <w:rPr>
          <w:i/>
        </w:rPr>
      </w:pPr>
      <w:r>
        <w:t xml:space="preserve">It was argued that </w:t>
      </w:r>
      <w:r w:rsidRPr="003875B9">
        <w:rPr>
          <w:i/>
          <w:iCs/>
        </w:rPr>
        <w:t>Luther v Sagor</w:t>
      </w:r>
      <w:r>
        <w:t xml:space="preserve"> was inapplicable because the UK government still recognised the Emperor Haile Selassie, who had fled, as the de jure sovereign monarch of Ethiopia whilst recognising the Italian government at the time as the de facto government.  In rejecting this argument </w:t>
      </w:r>
      <w:bookmarkStart w:id="10" w:name="_Hlk39139090"/>
      <w:r>
        <w:t>Clauson J said at p.522:</w:t>
      </w:r>
    </w:p>
    <w:p w14:paraId="1A54A3C5" w14:textId="3B25C3C7" w:rsidR="003875B9" w:rsidRDefault="003875B9" w:rsidP="00086F38">
      <w:pPr>
        <w:pStyle w:val="Quote"/>
      </w:pPr>
      <w:r>
        <w:t xml:space="preserve">“The recognition of the fugitive Emperor as a de jure monarch appears to me to mean nothing but this, that while the recognised de facto government must </w:t>
      </w:r>
      <w:r w:rsidRPr="0022085D">
        <w:t>for all</w:t>
      </w:r>
      <w:r w:rsidRPr="00CC4E91">
        <w:rPr>
          <w:i/>
          <w:iCs/>
        </w:rPr>
        <w:t xml:space="preserve"> </w:t>
      </w:r>
      <w:r w:rsidRPr="00602D1D">
        <w:t>purposes</w:t>
      </w:r>
      <w:r w:rsidRPr="00CC4E91">
        <w:rPr>
          <w:i/>
          <w:iCs/>
        </w:rPr>
        <w:t>,</w:t>
      </w:r>
      <w:r>
        <w:t xml:space="preserve"> while continuing to occupy its de facto position, be treated as a duly recognised foreign sovereign state, His Majesty’s Government recognises that the de jure monarch has some right (not in fact at the moment </w:t>
      </w:r>
      <w:r>
        <w:lastRenderedPageBreak/>
        <w:t xml:space="preserve">enforceable) to reclaim the governmental control of which he has in fact been deprived.  Where, however, His Majesty’s Government has recognised a de facto government, there is, as it appears to me, no ground for suggesting that the de jure monarch’s theoretical rights (for ex hypothesi he has no practical power of enforcing them) can be taken into account </w:t>
      </w:r>
      <w:r w:rsidRPr="0022085D">
        <w:t>in any way</w:t>
      </w:r>
      <w:r>
        <w:t xml:space="preserve"> in any of His Majesty’s Courts.” </w:t>
      </w:r>
    </w:p>
    <w:bookmarkEnd w:id="10"/>
    <w:p w14:paraId="46684C0F" w14:textId="29F87D3C" w:rsidR="00406F15" w:rsidRPr="00406F15" w:rsidRDefault="00862529" w:rsidP="00DB37C0">
      <w:pPr>
        <w:pStyle w:val="ParaLevel1"/>
        <w:rPr>
          <w:iCs/>
        </w:rPr>
      </w:pPr>
      <w:r>
        <w:rPr>
          <w:iCs/>
        </w:rPr>
        <w:t xml:space="preserve">The dispute in </w:t>
      </w:r>
      <w:r w:rsidR="00406F15" w:rsidRPr="00862529">
        <w:rPr>
          <w:i/>
        </w:rPr>
        <w:t>Banco di Bilbao v Sancha</w:t>
      </w:r>
      <w:r w:rsidR="00406F15" w:rsidRPr="00406F15">
        <w:rPr>
          <w:iCs/>
        </w:rPr>
        <w:t xml:space="preserve"> [1938] 2 KB 176 arose out of the Spanish Civil War, </w:t>
      </w:r>
      <w:r>
        <w:rPr>
          <w:iCs/>
        </w:rPr>
        <w:t xml:space="preserve">which </w:t>
      </w:r>
      <w:r w:rsidR="00406F15" w:rsidRPr="00406F15">
        <w:rPr>
          <w:iCs/>
        </w:rPr>
        <w:t xml:space="preserve">was again a case in which there were in the relevant territory at the relevant time different governments recognised as the de facto government and the de jure government by </w:t>
      </w:r>
      <w:r w:rsidR="003E6045">
        <w:rPr>
          <w:iCs/>
        </w:rPr>
        <w:t>HMG.</w:t>
      </w:r>
      <w:r w:rsidR="00406F15" w:rsidRPr="00406F15">
        <w:rPr>
          <w:iCs/>
        </w:rPr>
        <w:t xml:space="preserve">   The bank in that case sought an injunction to restrain the two defendant employees </w:t>
      </w:r>
      <w:r w:rsidR="0090318F">
        <w:rPr>
          <w:iCs/>
        </w:rPr>
        <w:t xml:space="preserve">from </w:t>
      </w:r>
      <w:r w:rsidR="00406F15" w:rsidRPr="00406F15">
        <w:rPr>
          <w:iCs/>
        </w:rPr>
        <w:t>continuing to claim control of the London branch and authority to act on its behalf in London</w:t>
      </w:r>
      <w:r w:rsidR="0090318F">
        <w:rPr>
          <w:iCs/>
        </w:rPr>
        <w:t>,</w:t>
      </w:r>
      <w:r w:rsidR="00406F15" w:rsidRPr="00406F15">
        <w:rPr>
          <w:iCs/>
        </w:rPr>
        <w:t xml:space="preserve"> following the determination of their authority by a new board of directors in Spain appointed in substitution for the existing board by order of 5 January 1937 by the Basque State, an autonomous state constituted within the Spanish State in 1936</w:t>
      </w:r>
      <w:r w:rsidR="001347ED">
        <w:rPr>
          <w:iCs/>
        </w:rPr>
        <w:t xml:space="preserve">.  The </w:t>
      </w:r>
      <w:r w:rsidR="00406F15" w:rsidRPr="00406F15">
        <w:rPr>
          <w:iCs/>
        </w:rPr>
        <w:t xml:space="preserve">main issue </w:t>
      </w:r>
      <w:r w:rsidR="001347ED">
        <w:rPr>
          <w:iCs/>
        </w:rPr>
        <w:t xml:space="preserve">was </w:t>
      </w:r>
      <w:r w:rsidR="00406F15" w:rsidRPr="00406F15">
        <w:rPr>
          <w:iCs/>
        </w:rPr>
        <w:t xml:space="preserve">whether the decrees of the Basque Government were as a matter of Spanish law valid to constitute the new board of directors as the legal executive organ of the bank.  Lewis J held that they were not as a result of certain provisions in the Spanish Constitution.  </w:t>
      </w:r>
    </w:p>
    <w:p w14:paraId="2A3AB032" w14:textId="71C9AB45" w:rsidR="00406F15" w:rsidRPr="00406F15" w:rsidRDefault="00406F15" w:rsidP="00DB37C0">
      <w:pPr>
        <w:pStyle w:val="ParaLevel1"/>
        <w:rPr>
          <w:iCs/>
        </w:rPr>
      </w:pPr>
      <w:r w:rsidRPr="00406F15">
        <w:rPr>
          <w:iCs/>
        </w:rPr>
        <w:t>The outcome of the appeal turned on entirely different issues because events had moved on in two respects.  First</w:t>
      </w:r>
      <w:r w:rsidR="00087364">
        <w:rPr>
          <w:iCs/>
        </w:rPr>
        <w:t>,</w:t>
      </w:r>
      <w:r w:rsidRPr="00406F15">
        <w:rPr>
          <w:iCs/>
        </w:rPr>
        <w:t xml:space="preserve"> General Franco’s Nationalist forces had occupied Bilbao on 19 June 1937 and the rest of the Basque region in August 1937.  The British Government recognised the Nationalist </w:t>
      </w:r>
      <w:r w:rsidR="000D6CDD">
        <w:rPr>
          <w:iCs/>
        </w:rPr>
        <w:t>Go</w:t>
      </w:r>
      <w:r w:rsidRPr="00406F15">
        <w:rPr>
          <w:iCs/>
        </w:rPr>
        <w:t>vernment as exercising de facto control in the region at and from that time, whilst also recognising the Republican Government of Spain as having de jure sovereignty over the region.  Secondly</w:t>
      </w:r>
      <w:r w:rsidR="00087364">
        <w:rPr>
          <w:iCs/>
        </w:rPr>
        <w:t>,</w:t>
      </w:r>
      <w:r w:rsidRPr="00406F15">
        <w:rPr>
          <w:iCs/>
        </w:rPr>
        <w:t xml:space="preserve"> the Republican Government sought to protect the banks in that region by decreeing on 22 August 1937 that the seat of the banks, including the Banco di Bilbao</w:t>
      </w:r>
      <w:r w:rsidR="00683CEA">
        <w:rPr>
          <w:iCs/>
        </w:rPr>
        <w:t>,</w:t>
      </w:r>
      <w:r w:rsidRPr="00406F15">
        <w:rPr>
          <w:iCs/>
        </w:rPr>
        <w:t xml:space="preserve"> should have their registered offices and domicile transferred to Valencia or Barcelona; and, critically, by a further presidential decree of 30 September 1937 the substance of which was to validate retrospectively the decrees of the Basque autonomous Government which Lewis J had found to be defective under Spanish law.  In this court there was no attempt to impugn Lewis J’s reasoning in relation to the provisions of the Spanish Constitution which had invalidated the Basque Government decree of 1936; </w:t>
      </w:r>
      <w:r w:rsidR="00D45858">
        <w:rPr>
          <w:iCs/>
        </w:rPr>
        <w:t>instead reliance was placed on the retrospective validation by the Republican Government</w:t>
      </w:r>
      <w:r w:rsidR="00617482">
        <w:rPr>
          <w:iCs/>
        </w:rPr>
        <w:t xml:space="preserve">. The </w:t>
      </w:r>
      <w:r w:rsidRPr="00406F15">
        <w:rPr>
          <w:iCs/>
        </w:rPr>
        <w:t xml:space="preserve">issue of whether the London employees were answerable to the new board of directors therefore now depended upon the English Court according validity to the 30 September 1937 decree of the Republican Government retrospectively validating the 1936 decree, but made at a time when </w:t>
      </w:r>
      <w:r w:rsidR="00617482">
        <w:rPr>
          <w:iCs/>
        </w:rPr>
        <w:t>HMG</w:t>
      </w:r>
      <w:r w:rsidRPr="00406F15">
        <w:rPr>
          <w:iCs/>
        </w:rPr>
        <w:t xml:space="preserve"> recognised the Nationalist Government as the de facto government of the Basque region including Bilbao, where the bank</w:t>
      </w:r>
      <w:r w:rsidR="00617482">
        <w:rPr>
          <w:iCs/>
        </w:rPr>
        <w:t>’</w:t>
      </w:r>
      <w:r w:rsidRPr="00406F15">
        <w:rPr>
          <w:iCs/>
        </w:rPr>
        <w:t xml:space="preserve">s domicile was at the time.  That was the critical issue because the question as to what body of directors had the legal right to represent the bank was governed by the law from time to time prevailing at the place it was set up, ie Bilbao.  </w:t>
      </w:r>
    </w:p>
    <w:p w14:paraId="2886325A" w14:textId="651FB21B" w:rsidR="00406F15" w:rsidRPr="00406F15" w:rsidRDefault="00406F15" w:rsidP="00DB37C0">
      <w:pPr>
        <w:pStyle w:val="ParaLevel1"/>
        <w:rPr>
          <w:iCs/>
        </w:rPr>
      </w:pPr>
      <w:r w:rsidRPr="00406F15">
        <w:rPr>
          <w:iCs/>
        </w:rPr>
        <w:t xml:space="preserve">The recognition by </w:t>
      </w:r>
      <w:r w:rsidR="00617482">
        <w:rPr>
          <w:iCs/>
        </w:rPr>
        <w:t xml:space="preserve">HMG </w:t>
      </w:r>
      <w:r w:rsidRPr="00406F15">
        <w:rPr>
          <w:iCs/>
        </w:rPr>
        <w:t xml:space="preserve">of the </w:t>
      </w:r>
      <w:r w:rsidR="00617482">
        <w:rPr>
          <w:iCs/>
        </w:rPr>
        <w:t>N</w:t>
      </w:r>
      <w:r w:rsidRPr="00406F15">
        <w:rPr>
          <w:iCs/>
        </w:rPr>
        <w:t>ationalist Government as the de facto government of the Basque region including Bilbao was treated as determinative of the invalidity of the Republican Government decree of September 1937.  Clauson LJ, giving the judgment of the Court at pp. 195-196 said:</w:t>
      </w:r>
    </w:p>
    <w:p w14:paraId="3F466569" w14:textId="1D7E7153" w:rsidR="00406F15" w:rsidRPr="00406F15" w:rsidRDefault="00406F15" w:rsidP="00086F38">
      <w:pPr>
        <w:pStyle w:val="Quote"/>
      </w:pPr>
      <w:r w:rsidRPr="00406F15">
        <w:lastRenderedPageBreak/>
        <w:t>“…this Court is bound to treat the acts of a government which His Majesty’s Government recognize as the de facto government of the area in question as acts which cannot be impugned as being the acts of an usurping government, and conversely the Court must be bound to treat the acts of a rival government claiming jurisdiction over the same area, even if the latter government is recognised by H</w:t>
      </w:r>
      <w:r w:rsidR="00A361F1">
        <w:t>is</w:t>
      </w:r>
      <w:r w:rsidRPr="00406F15">
        <w:t xml:space="preserve"> Majesty’s Government as the de jure government of the area, as a mere nullity, and as matters which cannot be taken into account in any way in any of His Majesty’s Courts.”</w:t>
      </w:r>
    </w:p>
    <w:p w14:paraId="1AFE0391" w14:textId="6E59E708" w:rsidR="000F3017" w:rsidRPr="00016B31" w:rsidRDefault="000F3017" w:rsidP="00DB37C0">
      <w:pPr>
        <w:pStyle w:val="ParaLevel1"/>
        <w:rPr>
          <w:i/>
        </w:rPr>
      </w:pPr>
      <w:r>
        <w:t xml:space="preserve">This passage was cited with approval by Lord Reid in </w:t>
      </w:r>
      <w:r w:rsidRPr="004C12F2">
        <w:rPr>
          <w:i/>
        </w:rPr>
        <w:t>Carl Zeiss Stiftung v Rayn</w:t>
      </w:r>
      <w:r w:rsidR="00990B3F">
        <w:rPr>
          <w:i/>
        </w:rPr>
        <w:t>e</w:t>
      </w:r>
      <w:r w:rsidRPr="004C12F2">
        <w:rPr>
          <w:i/>
        </w:rPr>
        <w:t>r &amp; Keeler (No2)</w:t>
      </w:r>
      <w:r>
        <w:t xml:space="preserve"> [1967] </w:t>
      </w:r>
      <w:r w:rsidR="00990B3F">
        <w:t xml:space="preserve">1 </w:t>
      </w:r>
      <w:r>
        <w:t>AC 853 at p. 90</w:t>
      </w:r>
      <w:r w:rsidR="00477688">
        <w:t>5B.</w:t>
      </w:r>
    </w:p>
    <w:p w14:paraId="3B3F5686" w14:textId="630BC9F4" w:rsidR="00B37402" w:rsidRDefault="00B670E8" w:rsidP="00DB37C0">
      <w:pPr>
        <w:pStyle w:val="ParaLevel1"/>
        <w:rPr>
          <w:iCs/>
        </w:rPr>
      </w:pPr>
      <w:r>
        <w:rPr>
          <w:iCs/>
        </w:rPr>
        <w:t xml:space="preserve">Ms Fatima submitted that the expression “usurping government” had its origins in </w:t>
      </w:r>
      <w:r w:rsidR="00EA1882">
        <w:rPr>
          <w:iCs/>
        </w:rPr>
        <w:t xml:space="preserve">the terms of the insurance policy in </w:t>
      </w:r>
      <w:r w:rsidR="00EA1882" w:rsidRPr="00233C9A">
        <w:rPr>
          <w:i/>
        </w:rPr>
        <w:t>White Child</w:t>
      </w:r>
      <w:r w:rsidR="00F47154" w:rsidRPr="00233C9A">
        <w:rPr>
          <w:i/>
        </w:rPr>
        <w:t xml:space="preserve"> and Beney Ltd v Simmons</w:t>
      </w:r>
      <w:r w:rsidR="00F47154">
        <w:rPr>
          <w:iCs/>
        </w:rPr>
        <w:t xml:space="preserve"> [1922]</w:t>
      </w:r>
      <w:r w:rsidR="00341C48">
        <w:rPr>
          <w:iCs/>
        </w:rPr>
        <w:t xml:space="preserve"> All ER 482 which referred to “usurped power”.  </w:t>
      </w:r>
      <w:r w:rsidR="00C73FEE">
        <w:rPr>
          <w:iCs/>
        </w:rPr>
        <w:t>However</w:t>
      </w:r>
      <w:r w:rsidR="00A844C8">
        <w:rPr>
          <w:iCs/>
        </w:rPr>
        <w:t xml:space="preserve"> </w:t>
      </w:r>
      <w:r w:rsidR="001945C7">
        <w:rPr>
          <w:iCs/>
        </w:rPr>
        <w:t>w</w:t>
      </w:r>
      <w:r w:rsidR="00DA2DF7">
        <w:rPr>
          <w:iCs/>
        </w:rPr>
        <w:t xml:space="preserve">hether or not that case influenced </w:t>
      </w:r>
      <w:r w:rsidR="00A844C8">
        <w:rPr>
          <w:iCs/>
        </w:rPr>
        <w:t xml:space="preserve">Clauson LJ’s use of language in </w:t>
      </w:r>
      <w:r w:rsidR="00B94534">
        <w:rPr>
          <w:iCs/>
        </w:rPr>
        <w:t xml:space="preserve">the </w:t>
      </w:r>
      <w:r w:rsidR="00815BAC" w:rsidRPr="00815BAC">
        <w:rPr>
          <w:i/>
        </w:rPr>
        <w:t>Banco de Bilbao</w:t>
      </w:r>
      <w:r w:rsidR="00815BAC">
        <w:rPr>
          <w:iCs/>
        </w:rPr>
        <w:t xml:space="preserve"> </w:t>
      </w:r>
      <w:r w:rsidR="00B94534">
        <w:rPr>
          <w:iCs/>
        </w:rPr>
        <w:t>case</w:t>
      </w:r>
      <w:r w:rsidR="00815BAC">
        <w:rPr>
          <w:iCs/>
        </w:rPr>
        <w:t xml:space="preserve">, </w:t>
      </w:r>
      <w:r w:rsidR="00B94534">
        <w:rPr>
          <w:iCs/>
        </w:rPr>
        <w:t xml:space="preserve">which did </w:t>
      </w:r>
      <w:r w:rsidR="001945C7">
        <w:rPr>
          <w:iCs/>
        </w:rPr>
        <w:t xml:space="preserve">not turn on any contractual wording, </w:t>
      </w:r>
      <w:r w:rsidR="00B94534">
        <w:rPr>
          <w:iCs/>
        </w:rPr>
        <w:t>it</w:t>
      </w:r>
      <w:r w:rsidR="00F37741">
        <w:rPr>
          <w:iCs/>
        </w:rPr>
        <w:t xml:space="preserve"> seems tolerably clear that what </w:t>
      </w:r>
      <w:r w:rsidR="0080231C">
        <w:rPr>
          <w:iCs/>
        </w:rPr>
        <w:t xml:space="preserve">he meant by the expression was a </w:t>
      </w:r>
      <w:r w:rsidR="00F37741">
        <w:rPr>
          <w:iCs/>
        </w:rPr>
        <w:t xml:space="preserve">government lacking </w:t>
      </w:r>
      <w:r w:rsidR="00C73FEE">
        <w:rPr>
          <w:iCs/>
        </w:rPr>
        <w:t xml:space="preserve">lawful constitutionality.  </w:t>
      </w:r>
    </w:p>
    <w:p w14:paraId="21E79306" w14:textId="4388AAD9" w:rsidR="007F4859" w:rsidRPr="00406F15" w:rsidRDefault="00617482" w:rsidP="00DB37C0">
      <w:pPr>
        <w:pStyle w:val="ParaLevel1"/>
        <w:rPr>
          <w:iCs/>
        </w:rPr>
      </w:pPr>
      <w:r>
        <w:rPr>
          <w:iCs/>
        </w:rPr>
        <w:t xml:space="preserve">Ms Fatima </w:t>
      </w:r>
      <w:r w:rsidR="00B75520">
        <w:rPr>
          <w:iCs/>
        </w:rPr>
        <w:t xml:space="preserve">sought to distinguish the </w:t>
      </w:r>
      <w:r w:rsidR="00B75520" w:rsidRPr="0022085D">
        <w:rPr>
          <w:i/>
        </w:rPr>
        <w:t>Bank of Ethiopia</w:t>
      </w:r>
      <w:r w:rsidR="00B75520">
        <w:rPr>
          <w:iCs/>
        </w:rPr>
        <w:t xml:space="preserve">  and </w:t>
      </w:r>
      <w:r w:rsidR="00B75520" w:rsidRPr="0022085D">
        <w:rPr>
          <w:i/>
        </w:rPr>
        <w:t>Banco de Bilbao</w:t>
      </w:r>
      <w:r w:rsidR="00B75520">
        <w:rPr>
          <w:iCs/>
        </w:rPr>
        <w:t xml:space="preserve"> cases </w:t>
      </w:r>
      <w:r w:rsidR="007A0F63">
        <w:rPr>
          <w:iCs/>
        </w:rPr>
        <w:t>on the grounds that the</w:t>
      </w:r>
      <w:r w:rsidR="000F5589">
        <w:rPr>
          <w:iCs/>
        </w:rPr>
        <w:t xml:space="preserve">y involved competing claims of a de jure government and a de facto government </w:t>
      </w:r>
      <w:r w:rsidR="00810832">
        <w:rPr>
          <w:iCs/>
        </w:rPr>
        <w:t xml:space="preserve">over </w:t>
      </w:r>
      <w:r w:rsidR="005A40BB">
        <w:rPr>
          <w:iCs/>
        </w:rPr>
        <w:t xml:space="preserve">the same territory, whereas in the present case the issue </w:t>
      </w:r>
      <w:r w:rsidR="00D125E9">
        <w:rPr>
          <w:iCs/>
        </w:rPr>
        <w:t xml:space="preserve">focuses on the status of one </w:t>
      </w:r>
      <w:r w:rsidR="005A40BB">
        <w:rPr>
          <w:iCs/>
        </w:rPr>
        <w:t>government</w:t>
      </w:r>
      <w:r w:rsidR="00C013FF">
        <w:rPr>
          <w:iCs/>
        </w:rPr>
        <w:t>,</w:t>
      </w:r>
      <w:r w:rsidR="006F7139">
        <w:rPr>
          <w:iCs/>
        </w:rPr>
        <w:t xml:space="preserve"> where there is not a rival claim from a government which it has overthrown or is in the process of overthrowing</w:t>
      </w:r>
      <w:r w:rsidR="00810832">
        <w:rPr>
          <w:iCs/>
        </w:rPr>
        <w:t xml:space="preserve">.  Ms Fatima made clear that </w:t>
      </w:r>
      <w:r w:rsidR="00850911">
        <w:rPr>
          <w:iCs/>
        </w:rPr>
        <w:t xml:space="preserve">Mr Breish </w:t>
      </w:r>
      <w:r w:rsidR="00410128">
        <w:rPr>
          <w:iCs/>
        </w:rPr>
        <w:t xml:space="preserve">does not contend that there is any </w:t>
      </w:r>
      <w:r w:rsidR="00083D8B">
        <w:rPr>
          <w:iCs/>
        </w:rPr>
        <w:t>government in Libya</w:t>
      </w:r>
      <w:r w:rsidR="00850911">
        <w:rPr>
          <w:iCs/>
        </w:rPr>
        <w:t xml:space="preserve"> other than the </w:t>
      </w:r>
      <w:r w:rsidR="00F37741">
        <w:rPr>
          <w:iCs/>
        </w:rPr>
        <w:t>GNA</w:t>
      </w:r>
      <w:r w:rsidR="006B0260">
        <w:rPr>
          <w:iCs/>
        </w:rPr>
        <w:t>.</w:t>
      </w:r>
      <w:r w:rsidR="00D125E9">
        <w:rPr>
          <w:iCs/>
        </w:rPr>
        <w:t xml:space="preserve">  </w:t>
      </w:r>
      <w:r w:rsidR="006B0260">
        <w:rPr>
          <w:iCs/>
        </w:rPr>
        <w:t>Mr Sprange associated himself with this contention, although I confess that I do not understand how on the facts of this case Dr Huss</w:t>
      </w:r>
      <w:r w:rsidR="009A05C1">
        <w:rPr>
          <w:iCs/>
        </w:rPr>
        <w:t>e</w:t>
      </w:r>
      <w:r w:rsidR="006B0260">
        <w:rPr>
          <w:iCs/>
        </w:rPr>
        <w:t>in can claim valid appointment</w:t>
      </w:r>
      <w:r w:rsidR="00F01A51">
        <w:rPr>
          <w:iCs/>
        </w:rPr>
        <w:t xml:space="preserve"> as </w:t>
      </w:r>
      <w:r w:rsidR="0032112C">
        <w:rPr>
          <w:iCs/>
        </w:rPr>
        <w:t>C</w:t>
      </w:r>
      <w:r w:rsidR="00F01A51">
        <w:rPr>
          <w:iCs/>
        </w:rPr>
        <w:t>hairman of the LIA wi</w:t>
      </w:r>
      <w:r w:rsidR="00D559FE">
        <w:rPr>
          <w:iCs/>
        </w:rPr>
        <w:t xml:space="preserve">thout </w:t>
      </w:r>
      <w:r w:rsidR="00F01A51">
        <w:rPr>
          <w:iCs/>
        </w:rPr>
        <w:t xml:space="preserve">asserting that the </w:t>
      </w:r>
      <w:r w:rsidR="00290E58">
        <w:rPr>
          <w:iCs/>
        </w:rPr>
        <w:t xml:space="preserve">HoR affiliated government in Tobruk which appointed the Board of Trustees by whom he was appointed </w:t>
      </w:r>
      <w:r w:rsidR="00D559FE">
        <w:rPr>
          <w:iCs/>
        </w:rPr>
        <w:t>was the government in</w:t>
      </w:r>
      <w:r w:rsidR="00FF4550">
        <w:rPr>
          <w:iCs/>
        </w:rPr>
        <w:t>stead of the GNA.  But however that may be, the attem</w:t>
      </w:r>
      <w:r w:rsidR="00200149">
        <w:rPr>
          <w:iCs/>
        </w:rPr>
        <w:t>p</w:t>
      </w:r>
      <w:r w:rsidR="00FF4550">
        <w:rPr>
          <w:iCs/>
        </w:rPr>
        <w:t>t to dist</w:t>
      </w:r>
      <w:r w:rsidR="00200149">
        <w:rPr>
          <w:iCs/>
        </w:rPr>
        <w:t>ing</w:t>
      </w:r>
      <w:r w:rsidR="00FF4550">
        <w:rPr>
          <w:iCs/>
        </w:rPr>
        <w:t xml:space="preserve">uish the </w:t>
      </w:r>
      <w:r w:rsidR="00FF4550" w:rsidRPr="00850911">
        <w:rPr>
          <w:i/>
        </w:rPr>
        <w:t>Bank of Ethiopia</w:t>
      </w:r>
      <w:r w:rsidR="00FF4550">
        <w:rPr>
          <w:iCs/>
        </w:rPr>
        <w:t xml:space="preserve"> and </w:t>
      </w:r>
      <w:r w:rsidR="00FF4550" w:rsidRPr="00850911">
        <w:rPr>
          <w:i/>
        </w:rPr>
        <w:t>Banco de</w:t>
      </w:r>
      <w:r w:rsidR="00200149" w:rsidRPr="00850911">
        <w:rPr>
          <w:i/>
        </w:rPr>
        <w:t xml:space="preserve"> </w:t>
      </w:r>
      <w:r w:rsidR="00FF4550" w:rsidRPr="00850911">
        <w:rPr>
          <w:i/>
        </w:rPr>
        <w:t>Bilbao</w:t>
      </w:r>
      <w:r w:rsidR="00FF4550">
        <w:rPr>
          <w:iCs/>
        </w:rPr>
        <w:t xml:space="preserve"> cases is unsound.  The</w:t>
      </w:r>
      <w:r w:rsidR="00756ED0">
        <w:rPr>
          <w:iCs/>
        </w:rPr>
        <w:t xml:space="preserve"> factual distinction exists, but it is entirely irrelevant to the statement</w:t>
      </w:r>
      <w:r w:rsidR="00850911">
        <w:rPr>
          <w:iCs/>
        </w:rPr>
        <w:t>s</w:t>
      </w:r>
      <w:r w:rsidR="00756ED0">
        <w:rPr>
          <w:iCs/>
        </w:rPr>
        <w:t xml:space="preserve"> of principle or their application. </w:t>
      </w:r>
      <w:r w:rsidR="00850911">
        <w:rPr>
          <w:iCs/>
        </w:rPr>
        <w:t xml:space="preserve"> </w:t>
      </w:r>
      <w:r w:rsidR="00756ED0">
        <w:rPr>
          <w:iCs/>
        </w:rPr>
        <w:t>If the one voice principle requires the Court to recognise</w:t>
      </w:r>
      <w:r w:rsidR="00F67742">
        <w:rPr>
          <w:iCs/>
        </w:rPr>
        <w:t xml:space="preserve"> the </w:t>
      </w:r>
      <w:r w:rsidR="00850911">
        <w:rPr>
          <w:iCs/>
        </w:rPr>
        <w:t xml:space="preserve">sovereignty </w:t>
      </w:r>
      <w:r w:rsidR="00F67742">
        <w:rPr>
          <w:iCs/>
        </w:rPr>
        <w:t>of a de fact</w:t>
      </w:r>
      <w:r w:rsidR="00200149">
        <w:rPr>
          <w:iCs/>
        </w:rPr>
        <w:t>o</w:t>
      </w:r>
      <w:r w:rsidR="00F67742">
        <w:rPr>
          <w:iCs/>
        </w:rPr>
        <w:t xml:space="preserve"> government recognised by HMG it is irrelevant wh</w:t>
      </w:r>
      <w:r w:rsidR="00420ABE">
        <w:rPr>
          <w:iCs/>
        </w:rPr>
        <w:t xml:space="preserve">ether </w:t>
      </w:r>
      <w:r w:rsidR="00F67742">
        <w:rPr>
          <w:iCs/>
        </w:rPr>
        <w:t xml:space="preserve">that arises in the context of a </w:t>
      </w:r>
      <w:r w:rsidR="00420ABE">
        <w:rPr>
          <w:iCs/>
        </w:rPr>
        <w:t xml:space="preserve">recognised </w:t>
      </w:r>
      <w:r w:rsidR="00F67742">
        <w:rPr>
          <w:iCs/>
        </w:rPr>
        <w:t>rival de jure government or not.</w:t>
      </w:r>
      <w:r w:rsidR="00FF4550">
        <w:rPr>
          <w:iCs/>
        </w:rPr>
        <w:t xml:space="preserve"> </w:t>
      </w:r>
      <w:r w:rsidR="006B0260">
        <w:rPr>
          <w:iCs/>
        </w:rPr>
        <w:t xml:space="preserve"> </w:t>
      </w:r>
    </w:p>
    <w:p w14:paraId="7C8CE2DD" w14:textId="7FE08742" w:rsidR="008407B4" w:rsidRPr="008407B4" w:rsidRDefault="008407B4" w:rsidP="00DB37C0">
      <w:pPr>
        <w:pStyle w:val="ParaLevel1"/>
        <w:tabs>
          <w:tab w:val="num" w:pos="2061"/>
        </w:tabs>
        <w:rPr>
          <w:i/>
        </w:rPr>
      </w:pPr>
      <w:r>
        <w:t xml:space="preserve">The Spanish Civil </w:t>
      </w:r>
      <w:r w:rsidR="00A361F1">
        <w:t>W</w:t>
      </w:r>
      <w:r>
        <w:t xml:space="preserve">ar also provided the context for the decision of the House of Lords in </w:t>
      </w:r>
      <w:r w:rsidR="003D0A63">
        <w:rPr>
          <w:i/>
          <w:iCs/>
        </w:rPr>
        <w:t>Th</w:t>
      </w:r>
      <w:r w:rsidRPr="008407B4">
        <w:rPr>
          <w:i/>
          <w:iCs/>
        </w:rPr>
        <w:t>e “Arantzazu Mendi”</w:t>
      </w:r>
      <w:r>
        <w:t>, in which the doctrine found its first expression with a vocal metaphor.  The Republican Government brought an action laying claim to a vessel</w:t>
      </w:r>
      <w:r w:rsidR="00A50E1B">
        <w:t xml:space="preserve"> </w:t>
      </w:r>
      <w:r w:rsidR="00C165C6">
        <w:t xml:space="preserve">registered in Bilbao </w:t>
      </w:r>
      <w:r w:rsidR="00A50E1B">
        <w:t>whose owners were served with a notice of re</w:t>
      </w:r>
      <w:r w:rsidR="00E77DF1">
        <w:t xml:space="preserve">quisition first by the Republican </w:t>
      </w:r>
      <w:r w:rsidR="00F14B32">
        <w:t>G</w:t>
      </w:r>
      <w:r w:rsidR="00E77DF1">
        <w:t xml:space="preserve">overnment under a decree of 28 June </w:t>
      </w:r>
      <w:r w:rsidR="005D492D">
        <w:t xml:space="preserve">1937 and then by the Nationalist </w:t>
      </w:r>
      <w:r w:rsidR="00F14B32">
        <w:t>G</w:t>
      </w:r>
      <w:r w:rsidR="005D492D">
        <w:t>overnment under a decree issued on 2 March 1938</w:t>
      </w:r>
      <w:r>
        <w:t xml:space="preserve">. </w:t>
      </w:r>
      <w:r w:rsidR="00C26462">
        <w:t xml:space="preserve"> </w:t>
      </w:r>
      <w:r>
        <w:t>The House of Lords upheld the decisions at first instance and on appeal that the action should be stayed as indirectly impleading the Nationalist Government</w:t>
      </w:r>
      <w:r w:rsidR="00BF28D4">
        <w:t>, which was in possession of the vessel</w:t>
      </w:r>
      <w:r w:rsidR="00E1515C">
        <w:t xml:space="preserve"> and </w:t>
      </w:r>
      <w:r>
        <w:t xml:space="preserve">had sovereign immunity as a recognised de facto state.  The Nationalist Government’s status as a sovereign state was treated as conclusively determined by a letter from the Secretary of State for Foreign Affairs stating that it was recognised as a de facto government exercising control, by that time, over the larger portion of Spain. </w:t>
      </w:r>
      <w:r w:rsidR="00870638">
        <w:t xml:space="preserve"> </w:t>
      </w:r>
      <w:r>
        <w:t xml:space="preserve">Lord </w:t>
      </w:r>
      <w:r>
        <w:lastRenderedPageBreak/>
        <w:t>Atkin explained the rationale for the Courts seeking the views of the British Government on whether a foreign government is recognised in these terms at p. 264:</w:t>
      </w:r>
    </w:p>
    <w:p w14:paraId="40CE6E15" w14:textId="00E88021" w:rsidR="008407B4" w:rsidRDefault="008407B4" w:rsidP="00086F38">
      <w:pPr>
        <w:pStyle w:val="Quote"/>
      </w:pPr>
      <w:r>
        <w:t xml:space="preserve">“Our State cannot speak with two voices on such a matter, the judiciary saying one thing, the executive another.  Our Sovereign has to decide whom he will recognise as a fellow sovereign in the family of States; and the relations of the foreign State with ours in the matter of State immunities must flow from that decision alone.” </w:t>
      </w:r>
    </w:p>
    <w:p w14:paraId="5D7E7E56" w14:textId="5337425F" w:rsidR="009A536B" w:rsidRPr="004102BA" w:rsidRDefault="0051691E" w:rsidP="00DB37C0">
      <w:pPr>
        <w:pStyle w:val="ParaLevel1"/>
        <w:rPr>
          <w:i/>
        </w:rPr>
      </w:pPr>
      <w:r>
        <w:t>At p. 265 Lord Atkin went on to confirm that the doctrine  applies as much to de facto recognition as to de jure recognition</w:t>
      </w:r>
      <w:r w:rsidR="009A536B">
        <w:t>.</w:t>
      </w:r>
    </w:p>
    <w:p w14:paraId="09FA0B90" w14:textId="066FAE4B" w:rsidR="004102BA" w:rsidRPr="009A536B" w:rsidRDefault="004102BA" w:rsidP="00DB37C0">
      <w:pPr>
        <w:pStyle w:val="ParaLevel1"/>
        <w:rPr>
          <w:i/>
        </w:rPr>
      </w:pPr>
      <w:r>
        <w:t>It follows therefore that the recognition which the one voice princip</w:t>
      </w:r>
      <w:r w:rsidR="00342253">
        <w:t>l</w:t>
      </w:r>
      <w:r>
        <w:t>e requires the Court to respect is</w:t>
      </w:r>
      <w:r w:rsidR="00342253">
        <w:t xml:space="preserve"> not in any way concerned with the constitutional lawfulness of </w:t>
      </w:r>
      <w:r w:rsidR="00F9406D">
        <w:t xml:space="preserve">the recognised government.  </w:t>
      </w:r>
      <w:r w:rsidR="009F01BE">
        <w:t xml:space="preserve">The foreign government </w:t>
      </w:r>
      <w:r w:rsidR="003537B8">
        <w:t xml:space="preserve">is </w:t>
      </w:r>
      <w:r w:rsidR="009F01BE">
        <w:t>by the very fact of recognition deemed to be a sovereign government</w:t>
      </w:r>
      <w:r w:rsidR="00191C64">
        <w:t xml:space="preserve">, with all the consequences that entails.  One of the consequences is that the Court </w:t>
      </w:r>
      <w:r w:rsidR="007A560C">
        <w:t xml:space="preserve">is not entitled to say the opposite, namely that </w:t>
      </w:r>
      <w:r w:rsidR="00191C64">
        <w:t xml:space="preserve">it is not a sovereign government </w:t>
      </w:r>
      <w:r w:rsidR="004F34B0">
        <w:t xml:space="preserve">because </w:t>
      </w:r>
      <w:r w:rsidR="00191C64">
        <w:t>i</w:t>
      </w:r>
      <w:r w:rsidR="00553042">
        <w:t>t acquired power unconstitutionally or otherwise than in accordance with local law.</w:t>
      </w:r>
      <w:r w:rsidR="004733E3">
        <w:t xml:space="preserve">  </w:t>
      </w:r>
      <w:r w:rsidR="009F01BE">
        <w:t xml:space="preserve"> </w:t>
      </w:r>
    </w:p>
    <w:p w14:paraId="0980D5D4" w14:textId="22C5E2BB" w:rsidR="00016B31" w:rsidRPr="00016B31" w:rsidRDefault="0027430D" w:rsidP="00DB37C0">
      <w:pPr>
        <w:pStyle w:val="ParaLevel1"/>
        <w:rPr>
          <w:i/>
        </w:rPr>
      </w:pPr>
      <w:r>
        <w:rPr>
          <w:iCs/>
        </w:rPr>
        <w:t>Second</w:t>
      </w:r>
      <w:r w:rsidR="0014718C">
        <w:rPr>
          <w:iCs/>
        </w:rPr>
        <w:t>ly</w:t>
      </w:r>
      <w:r>
        <w:rPr>
          <w:iCs/>
        </w:rPr>
        <w:t xml:space="preserve"> th</w:t>
      </w:r>
      <w:r w:rsidR="009A536B">
        <w:rPr>
          <w:iCs/>
        </w:rPr>
        <w:t xml:space="preserve">e </w:t>
      </w:r>
      <w:r w:rsidR="0001439B">
        <w:rPr>
          <w:iCs/>
        </w:rPr>
        <w:t xml:space="preserve">basis for the one voice principle is </w:t>
      </w:r>
      <w:r>
        <w:rPr>
          <w:iCs/>
        </w:rPr>
        <w:t>not</w:t>
      </w:r>
      <w:r w:rsidR="007905D0">
        <w:rPr>
          <w:iCs/>
        </w:rPr>
        <w:t>, as Mr Sprange submitted</w:t>
      </w:r>
      <w:r w:rsidR="003258CF">
        <w:rPr>
          <w:iCs/>
        </w:rPr>
        <w:t>,</w:t>
      </w:r>
      <w:r w:rsidR="007905D0">
        <w:rPr>
          <w:iCs/>
        </w:rPr>
        <w:t xml:space="preserve"> a </w:t>
      </w:r>
      <w:r w:rsidR="003258CF">
        <w:rPr>
          <w:iCs/>
        </w:rPr>
        <w:t>rule of evidence</w:t>
      </w:r>
      <w:r w:rsidR="00C547A5" w:rsidRPr="00C547A5">
        <w:rPr>
          <w:iCs/>
        </w:rPr>
        <w:t xml:space="preserve"> </w:t>
      </w:r>
      <w:r w:rsidR="00C547A5">
        <w:rPr>
          <w:iCs/>
        </w:rPr>
        <w:t>of which the Court takes judicial notice</w:t>
      </w:r>
      <w:r>
        <w:rPr>
          <w:iCs/>
        </w:rPr>
        <w:t xml:space="preserve">, </w:t>
      </w:r>
      <w:r w:rsidR="002F09DF">
        <w:rPr>
          <w:iCs/>
        </w:rPr>
        <w:t xml:space="preserve">nor </w:t>
      </w:r>
      <w:r>
        <w:rPr>
          <w:iCs/>
        </w:rPr>
        <w:t>merely that the</w:t>
      </w:r>
      <w:r w:rsidR="004D577F">
        <w:rPr>
          <w:iCs/>
        </w:rPr>
        <w:t xml:space="preserve"> Court should avoid embarrassment</w:t>
      </w:r>
      <w:r w:rsidR="00402129">
        <w:rPr>
          <w:iCs/>
        </w:rPr>
        <w:t xml:space="preserve"> to HMG</w:t>
      </w:r>
      <w:r w:rsidR="002F09DF">
        <w:rPr>
          <w:iCs/>
        </w:rPr>
        <w:t xml:space="preserve">. </w:t>
      </w:r>
      <w:r w:rsidR="00F64405">
        <w:rPr>
          <w:iCs/>
        </w:rPr>
        <w:t xml:space="preserve"> The basis for the principle is rooted in the </w:t>
      </w:r>
      <w:r w:rsidR="004361E3">
        <w:rPr>
          <w:iCs/>
        </w:rPr>
        <w:t xml:space="preserve">constitutional </w:t>
      </w:r>
      <w:r w:rsidR="003029F2">
        <w:rPr>
          <w:iCs/>
        </w:rPr>
        <w:t xml:space="preserve">allocation of the roles of the executive and the judiciary </w:t>
      </w:r>
      <w:r w:rsidR="004361E3">
        <w:rPr>
          <w:iCs/>
        </w:rPr>
        <w:t>in this country.</w:t>
      </w:r>
      <w:r w:rsidR="00CA536A">
        <w:rPr>
          <w:iCs/>
        </w:rPr>
        <w:t xml:space="preserve">  </w:t>
      </w:r>
      <w:r w:rsidR="00402129">
        <w:rPr>
          <w:iCs/>
        </w:rPr>
        <w:t xml:space="preserve">It is the </w:t>
      </w:r>
      <w:r w:rsidR="00235296">
        <w:rPr>
          <w:iCs/>
        </w:rPr>
        <w:t xml:space="preserve">consequence </w:t>
      </w:r>
      <w:r w:rsidR="00CA536A">
        <w:rPr>
          <w:iCs/>
        </w:rPr>
        <w:t xml:space="preserve">of the </w:t>
      </w:r>
      <w:r w:rsidR="00EE3DCC">
        <w:rPr>
          <w:iCs/>
        </w:rPr>
        <w:t xml:space="preserve">constitutional </w:t>
      </w:r>
      <w:r w:rsidR="00D1770C">
        <w:rPr>
          <w:iCs/>
        </w:rPr>
        <w:t xml:space="preserve">separation of powers </w:t>
      </w:r>
      <w:r w:rsidR="009947F8">
        <w:rPr>
          <w:iCs/>
        </w:rPr>
        <w:t>which dictate</w:t>
      </w:r>
      <w:r w:rsidR="0079196A">
        <w:rPr>
          <w:iCs/>
        </w:rPr>
        <w:t>s</w:t>
      </w:r>
      <w:r w:rsidR="009947F8">
        <w:rPr>
          <w:iCs/>
        </w:rPr>
        <w:t xml:space="preserve"> that </w:t>
      </w:r>
      <w:r w:rsidR="00EE3DCC">
        <w:rPr>
          <w:iCs/>
        </w:rPr>
        <w:t xml:space="preserve">it </w:t>
      </w:r>
      <w:r w:rsidR="00235296">
        <w:rPr>
          <w:iCs/>
        </w:rPr>
        <w:t xml:space="preserve">is the </w:t>
      </w:r>
      <w:r w:rsidR="0079196A">
        <w:rPr>
          <w:iCs/>
        </w:rPr>
        <w:t xml:space="preserve">sole </w:t>
      </w:r>
      <w:r w:rsidR="00235296">
        <w:rPr>
          <w:iCs/>
        </w:rPr>
        <w:t>prerogative of the executive to determine what foreign states and governments to recognise</w:t>
      </w:r>
      <w:r w:rsidR="00EA46B7">
        <w:rPr>
          <w:iCs/>
        </w:rPr>
        <w:t xml:space="preserve">.  </w:t>
      </w:r>
    </w:p>
    <w:p w14:paraId="3197359C" w14:textId="543FE38D" w:rsidR="001066DE" w:rsidRPr="00016B31" w:rsidRDefault="00EA46B7" w:rsidP="00DB37C0">
      <w:pPr>
        <w:pStyle w:val="ParaLevel1"/>
        <w:rPr>
          <w:i/>
        </w:rPr>
      </w:pPr>
      <w:r>
        <w:rPr>
          <w:iCs/>
        </w:rPr>
        <w:t>Again this is wel</w:t>
      </w:r>
      <w:r w:rsidR="007B66D3">
        <w:rPr>
          <w:iCs/>
        </w:rPr>
        <w:t>l</w:t>
      </w:r>
      <w:r>
        <w:rPr>
          <w:iCs/>
        </w:rPr>
        <w:t xml:space="preserve"> established by authority</w:t>
      </w:r>
      <w:r w:rsidR="007B66D3">
        <w:rPr>
          <w:iCs/>
        </w:rPr>
        <w:t>.  I need only cite two cases</w:t>
      </w:r>
      <w:r w:rsidR="008A37DB">
        <w:rPr>
          <w:iCs/>
        </w:rPr>
        <w:t>.</w:t>
      </w:r>
      <w:r w:rsidR="00016B31">
        <w:rPr>
          <w:i/>
        </w:rPr>
        <w:t xml:space="preserve">  </w:t>
      </w:r>
      <w:r w:rsidR="00031539" w:rsidRPr="00016B31">
        <w:rPr>
          <w:iCs/>
        </w:rPr>
        <w:t xml:space="preserve">In </w:t>
      </w:r>
      <w:r w:rsidR="00031539" w:rsidRPr="00016B31">
        <w:rPr>
          <w:i/>
        </w:rPr>
        <w:t>Duff Development Co</w:t>
      </w:r>
      <w:r w:rsidR="00A1761F" w:rsidRPr="00016B31">
        <w:rPr>
          <w:i/>
        </w:rPr>
        <w:t xml:space="preserve"> Ltd </w:t>
      </w:r>
      <w:r w:rsidR="00031539" w:rsidRPr="00016B31">
        <w:rPr>
          <w:i/>
        </w:rPr>
        <w:t xml:space="preserve"> v</w:t>
      </w:r>
      <w:r w:rsidR="00A1761F" w:rsidRPr="00016B31">
        <w:rPr>
          <w:i/>
        </w:rPr>
        <w:t xml:space="preserve"> Government of Kelan</w:t>
      </w:r>
      <w:r w:rsidR="00352AF6">
        <w:rPr>
          <w:i/>
        </w:rPr>
        <w:t>tan</w:t>
      </w:r>
      <w:r w:rsidR="00331F56">
        <w:rPr>
          <w:i/>
        </w:rPr>
        <w:t xml:space="preserve"> </w:t>
      </w:r>
      <w:r w:rsidR="004B25FE" w:rsidRPr="00016B31">
        <w:rPr>
          <w:iCs/>
        </w:rPr>
        <w:t xml:space="preserve"> </w:t>
      </w:r>
      <w:r w:rsidR="00A1761F" w:rsidRPr="00016B31">
        <w:rPr>
          <w:iCs/>
        </w:rPr>
        <w:t>[</w:t>
      </w:r>
      <w:r w:rsidR="0087632A" w:rsidRPr="00016B31">
        <w:rPr>
          <w:iCs/>
        </w:rPr>
        <w:t xml:space="preserve">1924] AC 797, </w:t>
      </w:r>
      <w:r w:rsidR="004B25FE" w:rsidRPr="00016B31">
        <w:rPr>
          <w:iCs/>
        </w:rPr>
        <w:t xml:space="preserve">the </w:t>
      </w:r>
      <w:r w:rsidR="008836E9" w:rsidRPr="00016B31">
        <w:rPr>
          <w:iCs/>
        </w:rPr>
        <w:t xml:space="preserve">relevant </w:t>
      </w:r>
      <w:r w:rsidR="004B25FE" w:rsidRPr="00016B31">
        <w:rPr>
          <w:iCs/>
        </w:rPr>
        <w:t>issue was w</w:t>
      </w:r>
      <w:r w:rsidR="00C03CB0" w:rsidRPr="00016B31">
        <w:rPr>
          <w:iCs/>
        </w:rPr>
        <w:t xml:space="preserve">hether </w:t>
      </w:r>
      <w:r w:rsidR="004B25FE" w:rsidRPr="00016B31">
        <w:rPr>
          <w:iCs/>
        </w:rPr>
        <w:t>the</w:t>
      </w:r>
      <w:r w:rsidR="00C03CB0" w:rsidRPr="00016B31">
        <w:rPr>
          <w:iCs/>
        </w:rPr>
        <w:t xml:space="preserve"> terms of the recognition </w:t>
      </w:r>
      <w:r w:rsidR="007D7849" w:rsidRPr="00016B31">
        <w:rPr>
          <w:iCs/>
        </w:rPr>
        <w:t>by HMG of the status of Kelantan</w:t>
      </w:r>
      <w:r w:rsidR="00331F56">
        <w:rPr>
          <w:iCs/>
        </w:rPr>
        <w:t xml:space="preserve">, a territory </w:t>
      </w:r>
      <w:r w:rsidR="007D7849" w:rsidRPr="00016B31">
        <w:rPr>
          <w:iCs/>
        </w:rPr>
        <w:t xml:space="preserve">on the Malayan </w:t>
      </w:r>
      <w:r w:rsidR="00331F56">
        <w:rPr>
          <w:iCs/>
        </w:rPr>
        <w:t>p</w:t>
      </w:r>
      <w:r w:rsidR="007D7849" w:rsidRPr="00016B31">
        <w:rPr>
          <w:iCs/>
        </w:rPr>
        <w:t>eninsular</w:t>
      </w:r>
      <w:r w:rsidR="00331F56">
        <w:rPr>
          <w:iCs/>
        </w:rPr>
        <w:t>,</w:t>
      </w:r>
      <w:r w:rsidR="007D7849" w:rsidRPr="00016B31">
        <w:rPr>
          <w:iCs/>
        </w:rPr>
        <w:t xml:space="preserve"> was such as to confer</w:t>
      </w:r>
      <w:r w:rsidR="00C03CB0" w:rsidRPr="00016B31">
        <w:rPr>
          <w:iCs/>
        </w:rPr>
        <w:t xml:space="preserve"> </w:t>
      </w:r>
      <w:r w:rsidR="001066DE" w:rsidRPr="00016B31">
        <w:rPr>
          <w:iCs/>
        </w:rPr>
        <w:t>sovereign immunity on its reigning Sultan.  Viscount Finlay said at p</w:t>
      </w:r>
      <w:r w:rsidR="004C12F2">
        <w:rPr>
          <w:iCs/>
        </w:rPr>
        <w:t xml:space="preserve">. </w:t>
      </w:r>
      <w:r w:rsidR="001066DE" w:rsidRPr="00016B31">
        <w:rPr>
          <w:iCs/>
        </w:rPr>
        <w:t>813</w:t>
      </w:r>
      <w:r w:rsidR="000F29CC">
        <w:rPr>
          <w:iCs/>
        </w:rPr>
        <w:t xml:space="preserve"> (</w:t>
      </w:r>
      <w:r w:rsidR="001D6C5A">
        <w:rPr>
          <w:iCs/>
        </w:rPr>
        <w:t>in a pa</w:t>
      </w:r>
      <w:r w:rsidR="0025379D">
        <w:rPr>
          <w:iCs/>
        </w:rPr>
        <w:t xml:space="preserve">ssage cited with approval </w:t>
      </w:r>
      <w:bookmarkStart w:id="11" w:name="_Hlk39146031"/>
      <w:r w:rsidR="0025379D">
        <w:rPr>
          <w:iCs/>
        </w:rPr>
        <w:t xml:space="preserve">by Lord Reid in </w:t>
      </w:r>
      <w:r w:rsidR="0025379D" w:rsidRPr="004C12F2">
        <w:rPr>
          <w:i/>
        </w:rPr>
        <w:t xml:space="preserve">Carl Zeiss Stiftung v Raynor &amp; Keeler </w:t>
      </w:r>
      <w:r w:rsidR="00DD0139">
        <w:rPr>
          <w:iCs/>
        </w:rPr>
        <w:t xml:space="preserve">at p. </w:t>
      </w:r>
      <w:r w:rsidR="004C12F2">
        <w:rPr>
          <w:iCs/>
        </w:rPr>
        <w:t>901G</w:t>
      </w:r>
      <w:r w:rsidR="000F29CC">
        <w:rPr>
          <w:iCs/>
        </w:rPr>
        <w:t>)</w:t>
      </w:r>
      <w:r w:rsidR="001066DE" w:rsidRPr="00016B31">
        <w:rPr>
          <w:iCs/>
        </w:rPr>
        <w:t>:</w:t>
      </w:r>
    </w:p>
    <w:bookmarkEnd w:id="11"/>
    <w:p w14:paraId="0F84835C" w14:textId="08D09583" w:rsidR="007B66D3" w:rsidRDefault="00C03CB0" w:rsidP="00086F38">
      <w:pPr>
        <w:pStyle w:val="Quote"/>
      </w:pPr>
      <w:r>
        <w:t>“</w:t>
      </w:r>
      <w:r w:rsidR="009147D0">
        <w:t xml:space="preserve">It has long been settled that </w:t>
      </w:r>
      <w:r w:rsidR="00534A76">
        <w:t xml:space="preserve">on any question of </w:t>
      </w:r>
      <w:r w:rsidR="002D53DF">
        <w:t>the sta</w:t>
      </w:r>
      <w:r w:rsidR="0087632A">
        <w:t>t</w:t>
      </w:r>
      <w:r w:rsidR="002D53DF">
        <w:t xml:space="preserve">us of any foreign power the proper course is that the Court should apply to His </w:t>
      </w:r>
      <w:r w:rsidR="00293E1D">
        <w:t>M</w:t>
      </w:r>
      <w:r w:rsidR="002D53DF">
        <w:t>ajesty’s Government</w:t>
      </w:r>
      <w:r w:rsidR="003E297A">
        <w:t>, and that in any such matter it is bound to act on the information given to them through</w:t>
      </w:r>
      <w:r w:rsidR="00253FAE">
        <w:t xml:space="preserve"> the proper department.  Such information is not in the nature of evidence; it is a statement by the Sovereign of this country through one of his ministers</w:t>
      </w:r>
      <w:r w:rsidR="008A38FF">
        <w:t xml:space="preserve"> upon a matter which is peculiarly within his congnizance.”</w:t>
      </w:r>
    </w:p>
    <w:p w14:paraId="7177123C" w14:textId="0F86341A" w:rsidR="00D35C0A" w:rsidRDefault="00340644" w:rsidP="00DB37C0">
      <w:pPr>
        <w:pStyle w:val="ParaLevel1"/>
        <w:numPr>
          <w:ilvl w:val="0"/>
          <w:numId w:val="0"/>
        </w:numPr>
        <w:ind w:left="720"/>
        <w:rPr>
          <w:iCs/>
        </w:rPr>
      </w:pPr>
      <w:r>
        <w:rPr>
          <w:iCs/>
        </w:rPr>
        <w:t>a</w:t>
      </w:r>
      <w:r w:rsidR="00207BB7">
        <w:rPr>
          <w:iCs/>
        </w:rPr>
        <w:t>nd</w:t>
      </w:r>
      <w:r>
        <w:rPr>
          <w:iCs/>
        </w:rPr>
        <w:t xml:space="preserve"> at </w:t>
      </w:r>
      <w:r w:rsidR="00D35C0A">
        <w:rPr>
          <w:iCs/>
        </w:rPr>
        <w:t>p. 815</w:t>
      </w:r>
      <w:r w:rsidR="00533246">
        <w:rPr>
          <w:iCs/>
        </w:rPr>
        <w:t>:</w:t>
      </w:r>
    </w:p>
    <w:p w14:paraId="6FA7E838" w14:textId="00A91C8A" w:rsidR="00533246" w:rsidRPr="007B66D3" w:rsidRDefault="00533246" w:rsidP="00086F38">
      <w:pPr>
        <w:pStyle w:val="Quote"/>
        <w:rPr>
          <w:i/>
        </w:rPr>
      </w:pPr>
      <w:r>
        <w:t xml:space="preserve">“There is no ground for saying that </w:t>
      </w:r>
      <w:r w:rsidR="00BC45F3">
        <w:t>because the question involves considerations of law, these must be determined by the Courts.  The answer of the King, through the appropriate department</w:t>
      </w:r>
      <w:r w:rsidR="00935C3B">
        <w:t>, settles the matter whether it depends on fact</w:t>
      </w:r>
      <w:r w:rsidR="002706C4">
        <w:t xml:space="preserve"> or on law</w:t>
      </w:r>
      <w:r w:rsidR="00935C3B">
        <w:t>.”</w:t>
      </w:r>
    </w:p>
    <w:p w14:paraId="7936CE39" w14:textId="7B08332F" w:rsidR="008A38FF" w:rsidRDefault="00340644" w:rsidP="00DB37C0">
      <w:pPr>
        <w:pStyle w:val="ParaLevel2"/>
        <w:numPr>
          <w:ilvl w:val="0"/>
          <w:numId w:val="0"/>
        </w:numPr>
        <w:ind w:left="1418" w:hanging="709"/>
      </w:pPr>
      <w:r>
        <w:lastRenderedPageBreak/>
        <w:t>a</w:t>
      </w:r>
      <w:r w:rsidR="008A38FF">
        <w:t>nd at p. 816:</w:t>
      </w:r>
    </w:p>
    <w:p w14:paraId="2DF5E06C" w14:textId="0E9E6406" w:rsidR="00CB46E1" w:rsidRDefault="008A38FF" w:rsidP="00086F38">
      <w:pPr>
        <w:pStyle w:val="Quote"/>
      </w:pPr>
      <w:r>
        <w:t>“</w:t>
      </w:r>
      <w:r w:rsidR="00EB0520">
        <w:t xml:space="preserve">But, as I have said, the </w:t>
      </w:r>
      <w:r w:rsidR="00C4317A">
        <w:t>question is not for us at all; it has been determined for us</w:t>
      </w:r>
      <w:r w:rsidR="00497B1D">
        <w:t xml:space="preserve"> </w:t>
      </w:r>
      <w:r w:rsidR="00C4317A">
        <w:t>by His Majesty’s Government</w:t>
      </w:r>
      <w:r w:rsidR="00A05B7C">
        <w:t xml:space="preserve">, which in such matters is the appropriate authority by whose opinion the Courts of His Majesty are </w:t>
      </w:r>
      <w:r w:rsidR="00CB46E1">
        <w:t>bound to abide.”</w:t>
      </w:r>
    </w:p>
    <w:p w14:paraId="294725BF" w14:textId="7607C82A" w:rsidR="00A65BE1" w:rsidRDefault="00CB46E1" w:rsidP="00DB37C0">
      <w:pPr>
        <w:pStyle w:val="ParaLevel1"/>
      </w:pPr>
      <w:r>
        <w:t>Lord Dunedin said at p</w:t>
      </w:r>
      <w:r w:rsidR="00A65BE1">
        <w:t>. 820</w:t>
      </w:r>
      <w:r w:rsidR="00935C3B">
        <w:t>:</w:t>
      </w:r>
    </w:p>
    <w:p w14:paraId="272D7414" w14:textId="3DEE38BB" w:rsidR="00A65BE1" w:rsidRDefault="00A65BE1" w:rsidP="00086F38">
      <w:pPr>
        <w:pStyle w:val="Quote"/>
      </w:pPr>
      <w:r>
        <w:t>“It seems</w:t>
      </w:r>
      <w:r w:rsidR="00D759EA">
        <w:t xml:space="preserve"> to</w:t>
      </w:r>
      <w:r>
        <w:t xml:space="preserve"> me that once you trace the doctrine for the freedo</w:t>
      </w:r>
      <w:r w:rsidR="00591645">
        <w:t>m of the foreign sovereign from the Courts of other nations to comity</w:t>
      </w:r>
      <w:r w:rsidR="00544D59">
        <w:t>, you necessarily conc</w:t>
      </w:r>
      <w:r w:rsidR="00D759EA">
        <w:t>e</w:t>
      </w:r>
      <w:r w:rsidR="00544D59">
        <w:t>de that the home sovereign has in him the only power and right of recognition</w:t>
      </w:r>
      <w:r w:rsidR="00AB3862">
        <w:t>.   If our sovereign recognises and expresses the recognition through the mouth of</w:t>
      </w:r>
      <w:r w:rsidR="003A30EE">
        <w:t xml:space="preserve"> his minister that another person is a sovereign, how could it be right for  the Courts of our own sovereign</w:t>
      </w:r>
      <w:r w:rsidR="00E23644">
        <w:t xml:space="preserve"> to proceed upon an examination of that person’s supposed attributes  to examine his claim, and</w:t>
      </w:r>
      <w:r w:rsidR="00FF112F">
        <w:t>, refusing that claim, to deny him that comity which their own sovereign had conceded?”</w:t>
      </w:r>
    </w:p>
    <w:p w14:paraId="306AFC46" w14:textId="6DF8E8BD" w:rsidR="00DD6F87" w:rsidRDefault="005D07FB" w:rsidP="00DB37C0">
      <w:pPr>
        <w:pStyle w:val="ParaLevel1"/>
      </w:pPr>
      <w:r>
        <w:t>Viscount Sumner</w:t>
      </w:r>
      <w:r w:rsidR="00F073ED">
        <w:t xml:space="preserve"> said at p. 824:</w:t>
      </w:r>
    </w:p>
    <w:p w14:paraId="01058FA1" w14:textId="46173EDD" w:rsidR="00F073ED" w:rsidRDefault="00F073ED" w:rsidP="00086F38">
      <w:pPr>
        <w:pStyle w:val="Quote"/>
      </w:pPr>
      <w:r>
        <w:t>“It is the prerogative of the Crown to recognize or withhold recognition</w:t>
      </w:r>
      <w:r w:rsidR="00E43687">
        <w:t xml:space="preserve"> from Sta</w:t>
      </w:r>
      <w:r w:rsidR="000F29CC">
        <w:t>t</w:t>
      </w:r>
      <w:r w:rsidR="00E43687">
        <w:t>es or chiefs of States, and to determine from time to time the status with which foreign powers are to be deemed to be invested</w:t>
      </w:r>
      <w:r w:rsidR="00C92762">
        <w:t>.  That being so, a foreign ruler, whom the Crown recognises as sovereign, is such a sovereign for the purposes of</w:t>
      </w:r>
      <w:r w:rsidR="002D7542">
        <w:t xml:space="preserve"> an English Court of Law….”</w:t>
      </w:r>
    </w:p>
    <w:p w14:paraId="49969E91" w14:textId="50E63E7D" w:rsidR="00B30E87" w:rsidRDefault="00B30E87" w:rsidP="00DB37C0">
      <w:pPr>
        <w:pStyle w:val="ParaLevel1"/>
      </w:pPr>
      <w:r>
        <w:t xml:space="preserve">In </w:t>
      </w:r>
      <w:r w:rsidRPr="00B30E87">
        <w:rPr>
          <w:i/>
          <w:iCs/>
        </w:rPr>
        <w:t xml:space="preserve">The </w:t>
      </w:r>
      <w:r w:rsidRPr="002628EC">
        <w:rPr>
          <w:i/>
          <w:iCs/>
        </w:rPr>
        <w:t>A</w:t>
      </w:r>
      <w:r>
        <w:rPr>
          <w:i/>
          <w:iCs/>
        </w:rPr>
        <w:t>r</w:t>
      </w:r>
      <w:r w:rsidRPr="002628EC">
        <w:rPr>
          <w:i/>
          <w:iCs/>
        </w:rPr>
        <w:t>an</w:t>
      </w:r>
      <w:r>
        <w:rPr>
          <w:i/>
          <w:iCs/>
        </w:rPr>
        <w:t>t</w:t>
      </w:r>
      <w:r w:rsidRPr="002628EC">
        <w:rPr>
          <w:i/>
          <w:iCs/>
        </w:rPr>
        <w:t>zazu Mend</w:t>
      </w:r>
      <w:r>
        <w:rPr>
          <w:i/>
          <w:iCs/>
        </w:rPr>
        <w:t>i</w:t>
      </w:r>
      <w:r>
        <w:t xml:space="preserve"> Lord Atkin made clear in the passage at p. 264 quoted above, which is often taken as the classic statement of the </w:t>
      </w:r>
      <w:r w:rsidR="00D759EA">
        <w:t>one voice principle</w:t>
      </w:r>
      <w:r>
        <w:t>, that it arises from the fact that it is for the Sov</w:t>
      </w:r>
      <w:r w:rsidR="00A2174A">
        <w:t xml:space="preserve">ereign </w:t>
      </w:r>
      <w:r>
        <w:t xml:space="preserve">to decide whom he </w:t>
      </w:r>
      <w:r w:rsidR="00A2174A">
        <w:t xml:space="preserve">or she </w:t>
      </w:r>
      <w:r>
        <w:t xml:space="preserve">will recognise as a fellow sovereign in the family of States; and </w:t>
      </w:r>
      <w:r w:rsidR="00A2174A">
        <w:t xml:space="preserve">that </w:t>
      </w:r>
      <w:r>
        <w:t xml:space="preserve">the relations of the foreign State with ours in the matter of State immunities must flow from that decision alone. </w:t>
      </w:r>
      <w:r w:rsidR="002D1C76">
        <w:t xml:space="preserve"> Lord Wright said at p</w:t>
      </w:r>
      <w:r w:rsidR="000848F8">
        <w:t>p</w:t>
      </w:r>
      <w:r w:rsidR="002D1C76">
        <w:t>.</w:t>
      </w:r>
      <w:r w:rsidR="00DE34B9">
        <w:t xml:space="preserve"> 267</w:t>
      </w:r>
      <w:r w:rsidR="000848F8">
        <w:t>-8</w:t>
      </w:r>
      <w:r w:rsidR="00DE34B9">
        <w:t>:</w:t>
      </w:r>
    </w:p>
    <w:p w14:paraId="5A766F2C" w14:textId="27050D7F" w:rsidR="00DE34B9" w:rsidRDefault="00DE34B9" w:rsidP="00086F38">
      <w:pPr>
        <w:pStyle w:val="Quote"/>
      </w:pPr>
      <w:r>
        <w:t xml:space="preserve">“The Court is, in my </w:t>
      </w:r>
      <w:r w:rsidR="0014072A">
        <w:t xml:space="preserve">opinion, bound without any qualification by the statement of the Foreign Office, which is the organ of His Majesty’s Government </w:t>
      </w:r>
      <w:r w:rsidR="002706C4">
        <w:t xml:space="preserve">for this purpose </w:t>
      </w:r>
      <w:r w:rsidR="00500FAC">
        <w:t xml:space="preserve">in a matter of </w:t>
      </w:r>
      <w:r w:rsidR="000149B9">
        <w:t>this nature</w:t>
      </w:r>
      <w:r w:rsidR="00500FAC">
        <w:t xml:space="preserve">.  Such </w:t>
      </w:r>
      <w:r w:rsidR="00BA3266">
        <w:t>a statement is a statement of fact, the contents of which are not open to be discussed by the Court on grounds of law.”</w:t>
      </w:r>
    </w:p>
    <w:p w14:paraId="1667B30A" w14:textId="6762A44B" w:rsidR="00EA46B7" w:rsidRPr="004F36CB" w:rsidRDefault="00EA46B7" w:rsidP="00DB37C0">
      <w:pPr>
        <w:pStyle w:val="ParaLevel1"/>
        <w:rPr>
          <w:iCs/>
        </w:rPr>
      </w:pPr>
      <w:r w:rsidRPr="004F36CB">
        <w:rPr>
          <w:iCs/>
        </w:rPr>
        <w:t>That being so, it follow</w:t>
      </w:r>
      <w:r w:rsidR="00FE1BDD">
        <w:rPr>
          <w:iCs/>
        </w:rPr>
        <w:t>s</w:t>
      </w:r>
      <w:r w:rsidRPr="004F36CB">
        <w:rPr>
          <w:iCs/>
        </w:rPr>
        <w:t xml:space="preserve"> that</w:t>
      </w:r>
      <w:r w:rsidR="000B1530" w:rsidRPr="004F36CB">
        <w:rPr>
          <w:iCs/>
        </w:rPr>
        <w:t xml:space="preserve"> the </w:t>
      </w:r>
      <w:r w:rsidR="00B67106">
        <w:rPr>
          <w:iCs/>
        </w:rPr>
        <w:t xml:space="preserve">English </w:t>
      </w:r>
      <w:r w:rsidR="000B1530" w:rsidRPr="004F36CB">
        <w:rPr>
          <w:iCs/>
        </w:rPr>
        <w:t>Court would be acting outside its proper constitutional sph</w:t>
      </w:r>
      <w:r w:rsidR="00403328" w:rsidRPr="004F36CB">
        <w:rPr>
          <w:iCs/>
        </w:rPr>
        <w:t>e</w:t>
      </w:r>
      <w:r w:rsidR="000B1530" w:rsidRPr="004F36CB">
        <w:rPr>
          <w:iCs/>
        </w:rPr>
        <w:t xml:space="preserve">re in </w:t>
      </w:r>
      <w:r w:rsidR="00403328" w:rsidRPr="004F36CB">
        <w:rPr>
          <w:iCs/>
        </w:rPr>
        <w:t>saying anything which is inconsistent with the statements of HMG</w:t>
      </w:r>
      <w:r w:rsidR="00FE1BDD">
        <w:rPr>
          <w:iCs/>
        </w:rPr>
        <w:t xml:space="preserve">’s recognition </w:t>
      </w:r>
      <w:r w:rsidR="009E43E6">
        <w:rPr>
          <w:iCs/>
        </w:rPr>
        <w:t>(or non</w:t>
      </w:r>
      <w:r w:rsidR="00D759EA">
        <w:rPr>
          <w:iCs/>
        </w:rPr>
        <w:t>-</w:t>
      </w:r>
      <w:r w:rsidR="009E43E6">
        <w:rPr>
          <w:iCs/>
        </w:rPr>
        <w:t xml:space="preserve">recognition) </w:t>
      </w:r>
      <w:r w:rsidR="0074054A">
        <w:rPr>
          <w:iCs/>
        </w:rPr>
        <w:t>of a foreign government as sovereign</w:t>
      </w:r>
      <w:r w:rsidR="00EF6232">
        <w:rPr>
          <w:iCs/>
        </w:rPr>
        <w:t>,</w:t>
      </w:r>
      <w:r w:rsidR="0074054A">
        <w:rPr>
          <w:iCs/>
        </w:rPr>
        <w:t xml:space="preserve"> because </w:t>
      </w:r>
      <w:r w:rsidR="008406D2">
        <w:rPr>
          <w:iCs/>
        </w:rPr>
        <w:t xml:space="preserve">they are a matter for HMG as the </w:t>
      </w:r>
      <w:r w:rsidR="008A32C5">
        <w:rPr>
          <w:iCs/>
        </w:rPr>
        <w:t>Crown acting in its executive capacity</w:t>
      </w:r>
      <w:r w:rsidR="00792D2F">
        <w:rPr>
          <w:iCs/>
        </w:rPr>
        <w:t xml:space="preserve">.  </w:t>
      </w:r>
      <w:r w:rsidR="00DC0E92">
        <w:rPr>
          <w:iCs/>
        </w:rPr>
        <w:t xml:space="preserve">  </w:t>
      </w:r>
    </w:p>
    <w:p w14:paraId="6D5F3453" w14:textId="7333FECE" w:rsidR="00EA546B" w:rsidRPr="000848F8" w:rsidRDefault="00FD401F" w:rsidP="00DB37C0">
      <w:pPr>
        <w:pStyle w:val="ParaLevel1"/>
      </w:pPr>
      <w:r w:rsidRPr="002C4D76">
        <w:rPr>
          <w:iCs/>
        </w:rPr>
        <w:t>Third</w:t>
      </w:r>
      <w:r w:rsidR="00D759EA">
        <w:rPr>
          <w:iCs/>
        </w:rPr>
        <w:t>ly</w:t>
      </w:r>
      <w:r w:rsidRPr="002C4D76">
        <w:rPr>
          <w:iCs/>
        </w:rPr>
        <w:t xml:space="preserve">, </w:t>
      </w:r>
      <w:r w:rsidR="00CE6D05" w:rsidRPr="002C4D76">
        <w:rPr>
          <w:iCs/>
        </w:rPr>
        <w:t>it also follows a</w:t>
      </w:r>
      <w:r w:rsidR="004A0CBC">
        <w:rPr>
          <w:iCs/>
        </w:rPr>
        <w:t xml:space="preserve">s a matter of principle that the Court </w:t>
      </w:r>
      <w:r w:rsidR="00263C00" w:rsidRPr="002C4D76">
        <w:rPr>
          <w:iCs/>
        </w:rPr>
        <w:t xml:space="preserve">must not express a contrary view </w:t>
      </w:r>
      <w:r w:rsidR="00263C00" w:rsidRPr="00EF6232">
        <w:rPr>
          <w:iCs/>
        </w:rPr>
        <w:t>for any purpose,</w:t>
      </w:r>
      <w:r w:rsidR="00263C00" w:rsidRPr="002C4D76">
        <w:rPr>
          <w:iCs/>
        </w:rPr>
        <w:t xml:space="preserve"> which w</w:t>
      </w:r>
      <w:r w:rsidR="00792D2F">
        <w:rPr>
          <w:iCs/>
        </w:rPr>
        <w:t>ould in</w:t>
      </w:r>
      <w:r w:rsidR="00263C00" w:rsidRPr="002C4D76">
        <w:rPr>
          <w:iCs/>
        </w:rPr>
        <w:t>clude</w:t>
      </w:r>
      <w:r w:rsidR="008A7F21" w:rsidRPr="002C4D76">
        <w:rPr>
          <w:iCs/>
        </w:rPr>
        <w:t xml:space="preserve"> such contrary view as an essential step of its reasoning.  </w:t>
      </w:r>
      <w:r w:rsidR="00156A9C">
        <w:rPr>
          <w:iCs/>
        </w:rPr>
        <w:t>To do so would undermine the very fabric of the doc</w:t>
      </w:r>
      <w:r w:rsidR="00582E2E">
        <w:rPr>
          <w:iCs/>
        </w:rPr>
        <w:t>trine.</w:t>
      </w:r>
      <w:r w:rsidR="00661AFD">
        <w:rPr>
          <w:iCs/>
        </w:rPr>
        <w:t xml:space="preserve">  </w:t>
      </w:r>
      <w:r w:rsidR="00CC4E91" w:rsidRPr="002C4D76">
        <w:rPr>
          <w:iCs/>
        </w:rPr>
        <w:t xml:space="preserve">Hence the words of </w:t>
      </w:r>
      <w:r w:rsidR="008A7F21" w:rsidRPr="002C4D76">
        <w:rPr>
          <w:iCs/>
        </w:rPr>
        <w:t xml:space="preserve">Clauson J in the </w:t>
      </w:r>
      <w:r w:rsidR="008A7F21" w:rsidRPr="002C4D76">
        <w:rPr>
          <w:i/>
        </w:rPr>
        <w:t>Bank of Ethiopia</w:t>
      </w:r>
      <w:r w:rsidR="008A7F21" w:rsidRPr="002C4D76">
        <w:rPr>
          <w:iCs/>
        </w:rPr>
        <w:t xml:space="preserve"> </w:t>
      </w:r>
      <w:r w:rsidR="002C4D76" w:rsidRPr="002C4D76">
        <w:rPr>
          <w:iCs/>
        </w:rPr>
        <w:t>at p. 522</w:t>
      </w:r>
      <w:r w:rsidR="004A0CBC">
        <w:rPr>
          <w:iCs/>
        </w:rPr>
        <w:t xml:space="preserve"> </w:t>
      </w:r>
      <w:r w:rsidR="000B170A">
        <w:rPr>
          <w:iCs/>
        </w:rPr>
        <w:t xml:space="preserve">quoted above </w:t>
      </w:r>
      <w:r w:rsidR="00803B25">
        <w:rPr>
          <w:iCs/>
        </w:rPr>
        <w:t xml:space="preserve">that the </w:t>
      </w:r>
      <w:r w:rsidR="00803B25">
        <w:rPr>
          <w:iCs/>
        </w:rPr>
        <w:lastRenderedPageBreak/>
        <w:t xml:space="preserve">recognised de facto government must be treated as a duly recognised </w:t>
      </w:r>
      <w:r w:rsidR="00D308E5">
        <w:rPr>
          <w:iCs/>
        </w:rPr>
        <w:t xml:space="preserve">foreign sovereign state “for all purposes” and the de jure monarch’s theoretical rights cannot be taken into account by the court “in any way”.  </w:t>
      </w:r>
      <w:r w:rsidR="002C4D76">
        <w:t xml:space="preserve"> </w:t>
      </w:r>
      <w:r w:rsidR="000E234B" w:rsidRPr="000848F8">
        <w:rPr>
          <w:iCs/>
        </w:rPr>
        <w:t xml:space="preserve">So too in the </w:t>
      </w:r>
      <w:r w:rsidR="004F5A6D" w:rsidRPr="000848F8">
        <w:rPr>
          <w:iCs/>
        </w:rPr>
        <w:t xml:space="preserve">judgment of Lord Wright in </w:t>
      </w:r>
      <w:r w:rsidR="004F5A6D" w:rsidRPr="000848F8">
        <w:rPr>
          <w:i/>
        </w:rPr>
        <w:t>The Arantzazu  Mendi</w:t>
      </w:r>
      <w:r w:rsidR="004F5A6D" w:rsidRPr="000848F8">
        <w:rPr>
          <w:iCs/>
        </w:rPr>
        <w:t xml:space="preserve"> at </w:t>
      </w:r>
      <w:r w:rsidR="000848F8">
        <w:rPr>
          <w:iCs/>
        </w:rPr>
        <w:t>p</w:t>
      </w:r>
      <w:r w:rsidR="004F5A6D" w:rsidRPr="000848F8">
        <w:rPr>
          <w:iCs/>
        </w:rPr>
        <w:t>p. 26</w:t>
      </w:r>
      <w:r w:rsidR="009B3686" w:rsidRPr="000848F8">
        <w:rPr>
          <w:iCs/>
        </w:rPr>
        <w:t>7-8 quoted above</w:t>
      </w:r>
      <w:r w:rsidR="00426828">
        <w:rPr>
          <w:iCs/>
        </w:rPr>
        <w:t>,</w:t>
      </w:r>
      <w:r w:rsidR="009B3686" w:rsidRPr="000848F8">
        <w:rPr>
          <w:iCs/>
        </w:rPr>
        <w:t xml:space="preserve"> the court is said to be bound </w:t>
      </w:r>
      <w:r w:rsidR="000848F8" w:rsidRPr="000848F8">
        <w:rPr>
          <w:iCs/>
        </w:rPr>
        <w:t>“without any qualification</w:t>
      </w:r>
      <w:r w:rsidR="000848F8">
        <w:rPr>
          <w:iCs/>
        </w:rPr>
        <w:t xml:space="preserve">” </w:t>
      </w:r>
      <w:r w:rsidR="009B3686" w:rsidRPr="000848F8">
        <w:rPr>
          <w:iCs/>
        </w:rPr>
        <w:t>by</w:t>
      </w:r>
      <w:r w:rsidR="00347136" w:rsidRPr="000848F8">
        <w:rPr>
          <w:iCs/>
        </w:rPr>
        <w:t xml:space="preserve"> HMG’s statement of recognition.  </w:t>
      </w:r>
      <w:r w:rsidR="00ED6545">
        <w:rPr>
          <w:iCs/>
        </w:rPr>
        <w:t xml:space="preserve">The question is one of substance not form, as is </w:t>
      </w:r>
      <w:r w:rsidR="0052308B">
        <w:rPr>
          <w:iCs/>
        </w:rPr>
        <w:t xml:space="preserve">emphasised </w:t>
      </w:r>
      <w:r w:rsidR="00891183" w:rsidRPr="000848F8">
        <w:rPr>
          <w:iCs/>
        </w:rPr>
        <w:t xml:space="preserve">in the language of </w:t>
      </w:r>
      <w:r w:rsidR="002706C4">
        <w:rPr>
          <w:iCs/>
        </w:rPr>
        <w:t xml:space="preserve">Sir John Donaldson </w:t>
      </w:r>
      <w:r w:rsidR="00891183" w:rsidRPr="000848F8">
        <w:rPr>
          <w:iCs/>
        </w:rPr>
        <w:t xml:space="preserve">MR in </w:t>
      </w:r>
      <w:r w:rsidR="00891183" w:rsidRPr="000848F8">
        <w:rPr>
          <w:i/>
        </w:rPr>
        <w:t>Gur v Trust Bank</w:t>
      </w:r>
      <w:r w:rsidR="00891183" w:rsidRPr="000848F8">
        <w:rPr>
          <w:iCs/>
        </w:rPr>
        <w:t xml:space="preserve"> at p. 620E-F </w:t>
      </w:r>
      <w:r w:rsidR="003217BE">
        <w:rPr>
          <w:iCs/>
        </w:rPr>
        <w:t xml:space="preserve">articulating an </w:t>
      </w:r>
      <w:r w:rsidR="00AB0659" w:rsidRPr="000848F8">
        <w:rPr>
          <w:iCs/>
        </w:rPr>
        <w:t>objection to allowing procedural devices to obscure the basic public policy constraint</w:t>
      </w:r>
      <w:r w:rsidR="00DD629D" w:rsidRPr="000848F8">
        <w:rPr>
          <w:iCs/>
        </w:rPr>
        <w:t>;</w:t>
      </w:r>
      <w:r w:rsidR="002F0A49" w:rsidRPr="000848F8">
        <w:rPr>
          <w:iCs/>
        </w:rPr>
        <w:t xml:space="preserve"> and in Scr</w:t>
      </w:r>
      <w:r w:rsidR="00A61AA7" w:rsidRPr="000848F8">
        <w:rPr>
          <w:iCs/>
        </w:rPr>
        <w:t>u</w:t>
      </w:r>
      <w:r w:rsidR="002F0A49" w:rsidRPr="000848F8">
        <w:rPr>
          <w:iCs/>
        </w:rPr>
        <w:t>tton L</w:t>
      </w:r>
      <w:r w:rsidR="00596B92" w:rsidRPr="000848F8">
        <w:rPr>
          <w:iCs/>
        </w:rPr>
        <w:t xml:space="preserve">J’s dictum in </w:t>
      </w:r>
      <w:r w:rsidR="00596B92" w:rsidRPr="000848F8">
        <w:rPr>
          <w:i/>
        </w:rPr>
        <w:t>Luther v Sagor</w:t>
      </w:r>
      <w:r w:rsidR="00596B92" w:rsidRPr="000848F8">
        <w:rPr>
          <w:iCs/>
        </w:rPr>
        <w:t xml:space="preserve"> at p. 555 that what the court cannot do directly it cannot do indirectly.  </w:t>
      </w:r>
      <w:r w:rsidR="00582E2E" w:rsidRPr="000848F8">
        <w:rPr>
          <w:iCs/>
        </w:rPr>
        <w:t xml:space="preserve"> </w:t>
      </w:r>
    </w:p>
    <w:p w14:paraId="698CD645" w14:textId="3314B75E" w:rsidR="00094A66" w:rsidRPr="00094A66" w:rsidRDefault="005D4E50" w:rsidP="00DB37C0">
      <w:pPr>
        <w:pStyle w:val="ParaLevel1"/>
        <w:rPr>
          <w:i/>
        </w:rPr>
      </w:pPr>
      <w:r>
        <w:rPr>
          <w:iCs/>
        </w:rPr>
        <w:t>The Appellants</w:t>
      </w:r>
      <w:r w:rsidR="003F5D23">
        <w:rPr>
          <w:iCs/>
        </w:rPr>
        <w:t xml:space="preserve">’ argument posits a </w:t>
      </w:r>
      <w:r>
        <w:rPr>
          <w:iCs/>
        </w:rPr>
        <w:t xml:space="preserve">distinction between the identification of </w:t>
      </w:r>
      <w:r w:rsidR="00C66AB4">
        <w:rPr>
          <w:iCs/>
        </w:rPr>
        <w:t xml:space="preserve">the existence of </w:t>
      </w:r>
      <w:r>
        <w:rPr>
          <w:iCs/>
        </w:rPr>
        <w:t>a foreign government</w:t>
      </w:r>
      <w:r w:rsidR="000846F3">
        <w:rPr>
          <w:iCs/>
        </w:rPr>
        <w:t xml:space="preserve"> and its acts, </w:t>
      </w:r>
      <w:r w:rsidR="003A41D6">
        <w:rPr>
          <w:iCs/>
        </w:rPr>
        <w:t>a distinction between it “being” and “doing”</w:t>
      </w:r>
      <w:r w:rsidR="003F5D23">
        <w:rPr>
          <w:iCs/>
        </w:rPr>
        <w:t xml:space="preserve">; and that </w:t>
      </w:r>
      <w:r w:rsidR="00EE101F">
        <w:rPr>
          <w:iCs/>
        </w:rPr>
        <w:t xml:space="preserve">the former is </w:t>
      </w:r>
      <w:r w:rsidR="0021303D">
        <w:rPr>
          <w:iCs/>
        </w:rPr>
        <w:t xml:space="preserve">a matter of recognition </w:t>
      </w:r>
      <w:r w:rsidR="00EE101F">
        <w:rPr>
          <w:iCs/>
        </w:rPr>
        <w:t>governed by the o</w:t>
      </w:r>
      <w:r w:rsidR="000846F3">
        <w:rPr>
          <w:iCs/>
        </w:rPr>
        <w:t>ne voice principle and the latter not</w:t>
      </w:r>
      <w:r w:rsidR="00EE101F">
        <w:rPr>
          <w:iCs/>
        </w:rPr>
        <w:t xml:space="preserve">.  </w:t>
      </w:r>
      <w:r w:rsidR="004813C2">
        <w:rPr>
          <w:iCs/>
        </w:rPr>
        <w:t xml:space="preserve">However on the facts of this case </w:t>
      </w:r>
      <w:r w:rsidR="003621F6">
        <w:rPr>
          <w:iCs/>
        </w:rPr>
        <w:t xml:space="preserve">it is a distinction without a difference.  </w:t>
      </w:r>
      <w:r w:rsidR="00BF1FC1">
        <w:rPr>
          <w:iCs/>
        </w:rPr>
        <w:t xml:space="preserve">The two </w:t>
      </w:r>
      <w:r w:rsidR="00A10755">
        <w:rPr>
          <w:iCs/>
        </w:rPr>
        <w:t xml:space="preserve">specific </w:t>
      </w:r>
      <w:r w:rsidR="004813C2">
        <w:rPr>
          <w:iCs/>
        </w:rPr>
        <w:t xml:space="preserve">challenges to the </w:t>
      </w:r>
      <w:r w:rsidR="003F208A">
        <w:rPr>
          <w:iCs/>
        </w:rPr>
        <w:t xml:space="preserve">relevant </w:t>
      </w:r>
      <w:r w:rsidR="004813C2">
        <w:rPr>
          <w:iCs/>
        </w:rPr>
        <w:t>acts of the GNA</w:t>
      </w:r>
      <w:r w:rsidR="00BF1FC1">
        <w:rPr>
          <w:iCs/>
        </w:rPr>
        <w:t xml:space="preserve">, the vote of confidence challenge and the </w:t>
      </w:r>
      <w:r w:rsidR="00586166">
        <w:rPr>
          <w:iCs/>
        </w:rPr>
        <w:t>consultation/</w:t>
      </w:r>
      <w:r w:rsidR="00A06C46">
        <w:rPr>
          <w:iCs/>
        </w:rPr>
        <w:t>approval challenge,</w:t>
      </w:r>
      <w:r w:rsidR="00BE7072">
        <w:rPr>
          <w:iCs/>
        </w:rPr>
        <w:t xml:space="preserve"> </w:t>
      </w:r>
      <w:r w:rsidR="003F208A">
        <w:rPr>
          <w:iCs/>
        </w:rPr>
        <w:t>are necessarily challenges to its existence because the</w:t>
      </w:r>
      <w:r w:rsidR="00BE341B">
        <w:rPr>
          <w:iCs/>
        </w:rPr>
        <w:t xml:space="preserve">y </w:t>
      </w:r>
      <w:r w:rsidR="00147E8B">
        <w:rPr>
          <w:iCs/>
        </w:rPr>
        <w:t xml:space="preserve">proceed from the premise that the </w:t>
      </w:r>
      <w:r w:rsidR="009F0C82">
        <w:rPr>
          <w:iCs/>
        </w:rPr>
        <w:t xml:space="preserve">GNA </w:t>
      </w:r>
      <w:r w:rsidR="00712422">
        <w:rPr>
          <w:iCs/>
        </w:rPr>
        <w:t xml:space="preserve">is not and has never been </w:t>
      </w:r>
      <w:r w:rsidR="00E76677">
        <w:rPr>
          <w:iCs/>
        </w:rPr>
        <w:t xml:space="preserve">the sole executive government of Libya.  </w:t>
      </w:r>
      <w:r w:rsidR="00B54EEC">
        <w:rPr>
          <w:iCs/>
        </w:rPr>
        <w:t xml:space="preserve">If the court were to entertain and accept the argument, it would </w:t>
      </w:r>
      <w:r w:rsidR="00C71933">
        <w:rPr>
          <w:iCs/>
        </w:rPr>
        <w:t xml:space="preserve">set the HMG recognition </w:t>
      </w:r>
      <w:r w:rsidR="00712422">
        <w:rPr>
          <w:iCs/>
        </w:rPr>
        <w:t>of the GNA as the sole executive</w:t>
      </w:r>
      <w:r w:rsidR="008D1440">
        <w:rPr>
          <w:iCs/>
        </w:rPr>
        <w:t xml:space="preserve"> government at </w:t>
      </w:r>
      <w:r w:rsidR="00C71933">
        <w:rPr>
          <w:iCs/>
        </w:rPr>
        <w:t>nought</w:t>
      </w:r>
      <w:r w:rsidR="00134408">
        <w:rPr>
          <w:iCs/>
        </w:rPr>
        <w:t>, because it would involve saying that the</w:t>
      </w:r>
      <w:r w:rsidR="003621F6">
        <w:rPr>
          <w:iCs/>
        </w:rPr>
        <w:t xml:space="preserve"> government so recognised cannot validly do anything</w:t>
      </w:r>
      <w:r w:rsidR="008D1440">
        <w:rPr>
          <w:iCs/>
        </w:rPr>
        <w:t xml:space="preserve">, or cannot </w:t>
      </w:r>
      <w:r w:rsidR="00BC7BD7">
        <w:rPr>
          <w:iCs/>
        </w:rPr>
        <w:t xml:space="preserve">validly do so without consultation </w:t>
      </w:r>
      <w:r w:rsidR="00BE7072">
        <w:rPr>
          <w:iCs/>
        </w:rPr>
        <w:t xml:space="preserve">with </w:t>
      </w:r>
      <w:r w:rsidR="00BC7BD7">
        <w:rPr>
          <w:iCs/>
        </w:rPr>
        <w:t xml:space="preserve">the </w:t>
      </w:r>
      <w:r w:rsidR="00BE7072">
        <w:rPr>
          <w:iCs/>
        </w:rPr>
        <w:t>Ho</w:t>
      </w:r>
      <w:r w:rsidR="006A3097">
        <w:rPr>
          <w:iCs/>
        </w:rPr>
        <w:t>R or</w:t>
      </w:r>
      <w:r w:rsidR="00BE7072">
        <w:rPr>
          <w:iCs/>
        </w:rPr>
        <w:t xml:space="preserve"> its approval</w:t>
      </w:r>
      <w:r w:rsidR="00BC7BD7">
        <w:rPr>
          <w:iCs/>
        </w:rPr>
        <w:t xml:space="preserve">. </w:t>
      </w:r>
      <w:r w:rsidR="00BE7072">
        <w:rPr>
          <w:iCs/>
        </w:rPr>
        <w:t xml:space="preserve"> </w:t>
      </w:r>
      <w:r w:rsidR="00137FF5">
        <w:rPr>
          <w:iCs/>
        </w:rPr>
        <w:t xml:space="preserve">The arguments which the one voice principle precludes in this case are in </w:t>
      </w:r>
      <w:r w:rsidR="003621F6">
        <w:rPr>
          <w:iCs/>
        </w:rPr>
        <w:t xml:space="preserve">substance a challenge to </w:t>
      </w:r>
      <w:r w:rsidR="00712422">
        <w:rPr>
          <w:iCs/>
        </w:rPr>
        <w:t xml:space="preserve">the existence of a recognised foreign government, not merely to its acts.  </w:t>
      </w:r>
      <w:r w:rsidR="00E1306F">
        <w:rPr>
          <w:iCs/>
        </w:rPr>
        <w:t xml:space="preserve">As </w:t>
      </w:r>
      <w:r w:rsidR="00653CED">
        <w:rPr>
          <w:iCs/>
        </w:rPr>
        <w:t xml:space="preserve">Clauson J said in the </w:t>
      </w:r>
      <w:r w:rsidR="00653CED" w:rsidRPr="00AB7BDC">
        <w:rPr>
          <w:i/>
        </w:rPr>
        <w:t>Bank of Ethiopia</w:t>
      </w:r>
      <w:r w:rsidR="00653CED">
        <w:rPr>
          <w:iCs/>
        </w:rPr>
        <w:t xml:space="preserve"> case at p</w:t>
      </w:r>
      <w:r w:rsidR="000848F8">
        <w:rPr>
          <w:iCs/>
        </w:rPr>
        <w:t xml:space="preserve">. </w:t>
      </w:r>
      <w:r w:rsidR="00BD37AB">
        <w:rPr>
          <w:iCs/>
        </w:rPr>
        <w:t xml:space="preserve">522 of a </w:t>
      </w:r>
      <w:r w:rsidR="00CA1D35">
        <w:rPr>
          <w:iCs/>
        </w:rPr>
        <w:t xml:space="preserve">de facto government where there is no other </w:t>
      </w:r>
      <w:r w:rsidR="00035D1A">
        <w:rPr>
          <w:iCs/>
        </w:rPr>
        <w:t xml:space="preserve">governmental authority: </w:t>
      </w:r>
      <w:r w:rsidR="00035D1A" w:rsidRPr="00D25733">
        <w:rPr>
          <w:iCs/>
        </w:rPr>
        <w:t>“</w:t>
      </w:r>
      <w:r w:rsidR="00AB7BDC" w:rsidRPr="00D25733">
        <w:rPr>
          <w:iCs/>
        </w:rPr>
        <w:t xml:space="preserve">its acts must…. </w:t>
      </w:r>
      <w:r w:rsidR="001728CE" w:rsidRPr="00D25733">
        <w:rPr>
          <w:iCs/>
        </w:rPr>
        <w:t>n</w:t>
      </w:r>
      <w:r w:rsidR="00AB7BDC" w:rsidRPr="00D25733">
        <w:rPr>
          <w:iCs/>
        </w:rPr>
        <w:t xml:space="preserve">ecessarily have the status of </w:t>
      </w:r>
      <w:r w:rsidR="001728CE" w:rsidRPr="00D25733">
        <w:rPr>
          <w:iCs/>
        </w:rPr>
        <w:t xml:space="preserve">acts of </w:t>
      </w:r>
      <w:r w:rsidR="00AB7BDC" w:rsidRPr="00D25733">
        <w:rPr>
          <w:iCs/>
        </w:rPr>
        <w:t>a fully responsible government.”</w:t>
      </w:r>
    </w:p>
    <w:p w14:paraId="4A003026" w14:textId="7EED1D60" w:rsidR="004C507C" w:rsidRPr="007D02DC" w:rsidRDefault="004C507C" w:rsidP="00DB37C0">
      <w:pPr>
        <w:pStyle w:val="ParaLevel1"/>
        <w:rPr>
          <w:i/>
        </w:rPr>
      </w:pPr>
      <w:r>
        <w:t xml:space="preserve">I therefore reject the Appellants’ main argument. </w:t>
      </w:r>
      <w:r w:rsidR="00F00F9E">
        <w:t xml:space="preserve"> Its sophistry is </w:t>
      </w:r>
      <w:r>
        <w:t>apparent from paragraph 33 of Mr Breish’s skeleton argument which was repeated in oral submission:</w:t>
      </w:r>
    </w:p>
    <w:p w14:paraId="04440384" w14:textId="77777777" w:rsidR="004C507C" w:rsidRPr="00326EFD" w:rsidRDefault="004C507C" w:rsidP="00086F38">
      <w:pPr>
        <w:pStyle w:val="Quote"/>
      </w:pPr>
      <w:r w:rsidRPr="00326EFD">
        <w:t xml:space="preserve">“the one voice doctrine means that an English court cannot </w:t>
      </w:r>
      <w:r w:rsidRPr="00650FC7">
        <w:rPr>
          <w:u w:val="single"/>
        </w:rPr>
        <w:t>refuse to recognise</w:t>
      </w:r>
      <w:r w:rsidRPr="00326EFD">
        <w:t xml:space="preserve"> a foreign government on the basis </w:t>
      </w:r>
      <w:r w:rsidRPr="00650FC7">
        <w:rPr>
          <w:u w:val="single"/>
        </w:rPr>
        <w:t>that it is not lawfully constituted</w:t>
      </w:r>
      <w:r w:rsidRPr="00326EFD">
        <w:t xml:space="preserve"> as a matter of the applicable foreign law or that it is a de facto rather than a de jure government. But that does not mean that an English court can never consider (because of one voice) whether a foreign government has been lawfully constituted under the foreign applicable law. The purpose and context of the question – is the foreign government lawfully constituted under the applicable foreign law? – is critical. Although an English court cannot consider the question for the purpose of refusing to recognise the foreign government, the one voice doctrine does not preclude consideration of the question where (a) it is necessary for the court to resolve the question in order to determine the rights and obligations of the parties before it and (b) the question arises pursuant to the applicable foreign law (i.e. it is that law that requires the question to be asked).</w:t>
      </w:r>
      <w:r>
        <w:t>” (emphasis in original)</w:t>
      </w:r>
    </w:p>
    <w:p w14:paraId="7DE74644" w14:textId="091599BF" w:rsidR="00830585" w:rsidRPr="00830585" w:rsidRDefault="004C507C" w:rsidP="00DB37C0">
      <w:pPr>
        <w:pStyle w:val="ParaLevel1"/>
        <w:rPr>
          <w:i/>
        </w:rPr>
      </w:pPr>
      <w:r w:rsidRPr="0095319A">
        <w:rPr>
          <w:iCs/>
        </w:rPr>
        <w:t xml:space="preserve">The proposition that an English court </w:t>
      </w:r>
      <w:r w:rsidR="006652D8">
        <w:rPr>
          <w:iCs/>
        </w:rPr>
        <w:t xml:space="preserve">cannot </w:t>
      </w:r>
      <w:r w:rsidRPr="0095319A">
        <w:rPr>
          <w:iCs/>
        </w:rPr>
        <w:t xml:space="preserve">refuse to </w:t>
      </w:r>
      <w:r w:rsidR="00F51B79">
        <w:rPr>
          <w:iCs/>
        </w:rPr>
        <w:t>give effect to</w:t>
      </w:r>
      <w:r w:rsidR="00865BDF">
        <w:rPr>
          <w:iCs/>
        </w:rPr>
        <w:t xml:space="preserve"> the sovereign status of a recognised </w:t>
      </w:r>
      <w:r w:rsidRPr="0095319A">
        <w:rPr>
          <w:iCs/>
        </w:rPr>
        <w:t xml:space="preserve">de facto foreign government on the </w:t>
      </w:r>
      <w:r w:rsidR="003A61E5" w:rsidRPr="0095319A">
        <w:rPr>
          <w:iCs/>
        </w:rPr>
        <w:t xml:space="preserve">grounds </w:t>
      </w:r>
      <w:r w:rsidRPr="0095319A">
        <w:rPr>
          <w:iCs/>
        </w:rPr>
        <w:t xml:space="preserve">that it is not lawfully constituted as a matter of the applicable foreign law is sound, as the authorities cited </w:t>
      </w:r>
      <w:r w:rsidRPr="0095319A">
        <w:rPr>
          <w:iCs/>
        </w:rPr>
        <w:lastRenderedPageBreak/>
        <w:t>above make clear</w:t>
      </w:r>
      <w:r w:rsidR="00065405" w:rsidRPr="0095319A">
        <w:rPr>
          <w:iCs/>
        </w:rPr>
        <w:t xml:space="preserve">.  However  </w:t>
      </w:r>
      <w:r w:rsidRPr="0095319A">
        <w:rPr>
          <w:iCs/>
        </w:rPr>
        <w:t xml:space="preserve">the supposed exceptions </w:t>
      </w:r>
      <w:r w:rsidR="00F57AE9">
        <w:rPr>
          <w:iCs/>
        </w:rPr>
        <w:t xml:space="preserve">suggested in </w:t>
      </w:r>
      <w:r w:rsidRPr="0095319A">
        <w:rPr>
          <w:iCs/>
        </w:rPr>
        <w:t xml:space="preserve">(a) and (b) would apply in every case: the question will always arise in the context of the Court determining the rights </w:t>
      </w:r>
      <w:r w:rsidR="007E0884" w:rsidRPr="0095319A">
        <w:rPr>
          <w:iCs/>
        </w:rPr>
        <w:t xml:space="preserve">and obligations of </w:t>
      </w:r>
      <w:r w:rsidRPr="0095319A">
        <w:rPr>
          <w:iCs/>
        </w:rPr>
        <w:t>the parties; and if permissible will always involve applying the relevant foreign law to whether the foreign government is lawfully constituted.</w:t>
      </w:r>
    </w:p>
    <w:p w14:paraId="40478D09" w14:textId="6AB7DADE" w:rsidR="004C507C" w:rsidRPr="00787C8F" w:rsidRDefault="007D02DC" w:rsidP="00DB37C0">
      <w:pPr>
        <w:pStyle w:val="ParaLevel1"/>
        <w:rPr>
          <w:i/>
        </w:rPr>
      </w:pPr>
      <w:r w:rsidRPr="0095319A">
        <w:rPr>
          <w:iCs/>
        </w:rPr>
        <w:t xml:space="preserve">The </w:t>
      </w:r>
      <w:r w:rsidR="00590C38">
        <w:rPr>
          <w:iCs/>
        </w:rPr>
        <w:t xml:space="preserve">suggested </w:t>
      </w:r>
      <w:r w:rsidR="000A76FD">
        <w:rPr>
          <w:iCs/>
        </w:rPr>
        <w:t xml:space="preserve">qualification to the </w:t>
      </w:r>
      <w:r w:rsidRPr="0095319A">
        <w:rPr>
          <w:iCs/>
        </w:rPr>
        <w:t xml:space="preserve">concession that </w:t>
      </w:r>
      <w:r w:rsidR="007C4A59" w:rsidRPr="0095319A">
        <w:rPr>
          <w:iCs/>
        </w:rPr>
        <w:t xml:space="preserve">the English Court cannot </w:t>
      </w:r>
      <w:r w:rsidR="00E33A97" w:rsidRPr="0095319A">
        <w:rPr>
          <w:iCs/>
        </w:rPr>
        <w:t xml:space="preserve">consider the question </w:t>
      </w:r>
      <w:r w:rsidR="00ED5C76">
        <w:rPr>
          <w:iCs/>
        </w:rPr>
        <w:t>of constit</w:t>
      </w:r>
      <w:r w:rsidR="008E792A">
        <w:rPr>
          <w:iCs/>
        </w:rPr>
        <w:t>utional lawfulness</w:t>
      </w:r>
      <w:r w:rsidR="00F9179F">
        <w:rPr>
          <w:iCs/>
        </w:rPr>
        <w:t>, namely that that is so only “</w:t>
      </w:r>
      <w:r w:rsidR="00E33A97" w:rsidRPr="00F9179F">
        <w:rPr>
          <w:iCs/>
        </w:rPr>
        <w:t>for the purposes of</w:t>
      </w:r>
      <w:r w:rsidR="001265D9" w:rsidRPr="00F9179F">
        <w:rPr>
          <w:iCs/>
        </w:rPr>
        <w:t xml:space="preserve"> refusing to recognise the foreign government</w:t>
      </w:r>
      <w:r w:rsidR="001265D9" w:rsidRPr="0095319A">
        <w:rPr>
          <w:iCs/>
        </w:rPr>
        <w:t>”</w:t>
      </w:r>
      <w:r w:rsidR="00F9179F">
        <w:rPr>
          <w:iCs/>
        </w:rPr>
        <w:t xml:space="preserve">, </w:t>
      </w:r>
      <w:r w:rsidR="00C267AC" w:rsidRPr="0095319A">
        <w:rPr>
          <w:iCs/>
        </w:rPr>
        <w:t xml:space="preserve">is </w:t>
      </w:r>
      <w:r w:rsidR="004E0E7D">
        <w:rPr>
          <w:iCs/>
        </w:rPr>
        <w:t>not only contrary to the sta</w:t>
      </w:r>
      <w:r w:rsidR="004538E2">
        <w:rPr>
          <w:iCs/>
        </w:rPr>
        <w:t>t</w:t>
      </w:r>
      <w:r w:rsidR="004E0E7D">
        <w:rPr>
          <w:iCs/>
        </w:rPr>
        <w:t xml:space="preserve">ements in the authorities </w:t>
      </w:r>
      <w:r w:rsidR="001901D9">
        <w:rPr>
          <w:iCs/>
        </w:rPr>
        <w:t xml:space="preserve">to </w:t>
      </w:r>
      <w:r w:rsidR="004E0E7D">
        <w:rPr>
          <w:iCs/>
        </w:rPr>
        <w:t xml:space="preserve">which I </w:t>
      </w:r>
      <w:r w:rsidR="001901D9">
        <w:rPr>
          <w:iCs/>
        </w:rPr>
        <w:t xml:space="preserve">have </w:t>
      </w:r>
      <w:r w:rsidR="00F57C11">
        <w:rPr>
          <w:iCs/>
        </w:rPr>
        <w:t xml:space="preserve">referred </w:t>
      </w:r>
      <w:r w:rsidR="004E0E7D">
        <w:rPr>
          <w:iCs/>
        </w:rPr>
        <w:t xml:space="preserve">that it cannot do so </w:t>
      </w:r>
      <w:r w:rsidR="00F57C11">
        <w:rPr>
          <w:iCs/>
        </w:rPr>
        <w:t>“</w:t>
      </w:r>
      <w:r w:rsidR="004E0E7D">
        <w:rPr>
          <w:iCs/>
        </w:rPr>
        <w:t>for any purpose</w:t>
      </w:r>
      <w:r w:rsidR="00F57C11">
        <w:rPr>
          <w:iCs/>
        </w:rPr>
        <w:t>” and that the binding effect of the FCO</w:t>
      </w:r>
      <w:r w:rsidR="000C38D6">
        <w:rPr>
          <w:iCs/>
        </w:rPr>
        <w:t xml:space="preserve"> statement is “without any qualification”.</w:t>
      </w:r>
      <w:r w:rsidR="001901D9">
        <w:rPr>
          <w:iCs/>
        </w:rPr>
        <w:t xml:space="preserve">  It is also </w:t>
      </w:r>
      <w:r w:rsidR="004538E2">
        <w:rPr>
          <w:iCs/>
        </w:rPr>
        <w:t xml:space="preserve">incoherent.  </w:t>
      </w:r>
      <w:r w:rsidR="00477E5D" w:rsidRPr="0095319A">
        <w:rPr>
          <w:iCs/>
        </w:rPr>
        <w:t xml:space="preserve">Unlike HMG, the </w:t>
      </w:r>
      <w:r w:rsidR="00205266" w:rsidRPr="0095319A">
        <w:rPr>
          <w:iCs/>
        </w:rPr>
        <w:t>C</w:t>
      </w:r>
      <w:r w:rsidR="00477E5D" w:rsidRPr="0095319A">
        <w:rPr>
          <w:iCs/>
        </w:rPr>
        <w:t>ourt do</w:t>
      </w:r>
      <w:r w:rsidR="00205266" w:rsidRPr="0095319A">
        <w:rPr>
          <w:iCs/>
        </w:rPr>
        <w:t>es</w:t>
      </w:r>
      <w:r w:rsidR="00477E5D" w:rsidRPr="0095319A">
        <w:rPr>
          <w:iCs/>
        </w:rPr>
        <w:t xml:space="preserve"> not </w:t>
      </w:r>
      <w:r w:rsidR="009C2105" w:rsidRPr="0095319A">
        <w:rPr>
          <w:iCs/>
        </w:rPr>
        <w:t xml:space="preserve">recognise </w:t>
      </w:r>
      <w:r w:rsidR="001343B2" w:rsidRPr="0095319A">
        <w:rPr>
          <w:iCs/>
        </w:rPr>
        <w:t xml:space="preserve">(or refuse to recognise) </w:t>
      </w:r>
      <w:r w:rsidR="009C2105" w:rsidRPr="0095319A">
        <w:rPr>
          <w:iCs/>
        </w:rPr>
        <w:t>foreign governments</w:t>
      </w:r>
      <w:r w:rsidR="00A651FA" w:rsidRPr="0095319A">
        <w:rPr>
          <w:iCs/>
        </w:rPr>
        <w:t xml:space="preserve"> </w:t>
      </w:r>
      <w:r w:rsidR="00F745E9">
        <w:rPr>
          <w:iCs/>
        </w:rPr>
        <w:t xml:space="preserve">as </w:t>
      </w:r>
      <w:r w:rsidR="00D635E8" w:rsidRPr="0095319A">
        <w:rPr>
          <w:iCs/>
        </w:rPr>
        <w:t>an exercise in itself</w:t>
      </w:r>
      <w:r w:rsidR="00604634">
        <w:rPr>
          <w:iCs/>
        </w:rPr>
        <w:t xml:space="preserve">, but considers the question </w:t>
      </w:r>
      <w:r w:rsidR="00C027EC">
        <w:rPr>
          <w:iCs/>
        </w:rPr>
        <w:t xml:space="preserve">of the </w:t>
      </w:r>
      <w:r w:rsidR="001343B2" w:rsidRPr="0095319A">
        <w:rPr>
          <w:iCs/>
        </w:rPr>
        <w:t>status of such governments</w:t>
      </w:r>
      <w:r w:rsidR="0097030D">
        <w:rPr>
          <w:iCs/>
        </w:rPr>
        <w:t>, in cases where the issue arises,</w:t>
      </w:r>
      <w:r w:rsidR="001343B2" w:rsidRPr="0095319A">
        <w:rPr>
          <w:iCs/>
        </w:rPr>
        <w:t xml:space="preserve"> </w:t>
      </w:r>
      <w:r w:rsidR="00D635E8" w:rsidRPr="0095319A">
        <w:rPr>
          <w:iCs/>
        </w:rPr>
        <w:t xml:space="preserve">because </w:t>
      </w:r>
      <w:r w:rsidR="00205266" w:rsidRPr="0095319A">
        <w:rPr>
          <w:iCs/>
        </w:rPr>
        <w:t xml:space="preserve">it is </w:t>
      </w:r>
      <w:r w:rsidR="00E40313" w:rsidRPr="0095319A">
        <w:rPr>
          <w:iCs/>
        </w:rPr>
        <w:t xml:space="preserve">asked to decide the private </w:t>
      </w:r>
      <w:r w:rsidR="00C83A8B" w:rsidRPr="0095319A">
        <w:rPr>
          <w:iCs/>
        </w:rPr>
        <w:t xml:space="preserve">rights and obligations of the parties </w:t>
      </w:r>
      <w:r w:rsidR="00E40313" w:rsidRPr="0095319A">
        <w:rPr>
          <w:iCs/>
        </w:rPr>
        <w:t xml:space="preserve">before </w:t>
      </w:r>
      <w:r w:rsidR="00205266" w:rsidRPr="0095319A">
        <w:rPr>
          <w:iCs/>
        </w:rPr>
        <w:t xml:space="preserve">it; and the Court </w:t>
      </w:r>
      <w:r w:rsidR="00BD544F" w:rsidRPr="0095319A">
        <w:rPr>
          <w:iCs/>
        </w:rPr>
        <w:t xml:space="preserve">accepts </w:t>
      </w:r>
      <w:r w:rsidR="0090253E" w:rsidRPr="0095319A">
        <w:rPr>
          <w:iCs/>
        </w:rPr>
        <w:t xml:space="preserve">the sovereign status </w:t>
      </w:r>
      <w:r w:rsidR="003A61E5" w:rsidRPr="0095319A">
        <w:rPr>
          <w:iCs/>
        </w:rPr>
        <w:t>of a state or government</w:t>
      </w:r>
      <w:r w:rsidR="00DD198F" w:rsidRPr="0095319A">
        <w:rPr>
          <w:iCs/>
        </w:rPr>
        <w:t xml:space="preserve"> (or refuses to do so), </w:t>
      </w:r>
      <w:r w:rsidR="003A61E5" w:rsidRPr="0095319A">
        <w:rPr>
          <w:iCs/>
        </w:rPr>
        <w:t xml:space="preserve">whenever </w:t>
      </w:r>
      <w:r w:rsidR="00E40313" w:rsidRPr="0095319A">
        <w:rPr>
          <w:iCs/>
        </w:rPr>
        <w:t xml:space="preserve">the </w:t>
      </w:r>
      <w:r w:rsidR="00D635E8" w:rsidRPr="0095319A">
        <w:rPr>
          <w:iCs/>
        </w:rPr>
        <w:t xml:space="preserve">status of sovereignty so </w:t>
      </w:r>
      <w:r w:rsidR="00BD544F" w:rsidRPr="0095319A">
        <w:rPr>
          <w:iCs/>
        </w:rPr>
        <w:t xml:space="preserve">accepted (or refused) </w:t>
      </w:r>
      <w:r w:rsidR="00D635E8" w:rsidRPr="0095319A">
        <w:rPr>
          <w:iCs/>
        </w:rPr>
        <w:t>has</w:t>
      </w:r>
      <w:r w:rsidR="00241A82" w:rsidRPr="0095319A">
        <w:rPr>
          <w:iCs/>
        </w:rPr>
        <w:t xml:space="preserve"> consequences for the private rights of the parties.</w:t>
      </w:r>
      <w:r w:rsidR="001666A2">
        <w:rPr>
          <w:iCs/>
        </w:rPr>
        <w:t xml:space="preserve">  </w:t>
      </w:r>
      <w:r w:rsidR="000B5192" w:rsidRPr="0095319A">
        <w:rPr>
          <w:iCs/>
        </w:rPr>
        <w:t>I</w:t>
      </w:r>
      <w:r w:rsidR="00B91FE3" w:rsidRPr="0095319A">
        <w:rPr>
          <w:iCs/>
        </w:rPr>
        <w:t xml:space="preserve">t is misleading to talk of the Court itself as </w:t>
      </w:r>
      <w:r w:rsidR="00AC644F" w:rsidRPr="0095319A">
        <w:rPr>
          <w:iCs/>
        </w:rPr>
        <w:t>according or refusing “recognition”</w:t>
      </w:r>
      <w:r w:rsidR="00FA23FA">
        <w:rPr>
          <w:iCs/>
        </w:rPr>
        <w:t xml:space="preserve"> or having that purpose</w:t>
      </w:r>
      <w:r w:rsidR="00AC644F" w:rsidRPr="0095319A">
        <w:rPr>
          <w:iCs/>
        </w:rPr>
        <w:t xml:space="preserve">.  What it is doing is making a determination of the sovereign status of the </w:t>
      </w:r>
      <w:r w:rsidR="00033EED" w:rsidRPr="0095319A">
        <w:rPr>
          <w:iCs/>
        </w:rPr>
        <w:t xml:space="preserve">foreign </w:t>
      </w:r>
      <w:r w:rsidR="00B1038F">
        <w:rPr>
          <w:iCs/>
        </w:rPr>
        <w:t xml:space="preserve">government </w:t>
      </w:r>
      <w:r w:rsidR="00A563F0" w:rsidRPr="0095319A">
        <w:rPr>
          <w:iCs/>
        </w:rPr>
        <w:t xml:space="preserve">as part of its reasoning in the case, whether with or without the assistance of recognition by HMG.  </w:t>
      </w:r>
      <w:r w:rsidR="007C00DF" w:rsidRPr="0095319A">
        <w:rPr>
          <w:iCs/>
        </w:rPr>
        <w:t>Where there is recognition (or non</w:t>
      </w:r>
      <w:r w:rsidR="00FA23FA">
        <w:rPr>
          <w:iCs/>
        </w:rPr>
        <w:t>-</w:t>
      </w:r>
      <w:r w:rsidR="007C00DF" w:rsidRPr="0095319A">
        <w:rPr>
          <w:iCs/>
        </w:rPr>
        <w:t xml:space="preserve">recognition) by HMG </w:t>
      </w:r>
      <w:r w:rsidR="005961BC" w:rsidRPr="0095319A">
        <w:rPr>
          <w:iCs/>
        </w:rPr>
        <w:t xml:space="preserve">it </w:t>
      </w:r>
      <w:r w:rsidR="00033EED" w:rsidRPr="0095319A">
        <w:rPr>
          <w:iCs/>
        </w:rPr>
        <w:t xml:space="preserve">settles the question of the sovereign status for the purpose of </w:t>
      </w:r>
      <w:r w:rsidR="005961BC" w:rsidRPr="0095319A">
        <w:rPr>
          <w:iCs/>
        </w:rPr>
        <w:t>the task on which the Court is engaged</w:t>
      </w:r>
      <w:r w:rsidR="00FA23FA">
        <w:rPr>
          <w:iCs/>
        </w:rPr>
        <w:t>,</w:t>
      </w:r>
      <w:r w:rsidR="005961BC" w:rsidRPr="0095319A">
        <w:rPr>
          <w:iCs/>
        </w:rPr>
        <w:t xml:space="preserve"> which</w:t>
      </w:r>
      <w:r w:rsidR="0095319A" w:rsidRPr="0095319A">
        <w:rPr>
          <w:iCs/>
        </w:rPr>
        <w:t xml:space="preserve"> </w:t>
      </w:r>
      <w:r w:rsidR="005961BC" w:rsidRPr="0095319A">
        <w:rPr>
          <w:iCs/>
        </w:rPr>
        <w:t xml:space="preserve">is to </w:t>
      </w:r>
      <w:r w:rsidR="00033EED" w:rsidRPr="0095319A">
        <w:rPr>
          <w:iCs/>
        </w:rPr>
        <w:t xml:space="preserve">apply that status to the working out of the rights of the parties.  </w:t>
      </w:r>
    </w:p>
    <w:p w14:paraId="275A6B3A" w14:textId="3CCB508A" w:rsidR="00787C8F" w:rsidRPr="0095319A" w:rsidRDefault="00787C8F" w:rsidP="00DB37C0">
      <w:pPr>
        <w:pStyle w:val="ParaLevel1"/>
        <w:rPr>
          <w:i/>
        </w:rPr>
      </w:pPr>
      <w:r>
        <w:rPr>
          <w:iCs/>
        </w:rPr>
        <w:t>Ms Fatima argued that the challenges did not involve saying that the GNA could not take any steps which would be recognised as lawful</w:t>
      </w:r>
      <w:r w:rsidR="00943F5C">
        <w:rPr>
          <w:iCs/>
        </w:rPr>
        <w:t xml:space="preserve">.  She relied on </w:t>
      </w:r>
      <w:r>
        <w:rPr>
          <w:iCs/>
        </w:rPr>
        <w:t xml:space="preserve">the Advisory Opinion of the International Court of Justice in </w:t>
      </w:r>
      <w:r w:rsidRPr="00E62D66">
        <w:rPr>
          <w:i/>
        </w:rPr>
        <w:t>Legal Consequences for States of the Continued Presence of South Africa</w:t>
      </w:r>
      <w:r>
        <w:rPr>
          <w:iCs/>
        </w:rPr>
        <w:t xml:space="preserve"> in Namibia (South West Africa) ICJ Reports 1971 paragraph 125, </w:t>
      </w:r>
      <w:r w:rsidR="00943F5C">
        <w:rPr>
          <w:iCs/>
        </w:rPr>
        <w:t xml:space="preserve">to the effect </w:t>
      </w:r>
      <w:r>
        <w:rPr>
          <w:iCs/>
        </w:rPr>
        <w:t>that even where there is no recognised government, some acts of those exercising authority may be accorded validity where they are acts necessary for the well-being of the inhabitants such as registration of births</w:t>
      </w:r>
      <w:r w:rsidR="006A3097">
        <w:rPr>
          <w:iCs/>
        </w:rPr>
        <w:t>,</w:t>
      </w:r>
      <w:r>
        <w:rPr>
          <w:iCs/>
        </w:rPr>
        <w:t xml:space="preserve"> marriages and deaths.  Mr Sprange </w:t>
      </w:r>
      <w:r w:rsidR="00CB535B">
        <w:rPr>
          <w:iCs/>
        </w:rPr>
        <w:t>made a similar submission by reference t</w:t>
      </w:r>
      <w:r>
        <w:rPr>
          <w:iCs/>
        </w:rPr>
        <w:t xml:space="preserve">o the decision of Roberts J in  </w:t>
      </w:r>
      <w:r w:rsidRPr="00262D82">
        <w:rPr>
          <w:i/>
        </w:rPr>
        <w:t>MM v NA (Declaration of Marital Status: Unrecognised State)</w:t>
      </w:r>
      <w:r>
        <w:rPr>
          <w:iCs/>
        </w:rPr>
        <w:t xml:space="preserve"> [2020] EWHC 93 Fam at [66].  This </w:t>
      </w:r>
      <w:r w:rsidR="009E158B">
        <w:rPr>
          <w:iCs/>
        </w:rPr>
        <w:t xml:space="preserve">is a theme </w:t>
      </w:r>
      <w:r>
        <w:rPr>
          <w:iCs/>
        </w:rPr>
        <w:t xml:space="preserve">reflected in obiter statements by Lord Wilberforce in </w:t>
      </w:r>
      <w:r w:rsidRPr="00414B3E">
        <w:rPr>
          <w:i/>
        </w:rPr>
        <w:t>Carl Zeiss</w:t>
      </w:r>
      <w:r>
        <w:rPr>
          <w:iCs/>
        </w:rPr>
        <w:t xml:space="preserve"> at p. 954</w:t>
      </w:r>
      <w:r w:rsidR="000C6494">
        <w:rPr>
          <w:iCs/>
        </w:rPr>
        <w:t>;</w:t>
      </w:r>
      <w:r w:rsidR="000C6494" w:rsidRPr="000C6494">
        <w:rPr>
          <w:iCs/>
        </w:rPr>
        <w:t xml:space="preserve"> </w:t>
      </w:r>
      <w:r w:rsidR="000C6494">
        <w:rPr>
          <w:iCs/>
        </w:rPr>
        <w:t xml:space="preserve">by Lord Denning MR in </w:t>
      </w:r>
      <w:r w:rsidR="000C6494" w:rsidRPr="00C44CFC">
        <w:rPr>
          <w:i/>
        </w:rPr>
        <w:t xml:space="preserve">Hesperides Hotels Ltd v Aegean Turkish Holidays Ltd </w:t>
      </w:r>
      <w:r w:rsidR="000C6494">
        <w:rPr>
          <w:iCs/>
        </w:rPr>
        <w:t xml:space="preserve">[1978] QB 205 at 217-218; and </w:t>
      </w:r>
      <w:r>
        <w:rPr>
          <w:iCs/>
        </w:rPr>
        <w:t xml:space="preserve">by </w:t>
      </w:r>
      <w:r w:rsidR="006C0E57">
        <w:rPr>
          <w:iCs/>
        </w:rPr>
        <w:t xml:space="preserve">Sir John </w:t>
      </w:r>
      <w:r>
        <w:rPr>
          <w:iCs/>
        </w:rPr>
        <w:t xml:space="preserve">Donaldson in </w:t>
      </w:r>
      <w:r w:rsidRPr="00414B3E">
        <w:rPr>
          <w:i/>
        </w:rPr>
        <w:t>Gur</w:t>
      </w:r>
      <w:r>
        <w:rPr>
          <w:iCs/>
        </w:rPr>
        <w:t xml:space="preserve"> at p. 622</w:t>
      </w:r>
      <w:r w:rsidR="000C6494">
        <w:rPr>
          <w:iCs/>
        </w:rPr>
        <w:t>.  These are t</w:t>
      </w:r>
      <w:r w:rsidR="00C23980">
        <w:rPr>
          <w:iCs/>
        </w:rPr>
        <w:t>o</w:t>
      </w:r>
      <w:r w:rsidR="000C6494">
        <w:rPr>
          <w:iCs/>
        </w:rPr>
        <w:t xml:space="preserve"> the effect </w:t>
      </w:r>
      <w:r>
        <w:rPr>
          <w:iCs/>
        </w:rPr>
        <w:t xml:space="preserve">that where there is no recognised government of a state, so that </w:t>
      </w:r>
      <w:r w:rsidR="008256A0">
        <w:rPr>
          <w:iCs/>
        </w:rPr>
        <w:t xml:space="preserve">official </w:t>
      </w:r>
      <w:r>
        <w:rPr>
          <w:iCs/>
        </w:rPr>
        <w:t xml:space="preserve">acts of governance are normally treated as a nullity, it may nevertheless be necessary exceptionally to accord recognition to the validity of some private rights under its laws or acts of everyday occurrence, or perfunctory administrative acts, so as to avoid an unfortunate lacuna in relation to </w:t>
      </w:r>
      <w:r w:rsidR="003F12B1">
        <w:rPr>
          <w:iCs/>
        </w:rPr>
        <w:t xml:space="preserve">essential </w:t>
      </w:r>
      <w:r>
        <w:rPr>
          <w:iCs/>
        </w:rPr>
        <w:t>aspects of daily life</w:t>
      </w:r>
      <w:r w:rsidR="003F12B1">
        <w:rPr>
          <w:iCs/>
        </w:rPr>
        <w:t xml:space="preserve">.  As </w:t>
      </w:r>
      <w:r w:rsidR="006A3097">
        <w:rPr>
          <w:iCs/>
        </w:rPr>
        <w:t xml:space="preserve">Sir John </w:t>
      </w:r>
      <w:r w:rsidR="003F12B1">
        <w:rPr>
          <w:iCs/>
        </w:rPr>
        <w:t xml:space="preserve">Donaldson put it “it is one thing to </w:t>
      </w:r>
      <w:r w:rsidR="00030813">
        <w:rPr>
          <w:iCs/>
        </w:rPr>
        <w:t>treat a state or government as being ‘without the law’</w:t>
      </w:r>
      <w:r w:rsidR="00792ABE">
        <w:rPr>
          <w:iCs/>
        </w:rPr>
        <w:t xml:space="preserve"> but quite another to treat the inhabitants of its </w:t>
      </w:r>
      <w:r w:rsidR="00894394">
        <w:rPr>
          <w:iCs/>
        </w:rPr>
        <w:t>t</w:t>
      </w:r>
      <w:r w:rsidR="00792ABE">
        <w:rPr>
          <w:iCs/>
        </w:rPr>
        <w:t>erritory as “outlaws” who cannot</w:t>
      </w:r>
      <w:r w:rsidR="00223AB3">
        <w:rPr>
          <w:iCs/>
        </w:rPr>
        <w:t xml:space="preserve"> effectively marry, beget legitimate children, purchase goods on credit</w:t>
      </w:r>
      <w:r w:rsidR="003231F7">
        <w:rPr>
          <w:iCs/>
        </w:rPr>
        <w:t xml:space="preserve"> or undertake countless day-to-day activities having legal consequences</w:t>
      </w:r>
      <w:r w:rsidR="00BB7998">
        <w:rPr>
          <w:iCs/>
        </w:rPr>
        <w:t xml:space="preserve">.” </w:t>
      </w:r>
      <w:r>
        <w:rPr>
          <w:iCs/>
        </w:rPr>
        <w:t xml:space="preserve"> </w:t>
      </w:r>
      <w:r w:rsidR="00BB7998">
        <w:rPr>
          <w:iCs/>
        </w:rPr>
        <w:t xml:space="preserve">However this concept has no </w:t>
      </w:r>
      <w:r w:rsidR="00D25BE4">
        <w:rPr>
          <w:iCs/>
        </w:rPr>
        <w:t xml:space="preserve">relevance </w:t>
      </w:r>
      <w:r w:rsidR="00BB7998">
        <w:rPr>
          <w:iCs/>
        </w:rPr>
        <w:t xml:space="preserve">to the present case.  </w:t>
      </w:r>
      <w:r w:rsidR="00770AE5">
        <w:rPr>
          <w:iCs/>
        </w:rPr>
        <w:t xml:space="preserve">Unlike the present case it addresses a situation where there is no </w:t>
      </w:r>
      <w:r>
        <w:rPr>
          <w:iCs/>
        </w:rPr>
        <w:t xml:space="preserve">recognised government.  </w:t>
      </w:r>
      <w:r w:rsidR="00441B61">
        <w:rPr>
          <w:iCs/>
        </w:rPr>
        <w:t xml:space="preserve">Moreover it applies to </w:t>
      </w:r>
      <w:r w:rsidR="00A05F23">
        <w:rPr>
          <w:iCs/>
        </w:rPr>
        <w:t xml:space="preserve">routine administrative acts quite unlike the </w:t>
      </w:r>
      <w:r>
        <w:rPr>
          <w:iCs/>
        </w:rPr>
        <w:t xml:space="preserve">central government function </w:t>
      </w:r>
      <w:r w:rsidR="00A05F23">
        <w:rPr>
          <w:iCs/>
        </w:rPr>
        <w:t xml:space="preserve">exercised by </w:t>
      </w:r>
      <w:r w:rsidR="00894394">
        <w:rPr>
          <w:iCs/>
        </w:rPr>
        <w:t xml:space="preserve">the GNA in passing </w:t>
      </w:r>
      <w:r w:rsidR="00A05F23">
        <w:rPr>
          <w:iCs/>
        </w:rPr>
        <w:t>Resolution 12 which is at issue in this case</w:t>
      </w:r>
      <w:r w:rsidR="00894394">
        <w:rPr>
          <w:iCs/>
        </w:rPr>
        <w:t xml:space="preserve">.  </w:t>
      </w:r>
    </w:p>
    <w:p w14:paraId="6F50E97D" w14:textId="19A1E2BF" w:rsidR="00A51377" w:rsidRPr="00A51377" w:rsidRDefault="001C5F1D" w:rsidP="00DB37C0">
      <w:pPr>
        <w:pStyle w:val="ParaLevel1"/>
        <w:rPr>
          <w:i/>
        </w:rPr>
      </w:pPr>
      <w:r>
        <w:rPr>
          <w:iCs/>
        </w:rPr>
        <w:lastRenderedPageBreak/>
        <w:t xml:space="preserve">It was </w:t>
      </w:r>
      <w:r w:rsidR="00F0226B">
        <w:rPr>
          <w:iCs/>
        </w:rPr>
        <w:t xml:space="preserve">also </w:t>
      </w:r>
      <w:r>
        <w:rPr>
          <w:iCs/>
        </w:rPr>
        <w:t xml:space="preserve">suggested </w:t>
      </w:r>
      <w:r w:rsidR="006C315E">
        <w:rPr>
          <w:iCs/>
        </w:rPr>
        <w:t xml:space="preserve">by both Ms Fatima and Mr Sprange </w:t>
      </w:r>
      <w:r>
        <w:rPr>
          <w:iCs/>
        </w:rPr>
        <w:t xml:space="preserve">that the Judge’s conclusion confused </w:t>
      </w:r>
      <w:r w:rsidR="004F4771">
        <w:rPr>
          <w:iCs/>
        </w:rPr>
        <w:t xml:space="preserve">or conflated </w:t>
      </w:r>
      <w:r>
        <w:rPr>
          <w:iCs/>
        </w:rPr>
        <w:t xml:space="preserve">the one voice principle with </w:t>
      </w:r>
      <w:r w:rsidR="0098361F">
        <w:rPr>
          <w:iCs/>
        </w:rPr>
        <w:t>other doctrines, in particular with th</w:t>
      </w:r>
      <w:r w:rsidR="00F806BA">
        <w:rPr>
          <w:iCs/>
        </w:rPr>
        <w:t xml:space="preserve">ose </w:t>
      </w:r>
      <w:r w:rsidR="0098361F">
        <w:rPr>
          <w:iCs/>
        </w:rPr>
        <w:t>of foreign act of state</w:t>
      </w:r>
      <w:r w:rsidR="004F6412">
        <w:rPr>
          <w:iCs/>
        </w:rPr>
        <w:t>, of non</w:t>
      </w:r>
      <w:r w:rsidR="00D8495C">
        <w:rPr>
          <w:iCs/>
        </w:rPr>
        <w:t>-</w:t>
      </w:r>
      <w:r w:rsidR="004F6412">
        <w:rPr>
          <w:iCs/>
        </w:rPr>
        <w:t>justiciabil</w:t>
      </w:r>
      <w:r w:rsidR="001820DA">
        <w:rPr>
          <w:iCs/>
        </w:rPr>
        <w:t>i</w:t>
      </w:r>
      <w:r w:rsidR="004F6412">
        <w:rPr>
          <w:iCs/>
        </w:rPr>
        <w:t>ty</w:t>
      </w:r>
      <w:r w:rsidR="0006760E">
        <w:rPr>
          <w:iCs/>
        </w:rPr>
        <w:t>,</w:t>
      </w:r>
      <w:r w:rsidR="004F6412">
        <w:rPr>
          <w:iCs/>
        </w:rPr>
        <w:t xml:space="preserve"> and </w:t>
      </w:r>
      <w:r w:rsidR="0006760E">
        <w:rPr>
          <w:iCs/>
        </w:rPr>
        <w:t xml:space="preserve">of </w:t>
      </w:r>
      <w:r w:rsidR="004F6412">
        <w:rPr>
          <w:iCs/>
        </w:rPr>
        <w:t>pub</w:t>
      </w:r>
      <w:r w:rsidR="00820261">
        <w:rPr>
          <w:iCs/>
        </w:rPr>
        <w:t>l</w:t>
      </w:r>
      <w:r w:rsidR="004F6412">
        <w:rPr>
          <w:iCs/>
        </w:rPr>
        <w:t xml:space="preserve">ic international law immunities.  </w:t>
      </w:r>
      <w:r w:rsidR="00196EEC">
        <w:rPr>
          <w:iCs/>
        </w:rPr>
        <w:t xml:space="preserve">Mr Sprange went so </w:t>
      </w:r>
      <w:r w:rsidR="0053263B">
        <w:rPr>
          <w:iCs/>
        </w:rPr>
        <w:t xml:space="preserve">far as to </w:t>
      </w:r>
      <w:r w:rsidR="00196EEC">
        <w:rPr>
          <w:iCs/>
        </w:rPr>
        <w:t>submit that</w:t>
      </w:r>
      <w:r w:rsidR="0053263B">
        <w:rPr>
          <w:iCs/>
        </w:rPr>
        <w:t xml:space="preserve"> </w:t>
      </w:r>
      <w:r w:rsidR="00196EEC">
        <w:rPr>
          <w:iCs/>
        </w:rPr>
        <w:t>t</w:t>
      </w:r>
      <w:r w:rsidR="0053263B">
        <w:rPr>
          <w:iCs/>
        </w:rPr>
        <w:t>h</w:t>
      </w:r>
      <w:r w:rsidR="00196EEC">
        <w:rPr>
          <w:iCs/>
        </w:rPr>
        <w:t xml:space="preserve">e Judge’s interpretation of the scope of the </w:t>
      </w:r>
      <w:r w:rsidR="00E53B09">
        <w:rPr>
          <w:iCs/>
        </w:rPr>
        <w:t>one voice principle subsumed other doctrines of non</w:t>
      </w:r>
      <w:r w:rsidR="00D8495C">
        <w:rPr>
          <w:iCs/>
        </w:rPr>
        <w:t>-</w:t>
      </w:r>
      <w:r w:rsidR="00E53B09">
        <w:rPr>
          <w:iCs/>
        </w:rPr>
        <w:t xml:space="preserve">justiciability or act of state which were carefully </w:t>
      </w:r>
      <w:r w:rsidR="00557EB9">
        <w:rPr>
          <w:iCs/>
        </w:rPr>
        <w:t>delimited by the Supreme Court in</w:t>
      </w:r>
      <w:r w:rsidR="00557EB9" w:rsidRPr="00557EB9">
        <w:rPr>
          <w:i/>
        </w:rPr>
        <w:t xml:space="preserve"> </w:t>
      </w:r>
      <w:r w:rsidR="00557EB9" w:rsidRPr="00E479CE">
        <w:rPr>
          <w:i/>
        </w:rPr>
        <w:t>Belhaj v Straw</w:t>
      </w:r>
      <w:r w:rsidR="00557EB9">
        <w:rPr>
          <w:iCs/>
        </w:rPr>
        <w:t xml:space="preserve"> [2017] AC 964.  </w:t>
      </w:r>
      <w:r w:rsidR="0098361F">
        <w:rPr>
          <w:iCs/>
        </w:rPr>
        <w:t>I detect no such confusion</w:t>
      </w:r>
      <w:r w:rsidR="00566518">
        <w:rPr>
          <w:iCs/>
        </w:rPr>
        <w:t>, conflation o</w:t>
      </w:r>
      <w:r w:rsidR="00407983">
        <w:rPr>
          <w:iCs/>
        </w:rPr>
        <w:t>r</w:t>
      </w:r>
      <w:r w:rsidR="00566518">
        <w:rPr>
          <w:iCs/>
        </w:rPr>
        <w:t xml:space="preserve"> subsumption.   </w:t>
      </w:r>
      <w:r w:rsidR="0098361F">
        <w:rPr>
          <w:iCs/>
        </w:rPr>
        <w:t>The</w:t>
      </w:r>
      <w:r w:rsidR="004F6412">
        <w:rPr>
          <w:iCs/>
        </w:rPr>
        <w:t xml:space="preserve">re </w:t>
      </w:r>
      <w:r w:rsidR="0098361F">
        <w:rPr>
          <w:iCs/>
        </w:rPr>
        <w:t>are separate</w:t>
      </w:r>
      <w:r w:rsidR="00D278C7">
        <w:rPr>
          <w:iCs/>
        </w:rPr>
        <w:t xml:space="preserve"> and distinct steps in the inquiry</w:t>
      </w:r>
      <w:r w:rsidR="006F58E0">
        <w:rPr>
          <w:iCs/>
        </w:rPr>
        <w:t xml:space="preserve"> in cases in which the</w:t>
      </w:r>
      <w:r w:rsidR="00235CC1">
        <w:rPr>
          <w:iCs/>
        </w:rPr>
        <w:t xml:space="preserve"> doctrines </w:t>
      </w:r>
      <w:r w:rsidR="006F58E0">
        <w:rPr>
          <w:iCs/>
        </w:rPr>
        <w:t>arise</w:t>
      </w:r>
      <w:r w:rsidR="00235CC1">
        <w:rPr>
          <w:iCs/>
        </w:rPr>
        <w:t>.  The first</w:t>
      </w:r>
      <w:r w:rsidR="00D278C7">
        <w:rPr>
          <w:iCs/>
        </w:rPr>
        <w:t xml:space="preserve"> </w:t>
      </w:r>
      <w:r w:rsidR="00407983">
        <w:rPr>
          <w:iCs/>
        </w:rPr>
        <w:t xml:space="preserve">is </w:t>
      </w:r>
      <w:r w:rsidR="00D278C7">
        <w:rPr>
          <w:iCs/>
        </w:rPr>
        <w:t>whether the Court is bound to treat a</w:t>
      </w:r>
      <w:r w:rsidR="00BB181A">
        <w:rPr>
          <w:iCs/>
        </w:rPr>
        <w:t xml:space="preserve"> body as a sovereign government; the second</w:t>
      </w:r>
      <w:r w:rsidR="006D79AE">
        <w:rPr>
          <w:iCs/>
        </w:rPr>
        <w:t>, if it arises, asks whether</w:t>
      </w:r>
      <w:r w:rsidR="008B387A">
        <w:rPr>
          <w:iCs/>
        </w:rPr>
        <w:t>,</w:t>
      </w:r>
      <w:r w:rsidR="006D79AE">
        <w:rPr>
          <w:iCs/>
        </w:rPr>
        <w:t xml:space="preserve"> in the light of the answer to the first question</w:t>
      </w:r>
      <w:r w:rsidR="008B387A">
        <w:rPr>
          <w:iCs/>
        </w:rPr>
        <w:t>,</w:t>
      </w:r>
      <w:r w:rsidR="004F492F">
        <w:rPr>
          <w:iCs/>
        </w:rPr>
        <w:t xml:space="preserve"> </w:t>
      </w:r>
      <w:r w:rsidR="00BB181A">
        <w:rPr>
          <w:iCs/>
        </w:rPr>
        <w:t>issues</w:t>
      </w:r>
      <w:r w:rsidR="00783939">
        <w:rPr>
          <w:iCs/>
        </w:rPr>
        <w:t xml:space="preserve"> </w:t>
      </w:r>
      <w:r w:rsidR="00FC10A4">
        <w:rPr>
          <w:iCs/>
        </w:rPr>
        <w:t>depend</w:t>
      </w:r>
      <w:r w:rsidR="007F7E9F">
        <w:rPr>
          <w:iCs/>
        </w:rPr>
        <w:t>e</w:t>
      </w:r>
      <w:r w:rsidR="00FC10A4">
        <w:rPr>
          <w:iCs/>
        </w:rPr>
        <w:t xml:space="preserve">nt upon the acts of such a government </w:t>
      </w:r>
      <w:r w:rsidR="00591A7E">
        <w:rPr>
          <w:iCs/>
        </w:rPr>
        <w:t>are justici</w:t>
      </w:r>
      <w:r w:rsidR="00492531">
        <w:rPr>
          <w:iCs/>
        </w:rPr>
        <w:t>able</w:t>
      </w:r>
      <w:r w:rsidR="004F492F">
        <w:rPr>
          <w:iCs/>
        </w:rPr>
        <w:t>.  The other international law doctrines re</w:t>
      </w:r>
      <w:r w:rsidR="00201BB2">
        <w:rPr>
          <w:iCs/>
        </w:rPr>
        <w:t xml:space="preserve">ferred to </w:t>
      </w:r>
      <w:r w:rsidR="004F492F">
        <w:rPr>
          <w:iCs/>
        </w:rPr>
        <w:t xml:space="preserve">are relevant to this second stage.  </w:t>
      </w:r>
      <w:r w:rsidR="00783939">
        <w:rPr>
          <w:iCs/>
        </w:rPr>
        <w:t xml:space="preserve">This distinction was clear in </w:t>
      </w:r>
      <w:r w:rsidR="00783939" w:rsidRPr="00492531">
        <w:rPr>
          <w:i/>
        </w:rPr>
        <w:t>Luther v Sagor</w:t>
      </w:r>
      <w:r w:rsidR="00783939">
        <w:rPr>
          <w:iCs/>
        </w:rPr>
        <w:t xml:space="preserve"> where </w:t>
      </w:r>
      <w:r w:rsidR="002722FE">
        <w:rPr>
          <w:iCs/>
        </w:rPr>
        <w:t>both doctrines were applied</w:t>
      </w:r>
      <w:r w:rsidR="0024673A">
        <w:rPr>
          <w:iCs/>
        </w:rPr>
        <w:t xml:space="preserve">: </w:t>
      </w:r>
      <w:r w:rsidR="00783939">
        <w:rPr>
          <w:iCs/>
        </w:rPr>
        <w:t xml:space="preserve">the one voice </w:t>
      </w:r>
      <w:r w:rsidR="0024673A">
        <w:rPr>
          <w:iCs/>
        </w:rPr>
        <w:t xml:space="preserve">principle </w:t>
      </w:r>
      <w:r w:rsidR="00783939">
        <w:rPr>
          <w:iCs/>
        </w:rPr>
        <w:t xml:space="preserve">was applied to determine that the </w:t>
      </w:r>
      <w:r w:rsidR="008F0642">
        <w:rPr>
          <w:iCs/>
        </w:rPr>
        <w:t xml:space="preserve">acts of the Soviet Government were acts of a </w:t>
      </w:r>
      <w:r w:rsidR="00201BB2">
        <w:rPr>
          <w:iCs/>
        </w:rPr>
        <w:t>sovereign government because it was recognised as such by HMG</w:t>
      </w:r>
      <w:r w:rsidR="000D0975">
        <w:rPr>
          <w:iCs/>
        </w:rPr>
        <w:t xml:space="preserve">; </w:t>
      </w:r>
      <w:r w:rsidR="00B47EB3">
        <w:rPr>
          <w:iCs/>
        </w:rPr>
        <w:t xml:space="preserve">and then there was applied </w:t>
      </w:r>
      <w:r w:rsidR="008F0642">
        <w:rPr>
          <w:iCs/>
        </w:rPr>
        <w:t xml:space="preserve">one aspect of the </w:t>
      </w:r>
      <w:r w:rsidR="004C47A4">
        <w:rPr>
          <w:iCs/>
        </w:rPr>
        <w:t xml:space="preserve">foreign </w:t>
      </w:r>
      <w:r w:rsidR="008F0642">
        <w:rPr>
          <w:iCs/>
        </w:rPr>
        <w:t>act of sta</w:t>
      </w:r>
      <w:r w:rsidR="0024673A">
        <w:rPr>
          <w:iCs/>
        </w:rPr>
        <w:t>t</w:t>
      </w:r>
      <w:r w:rsidR="008F0642">
        <w:rPr>
          <w:iCs/>
        </w:rPr>
        <w:t>e doctrine</w:t>
      </w:r>
      <w:r w:rsidR="00251D34">
        <w:rPr>
          <w:iCs/>
        </w:rPr>
        <w:t>,</w:t>
      </w:r>
      <w:r w:rsidR="008F0642">
        <w:rPr>
          <w:iCs/>
        </w:rPr>
        <w:t xml:space="preserve"> </w:t>
      </w:r>
      <w:r w:rsidR="0024673A">
        <w:rPr>
          <w:iCs/>
        </w:rPr>
        <w:t xml:space="preserve">namely </w:t>
      </w:r>
      <w:r w:rsidR="008F0642">
        <w:rPr>
          <w:iCs/>
        </w:rPr>
        <w:t>that the courts will not question the validity of the</w:t>
      </w:r>
      <w:r w:rsidR="00422C0E">
        <w:rPr>
          <w:iCs/>
        </w:rPr>
        <w:t xml:space="preserve"> act</w:t>
      </w:r>
      <w:r w:rsidR="006F5C14">
        <w:rPr>
          <w:iCs/>
        </w:rPr>
        <w:t xml:space="preserve"> </w:t>
      </w:r>
      <w:r w:rsidR="00422C0E">
        <w:rPr>
          <w:iCs/>
        </w:rPr>
        <w:t xml:space="preserve">of a </w:t>
      </w:r>
      <w:r w:rsidR="00355C01">
        <w:rPr>
          <w:iCs/>
        </w:rPr>
        <w:t xml:space="preserve">foreign </w:t>
      </w:r>
      <w:r w:rsidR="00422C0E">
        <w:rPr>
          <w:iCs/>
        </w:rPr>
        <w:t xml:space="preserve">sovereign government in </w:t>
      </w:r>
      <w:r w:rsidR="0024673A">
        <w:rPr>
          <w:iCs/>
        </w:rPr>
        <w:t>relation to title to property within its territory</w:t>
      </w:r>
      <w:r w:rsidR="000D0975">
        <w:rPr>
          <w:iCs/>
        </w:rPr>
        <w:t xml:space="preserve"> (Lord Neuberger’s second rule in </w:t>
      </w:r>
      <w:bookmarkStart w:id="12" w:name="_Hlk39157640"/>
      <w:r w:rsidR="000D0975" w:rsidRPr="00E479CE">
        <w:rPr>
          <w:i/>
        </w:rPr>
        <w:t>Belhaj v Straw</w:t>
      </w:r>
      <w:r w:rsidR="000D0975">
        <w:rPr>
          <w:iCs/>
        </w:rPr>
        <w:t xml:space="preserve"> [2017] AC 964 </w:t>
      </w:r>
      <w:bookmarkEnd w:id="12"/>
      <w:r w:rsidR="000D0975">
        <w:rPr>
          <w:iCs/>
        </w:rPr>
        <w:t>at paragraph [122], [127])</w:t>
      </w:r>
      <w:r w:rsidR="00E479CE">
        <w:rPr>
          <w:iCs/>
        </w:rPr>
        <w:t>.  The two separ</w:t>
      </w:r>
      <w:r w:rsidR="00BC2566">
        <w:rPr>
          <w:iCs/>
        </w:rPr>
        <w:t>ate steps are apparent from the judgment of Warr</w:t>
      </w:r>
      <w:r w:rsidR="00355C01">
        <w:rPr>
          <w:iCs/>
        </w:rPr>
        <w:t>ington LJ at</w:t>
      </w:r>
      <w:r w:rsidR="00355111">
        <w:rPr>
          <w:iCs/>
        </w:rPr>
        <w:t xml:space="preserve"> p 548.  Lord Neuberger </w:t>
      </w:r>
      <w:r w:rsidR="004A18D3">
        <w:rPr>
          <w:iCs/>
        </w:rPr>
        <w:t xml:space="preserve">recognised in </w:t>
      </w:r>
      <w:r w:rsidR="00E371D3">
        <w:rPr>
          <w:iCs/>
        </w:rPr>
        <w:t xml:space="preserve">paragraph [132] of </w:t>
      </w:r>
      <w:r w:rsidR="00E371D3" w:rsidRPr="00E371D3">
        <w:rPr>
          <w:i/>
        </w:rPr>
        <w:t xml:space="preserve">Belhaj </w:t>
      </w:r>
      <w:r w:rsidR="00A76B6D">
        <w:rPr>
          <w:iCs/>
        </w:rPr>
        <w:t>that the one voice principle was</w:t>
      </w:r>
      <w:r w:rsidR="00E371D3">
        <w:rPr>
          <w:iCs/>
        </w:rPr>
        <w:t xml:space="preserve"> a </w:t>
      </w:r>
      <w:r w:rsidR="00A76B6D">
        <w:rPr>
          <w:iCs/>
        </w:rPr>
        <w:t>“rather a different point” from the scope of the foreign act of state doctrine there under consideration</w:t>
      </w:r>
      <w:r w:rsidR="00E371D3">
        <w:rPr>
          <w:iCs/>
        </w:rPr>
        <w:t xml:space="preserve">. </w:t>
      </w:r>
      <w:r w:rsidR="004A18D3">
        <w:rPr>
          <w:iCs/>
        </w:rPr>
        <w:t xml:space="preserve"> </w:t>
      </w:r>
      <w:r w:rsidR="006F58E0">
        <w:rPr>
          <w:iCs/>
        </w:rPr>
        <w:t>However none of that is of any relevance to the issue under appeal</w:t>
      </w:r>
      <w:r w:rsidR="007775EA">
        <w:rPr>
          <w:iCs/>
        </w:rPr>
        <w:t>,</w:t>
      </w:r>
      <w:r w:rsidR="006F58E0">
        <w:rPr>
          <w:iCs/>
        </w:rPr>
        <w:t xml:space="preserve"> w</w:t>
      </w:r>
      <w:r w:rsidR="00BE2D08">
        <w:rPr>
          <w:iCs/>
        </w:rPr>
        <w:t xml:space="preserve">hich does not engage any of the other international law doctrines referred to.  </w:t>
      </w:r>
      <w:r w:rsidR="00052B43">
        <w:rPr>
          <w:iCs/>
        </w:rPr>
        <w:t xml:space="preserve">It seemed to be being suggested that it was the exclusive role of </w:t>
      </w:r>
      <w:r w:rsidR="007775EA">
        <w:rPr>
          <w:iCs/>
        </w:rPr>
        <w:t>those other int</w:t>
      </w:r>
      <w:r w:rsidR="002B3BE6">
        <w:rPr>
          <w:iCs/>
        </w:rPr>
        <w:t>e</w:t>
      </w:r>
      <w:r w:rsidR="007775EA">
        <w:rPr>
          <w:iCs/>
        </w:rPr>
        <w:t>rnational law doctrines</w:t>
      </w:r>
      <w:r w:rsidR="00782647">
        <w:rPr>
          <w:iCs/>
        </w:rPr>
        <w:t>,</w:t>
      </w:r>
      <w:r w:rsidR="007775EA">
        <w:rPr>
          <w:iCs/>
        </w:rPr>
        <w:t xml:space="preserve"> </w:t>
      </w:r>
      <w:r w:rsidR="002B3BE6">
        <w:rPr>
          <w:iCs/>
        </w:rPr>
        <w:t xml:space="preserve">such as </w:t>
      </w:r>
      <w:r w:rsidR="00E72778">
        <w:rPr>
          <w:iCs/>
        </w:rPr>
        <w:t>foreign act of state, principles of non</w:t>
      </w:r>
      <w:r w:rsidR="00D21186">
        <w:rPr>
          <w:iCs/>
        </w:rPr>
        <w:t>-</w:t>
      </w:r>
      <w:r w:rsidR="00E72778">
        <w:rPr>
          <w:iCs/>
        </w:rPr>
        <w:t>justiciabil</w:t>
      </w:r>
      <w:r w:rsidR="002B3BE6">
        <w:rPr>
          <w:iCs/>
        </w:rPr>
        <w:t>i</w:t>
      </w:r>
      <w:r w:rsidR="00E72778">
        <w:rPr>
          <w:iCs/>
        </w:rPr>
        <w:t>ty and pubic international law immunities</w:t>
      </w:r>
      <w:r w:rsidR="002B3BE6">
        <w:rPr>
          <w:iCs/>
        </w:rPr>
        <w:t>,</w:t>
      </w:r>
      <w:r w:rsidR="00E72778">
        <w:rPr>
          <w:iCs/>
        </w:rPr>
        <w:t xml:space="preserve"> to regulate </w:t>
      </w:r>
      <w:r w:rsidR="00E72778" w:rsidRPr="004D482E">
        <w:rPr>
          <w:i/>
        </w:rPr>
        <w:t xml:space="preserve">all </w:t>
      </w:r>
      <w:r w:rsidR="004D482E" w:rsidRPr="004D482E">
        <w:rPr>
          <w:i/>
        </w:rPr>
        <w:t xml:space="preserve">legal </w:t>
      </w:r>
      <w:r w:rsidR="00E72778" w:rsidRPr="004D482E">
        <w:rPr>
          <w:i/>
        </w:rPr>
        <w:t xml:space="preserve">consequences </w:t>
      </w:r>
      <w:r w:rsidR="00E72778">
        <w:rPr>
          <w:iCs/>
        </w:rPr>
        <w:t xml:space="preserve">of </w:t>
      </w:r>
      <w:r w:rsidR="004D482E">
        <w:rPr>
          <w:iCs/>
        </w:rPr>
        <w:t>recognition.  That is plainly not so, as</w:t>
      </w:r>
      <w:r w:rsidR="00484BC7">
        <w:rPr>
          <w:iCs/>
        </w:rPr>
        <w:t xml:space="preserve"> the </w:t>
      </w:r>
      <w:r w:rsidR="00484BC7" w:rsidRPr="006A59F0">
        <w:rPr>
          <w:i/>
        </w:rPr>
        <w:t>Bank of Ethiopia</w:t>
      </w:r>
      <w:r w:rsidR="00484BC7">
        <w:rPr>
          <w:iCs/>
        </w:rPr>
        <w:t xml:space="preserve"> and </w:t>
      </w:r>
      <w:r w:rsidR="006A59F0" w:rsidRPr="006A59F0">
        <w:rPr>
          <w:i/>
        </w:rPr>
        <w:t>B</w:t>
      </w:r>
      <w:r w:rsidR="00484BC7" w:rsidRPr="006A59F0">
        <w:rPr>
          <w:i/>
        </w:rPr>
        <w:t>anco de Bilbao</w:t>
      </w:r>
      <w:r w:rsidR="00484BC7">
        <w:rPr>
          <w:iCs/>
        </w:rPr>
        <w:t xml:space="preserve"> cases demonstrate.  In those cases the one voice principle was determinative of the legal consequ</w:t>
      </w:r>
      <w:r w:rsidR="006A59F0">
        <w:rPr>
          <w:iCs/>
        </w:rPr>
        <w:t>e</w:t>
      </w:r>
      <w:r w:rsidR="00484BC7">
        <w:rPr>
          <w:iCs/>
        </w:rPr>
        <w:t>nces because it</w:t>
      </w:r>
      <w:r w:rsidR="006A59F0">
        <w:rPr>
          <w:iCs/>
        </w:rPr>
        <w:t xml:space="preserve"> identified the appropriate government from whom the relevant law to be applied flowed. </w:t>
      </w:r>
      <w:r w:rsidR="002B3BE6">
        <w:rPr>
          <w:iCs/>
        </w:rPr>
        <w:t xml:space="preserve"> </w:t>
      </w:r>
      <w:r w:rsidR="006A59F0">
        <w:rPr>
          <w:iCs/>
        </w:rPr>
        <w:t xml:space="preserve">In truth </w:t>
      </w:r>
      <w:r w:rsidR="00FA4C9E">
        <w:rPr>
          <w:iCs/>
        </w:rPr>
        <w:t>none of these other aspects of</w:t>
      </w:r>
      <w:r w:rsidR="00DB1D02">
        <w:rPr>
          <w:iCs/>
        </w:rPr>
        <w:t xml:space="preserve"> international law referred to by the Appellants have any </w:t>
      </w:r>
      <w:r w:rsidR="00FA4C9E">
        <w:rPr>
          <w:iCs/>
        </w:rPr>
        <w:t>bearing on the issue under appeal.</w:t>
      </w:r>
    </w:p>
    <w:p w14:paraId="35710C83" w14:textId="2CC707E8" w:rsidR="00F752F7" w:rsidRPr="00F0226B" w:rsidRDefault="00A51377" w:rsidP="00DB37C0">
      <w:pPr>
        <w:pStyle w:val="ParaLevel1"/>
        <w:rPr>
          <w:i/>
        </w:rPr>
      </w:pPr>
      <w:r>
        <w:rPr>
          <w:iCs/>
        </w:rPr>
        <w:t xml:space="preserve">Mr Sprange also invited us to embark upon a comparative law analysis of how other states approach these issues.  This is an area in which I would be cautious about attributing weight to the practices of other countries because the one voice principle depends upon the constitutional settlement in this country of the respective </w:t>
      </w:r>
      <w:r w:rsidR="00AA313D">
        <w:rPr>
          <w:iCs/>
        </w:rPr>
        <w:t xml:space="preserve">roles </w:t>
      </w:r>
      <w:r>
        <w:rPr>
          <w:iCs/>
        </w:rPr>
        <w:t>of the executive and the judiciary</w:t>
      </w:r>
      <w:r w:rsidR="00447611">
        <w:rPr>
          <w:iCs/>
        </w:rPr>
        <w:t xml:space="preserve">. </w:t>
      </w:r>
      <w:r>
        <w:rPr>
          <w:iCs/>
        </w:rPr>
        <w:t xml:space="preserve">But however that may be, none of the cases </w:t>
      </w:r>
      <w:r w:rsidR="00D843CE">
        <w:rPr>
          <w:iCs/>
        </w:rPr>
        <w:t xml:space="preserve">from other jurisdictions </w:t>
      </w:r>
      <w:r w:rsidR="004507CF">
        <w:rPr>
          <w:iCs/>
        </w:rPr>
        <w:t xml:space="preserve">to which </w:t>
      </w:r>
      <w:r w:rsidR="00447611">
        <w:rPr>
          <w:iCs/>
        </w:rPr>
        <w:t xml:space="preserve">we were </w:t>
      </w:r>
      <w:r>
        <w:rPr>
          <w:iCs/>
        </w:rPr>
        <w:t>referred is analogous</w:t>
      </w:r>
      <w:r w:rsidR="004507CF">
        <w:rPr>
          <w:iCs/>
        </w:rPr>
        <w:t>,</w:t>
      </w:r>
      <w:r>
        <w:rPr>
          <w:iCs/>
        </w:rPr>
        <w:t xml:space="preserve"> and I have </w:t>
      </w:r>
      <w:r w:rsidR="0052129B">
        <w:rPr>
          <w:iCs/>
        </w:rPr>
        <w:t>not found in them a</w:t>
      </w:r>
      <w:r>
        <w:rPr>
          <w:iCs/>
        </w:rPr>
        <w:t xml:space="preserve">ny statement of principle or settled practice which illuminates the issue before this court or casts any doubt on </w:t>
      </w:r>
      <w:r w:rsidR="004D5D31">
        <w:rPr>
          <w:iCs/>
        </w:rPr>
        <w:t>the analysis set out above</w:t>
      </w:r>
      <w:r>
        <w:rPr>
          <w:iCs/>
        </w:rPr>
        <w:t>.</w:t>
      </w:r>
      <w:r w:rsidR="0098326A" w:rsidRPr="00F0226B">
        <w:rPr>
          <w:iCs/>
        </w:rPr>
        <w:t xml:space="preserve"> </w:t>
      </w:r>
      <w:r w:rsidR="0044373C" w:rsidRPr="00F0226B">
        <w:rPr>
          <w:iCs/>
        </w:rPr>
        <w:t xml:space="preserve"> </w:t>
      </w:r>
    </w:p>
    <w:p w14:paraId="17F886DB" w14:textId="2D52A44C" w:rsidR="00EA546B" w:rsidRPr="00EF6232" w:rsidRDefault="00EF6232" w:rsidP="00DB37C0">
      <w:pPr>
        <w:pStyle w:val="ParaLevel1"/>
        <w:numPr>
          <w:ilvl w:val="0"/>
          <w:numId w:val="0"/>
        </w:numPr>
        <w:rPr>
          <w:b/>
          <w:bCs/>
          <w:iCs/>
        </w:rPr>
      </w:pPr>
      <w:r w:rsidRPr="00EF6232">
        <w:rPr>
          <w:b/>
          <w:bCs/>
          <w:iCs/>
        </w:rPr>
        <w:t>Conclusion</w:t>
      </w:r>
    </w:p>
    <w:p w14:paraId="069ACCF5" w14:textId="44FEE586" w:rsidR="00EA546B" w:rsidRPr="00EF6232" w:rsidRDefault="00EF6232" w:rsidP="00DB37C0">
      <w:pPr>
        <w:pStyle w:val="ParaLevel1"/>
        <w:rPr>
          <w:i/>
        </w:rPr>
      </w:pPr>
      <w:r w:rsidRPr="00EF6232">
        <w:rPr>
          <w:iCs/>
        </w:rPr>
        <w:t>For these reasons, which are not essentially different from those given by the Judge, I would dismiss the appeals.</w:t>
      </w:r>
    </w:p>
    <w:p w14:paraId="1F3C53BC" w14:textId="41AD26C9" w:rsidR="00342011" w:rsidRDefault="00DB37C0" w:rsidP="00DB37C0">
      <w:pPr>
        <w:spacing w:after="240"/>
        <w:sectPr w:rsidR="00342011" w:rsidSect="00DB37C0">
          <w:type w:val="continuous"/>
          <w:pgSz w:w="11906" w:h="16838" w:code="9"/>
          <w:pgMar w:top="1440" w:right="1440" w:bottom="1440" w:left="1440" w:header="709" w:footer="709" w:gutter="0"/>
          <w:cols w:space="708"/>
          <w:docGrid w:linePitch="360"/>
        </w:sectPr>
      </w:pPr>
      <w:r>
        <w:rPr>
          <w:b/>
        </w:rPr>
        <w:t>Lord Justice Males</w:t>
      </w:r>
      <w:r w:rsidR="00342011">
        <w:rPr>
          <w:b/>
        </w:rPr>
        <w:t xml:space="preserve"> :</w:t>
      </w:r>
      <w:r w:rsidR="00342011">
        <w:t xml:space="preserve"> </w:t>
      </w:r>
    </w:p>
    <w:p w14:paraId="68652198" w14:textId="3EB5400E" w:rsidR="00342011" w:rsidRDefault="00812B6A" w:rsidP="00DB37C0">
      <w:pPr>
        <w:pStyle w:val="ParaLevel1"/>
      </w:pPr>
      <w:r>
        <w:t>I agree entirely with the</w:t>
      </w:r>
      <w:r w:rsidR="00B67A65">
        <w:t xml:space="preserve"> judgment of Popplewell LJ. As he has demonstrated, the arguments on this appeal ranged far and wide.</w:t>
      </w:r>
      <w:r w:rsidR="00DF23C5">
        <w:t xml:space="preserve"> Ultimately, however,</w:t>
      </w:r>
      <w:r w:rsidR="0003055A">
        <w:t xml:space="preserve"> the issue is straightforward,</w:t>
      </w:r>
      <w:r w:rsidR="00BE653E">
        <w:t xml:space="preserve"> as appears from the following series of propositions advanced by Mr </w:t>
      </w:r>
      <w:r w:rsidR="00BE653E">
        <w:lastRenderedPageBreak/>
        <w:t>Christopher Pymont QC for Dr Mahmoud, which provide</w:t>
      </w:r>
      <w:r w:rsidR="0060709C">
        <w:t xml:space="preserve"> a complete answer to the appeal:</w:t>
      </w:r>
    </w:p>
    <w:p w14:paraId="428C5257" w14:textId="71CF67B0" w:rsidR="0060709C" w:rsidRDefault="0017313F" w:rsidP="00DB37C0">
      <w:pPr>
        <w:pStyle w:val="ParaLevel2"/>
      </w:pPr>
      <w:r>
        <w:t>When a question arises in an English court as to the existence or identity of a foreign government, that question must be determined in accordance with English law.</w:t>
      </w:r>
    </w:p>
    <w:p w14:paraId="3CC9B03E" w14:textId="693DE325" w:rsidR="002E004B" w:rsidRDefault="002E004B" w:rsidP="00DB37C0">
      <w:pPr>
        <w:pStyle w:val="ParaLevel2"/>
      </w:pPr>
      <w:r>
        <w:t>Despite the 1980 change of policy (whereby in general</w:t>
      </w:r>
      <w:r w:rsidR="00EC26EA">
        <w:t xml:space="preserve"> HMG no longer recognises governments as distinct from states), it is open to HMG</w:t>
      </w:r>
      <w:r w:rsidR="00307D19">
        <w:t xml:space="preserve"> to certify to the court that </w:t>
      </w:r>
      <w:r w:rsidR="005205B2">
        <w:t xml:space="preserve">it </w:t>
      </w:r>
      <w:r w:rsidR="00307D19">
        <w:t>recognises (or does not recognise)</w:t>
      </w:r>
      <w:r w:rsidR="00CF056C">
        <w:t xml:space="preserve"> a particular body as the government of a foreign state.</w:t>
      </w:r>
    </w:p>
    <w:p w14:paraId="045873E7" w14:textId="215C0606" w:rsidR="00CF056C" w:rsidRDefault="00CF056C" w:rsidP="00DB37C0">
      <w:pPr>
        <w:pStyle w:val="ParaLevel2"/>
      </w:pPr>
      <w:r>
        <w:t>When HMG recognises a body as the government of a foreign state,</w:t>
      </w:r>
      <w:r w:rsidR="0016036C">
        <w:t xml:space="preserve"> that body is so far as </w:t>
      </w:r>
      <w:r w:rsidR="00AA0869">
        <w:t xml:space="preserve">the </w:t>
      </w:r>
      <w:r w:rsidR="0016036C">
        <w:t>English court</w:t>
      </w:r>
      <w:r w:rsidR="00F57E21">
        <w:t xml:space="preserve"> i</w:t>
      </w:r>
      <w:r w:rsidR="0016036C">
        <w:t>s concerned</w:t>
      </w:r>
      <w:r w:rsidR="00F57E21">
        <w:t xml:space="preserve"> the government of that foreign state for all purposes, so that the court</w:t>
      </w:r>
      <w:r w:rsidR="00143D2C">
        <w:t xml:space="preserve"> is not entitled to reach a contrary conclusion; </w:t>
      </w:r>
      <w:r w:rsidR="00AA0869">
        <w:t xml:space="preserve">to </w:t>
      </w:r>
      <w:r w:rsidR="00143D2C">
        <w:t>do so would infringe the one voice principle,</w:t>
      </w:r>
      <w:r w:rsidR="00AA0869">
        <w:t xml:space="preserve"> which is a fundamental principle of our constitutional law.</w:t>
      </w:r>
    </w:p>
    <w:p w14:paraId="22B3319E" w14:textId="52359389" w:rsidR="00E470BB" w:rsidRDefault="00E470BB" w:rsidP="00DB37C0">
      <w:pPr>
        <w:pStyle w:val="ParaLevel2"/>
      </w:pPr>
      <w:r>
        <w:t>Thus acts done by a recognised foreign government</w:t>
      </w:r>
      <w:r w:rsidR="000A4ADA">
        <w:t xml:space="preserve"> cannot be challenged on the ground that the body in question is not a valid or lawful government under the law of the state concerned</w:t>
      </w:r>
      <w:r w:rsidR="00EE18AF">
        <w:t>; th</w:t>
      </w:r>
      <w:r w:rsidR="003D4CB1">
        <w:t>at does not</w:t>
      </w:r>
      <w:r w:rsidR="00EE18AF">
        <w:t xml:space="preserve">, however, </w:t>
      </w:r>
      <w:r w:rsidR="003D4CB1">
        <w:t xml:space="preserve">preclude a </w:t>
      </w:r>
      <w:r w:rsidR="00EE18AF">
        <w:t>challenge on other grounds which do not involve asserting</w:t>
      </w:r>
      <w:r w:rsidR="005205B2">
        <w:t xml:space="preserve"> that the body in question is not the government.</w:t>
      </w:r>
    </w:p>
    <w:p w14:paraId="5C2619FD" w14:textId="44B633E0" w:rsidR="00BD042A" w:rsidRDefault="00F70B98" w:rsidP="00DB37C0">
      <w:pPr>
        <w:pStyle w:val="ParaLevel2"/>
      </w:pPr>
      <w:r>
        <w:t>The one voice principle is separate and distinct from other doctrines such as act of state, sovereign immunity, judicial review and Crown act of state.</w:t>
      </w:r>
    </w:p>
    <w:p w14:paraId="1CF101E0" w14:textId="0B079FBF" w:rsidR="00FE4CCE" w:rsidRDefault="00CE038A" w:rsidP="00DB37C0">
      <w:pPr>
        <w:pStyle w:val="ParaLevel2"/>
      </w:pPr>
      <w:r>
        <w:t xml:space="preserve">In the present case HMG has certified </w:t>
      </w:r>
      <w:r w:rsidR="002370B2">
        <w:t xml:space="preserve">in unqualified terms </w:t>
      </w:r>
      <w:r>
        <w:t>that it recognises the PC GNA</w:t>
      </w:r>
      <w:r w:rsidR="002370B2">
        <w:t xml:space="preserve"> as the government of Libya.</w:t>
      </w:r>
    </w:p>
    <w:p w14:paraId="0B6B787A" w14:textId="24ED2A63" w:rsidR="002370B2" w:rsidRDefault="00DD6DF2" w:rsidP="00DB37C0">
      <w:pPr>
        <w:pStyle w:val="ParaLevel2"/>
      </w:pPr>
      <w:r>
        <w:t>The appellants’ arguments necessarily involve an assertion that the PC GNA</w:t>
      </w:r>
      <w:r w:rsidR="00F0059B">
        <w:t xml:space="preserve"> </w:t>
      </w:r>
      <w:r w:rsidR="00AF324E">
        <w:t xml:space="preserve">is </w:t>
      </w:r>
      <w:r w:rsidR="00F0059B">
        <w:t xml:space="preserve">not </w:t>
      </w:r>
      <w:r w:rsidR="00AF324E">
        <w:t xml:space="preserve">the </w:t>
      </w:r>
      <w:r w:rsidR="00F0059B">
        <w:t>lawful government of Libya under Libyan law.</w:t>
      </w:r>
    </w:p>
    <w:p w14:paraId="4489E48B" w14:textId="2AF29183" w:rsidR="002F75AB" w:rsidRDefault="002F75AB" w:rsidP="00DB37C0">
      <w:pPr>
        <w:pStyle w:val="ParaLevel2"/>
      </w:pPr>
      <w:r>
        <w:t>Accordingly the judge was right to strike out those arguments from the appellants</w:t>
      </w:r>
      <w:r w:rsidR="00ED1465">
        <w:t>’ respective position statements.</w:t>
      </w:r>
    </w:p>
    <w:p w14:paraId="0AC6BD4E" w14:textId="19250869" w:rsidR="00342011" w:rsidRDefault="00DB37C0" w:rsidP="00DB37C0">
      <w:pPr>
        <w:spacing w:after="240"/>
        <w:sectPr w:rsidR="00342011" w:rsidSect="00DB37C0">
          <w:type w:val="continuous"/>
          <w:pgSz w:w="11906" w:h="16838" w:code="9"/>
          <w:pgMar w:top="1440" w:right="1440" w:bottom="1440" w:left="1440" w:header="709" w:footer="709" w:gutter="0"/>
          <w:cols w:space="708"/>
          <w:docGrid w:linePitch="360"/>
        </w:sectPr>
      </w:pPr>
      <w:r>
        <w:rPr>
          <w:b/>
        </w:rPr>
        <w:t>Lady Justice King</w:t>
      </w:r>
      <w:r w:rsidR="00342011">
        <w:rPr>
          <w:b/>
        </w:rPr>
        <w:t xml:space="preserve"> :</w:t>
      </w:r>
      <w:r w:rsidR="00342011">
        <w:t xml:space="preserve"> </w:t>
      </w:r>
    </w:p>
    <w:p w14:paraId="05592132" w14:textId="5D9CD315" w:rsidR="00342011" w:rsidRDefault="003077CF" w:rsidP="00DB37C0">
      <w:pPr>
        <w:pStyle w:val="ParaLevel1"/>
      </w:pPr>
      <w:r>
        <w:t>I agree with both judgments.</w:t>
      </w:r>
    </w:p>
    <w:sectPr w:rsidR="00342011" w:rsidSect="00DB37C0">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29D57F" w14:textId="77777777" w:rsidR="00BD521C" w:rsidRDefault="00BD521C">
      <w:r>
        <w:separator/>
      </w:r>
    </w:p>
  </w:endnote>
  <w:endnote w:type="continuationSeparator" w:id="0">
    <w:p w14:paraId="04C43A47" w14:textId="77777777" w:rsidR="00BD521C" w:rsidRDefault="00BD5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Univers (W1)">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18DF9" w14:textId="77777777" w:rsidR="00C439A3" w:rsidRDefault="00C439A3">
    <w:pPr>
      <w:pStyle w:val="Footer"/>
      <w:jc w:val="center"/>
      <w:rPr>
        <w:rFonts w:ascii="Times New Roman" w:hAnsi="Times New Roman"/>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872646"/>
      <w:docPartObj>
        <w:docPartGallery w:val="Page Numbers (Bottom of Page)"/>
        <w:docPartUnique/>
      </w:docPartObj>
    </w:sdtPr>
    <w:sdtEndPr/>
    <w:sdtContent>
      <w:sdt>
        <w:sdtPr>
          <w:id w:val="1728636285"/>
          <w:docPartObj>
            <w:docPartGallery w:val="Page Numbers (Top of Page)"/>
            <w:docPartUnique/>
          </w:docPartObj>
        </w:sdtPr>
        <w:sdtEndPr/>
        <w:sdtContent>
          <w:p w14:paraId="7B873978" w14:textId="21557BCF" w:rsidR="007A7B69" w:rsidRDefault="007A7B69">
            <w:pPr>
              <w:pStyle w:val="Footer"/>
              <w:jc w:val="center"/>
            </w:pPr>
            <w:r w:rsidRPr="007A7B69">
              <w:rPr>
                <w:rFonts w:ascii="Times New Roman" w:hAnsi="Times New Roman"/>
                <w:sz w:val="20"/>
              </w:rPr>
              <w:t xml:space="preserve">Page </w:t>
            </w:r>
            <w:r w:rsidRPr="007A7B69">
              <w:rPr>
                <w:rFonts w:ascii="Times New Roman" w:hAnsi="Times New Roman"/>
                <w:bCs/>
                <w:sz w:val="20"/>
              </w:rPr>
              <w:fldChar w:fldCharType="begin"/>
            </w:r>
            <w:r w:rsidRPr="007A7B69">
              <w:rPr>
                <w:rFonts w:ascii="Times New Roman" w:hAnsi="Times New Roman"/>
                <w:bCs/>
                <w:sz w:val="20"/>
              </w:rPr>
              <w:instrText xml:space="preserve"> PAGE </w:instrText>
            </w:r>
            <w:r w:rsidRPr="007A7B69">
              <w:rPr>
                <w:rFonts w:ascii="Times New Roman" w:hAnsi="Times New Roman"/>
                <w:bCs/>
                <w:sz w:val="20"/>
              </w:rPr>
              <w:fldChar w:fldCharType="separate"/>
            </w:r>
            <w:r w:rsidR="00C00EDB">
              <w:rPr>
                <w:rFonts w:ascii="Times New Roman" w:hAnsi="Times New Roman"/>
                <w:bCs/>
                <w:noProof/>
                <w:sz w:val="20"/>
              </w:rPr>
              <w:t>20</w:t>
            </w:r>
            <w:r w:rsidRPr="007A7B69">
              <w:rPr>
                <w:rFonts w:ascii="Times New Roman" w:hAnsi="Times New Roman"/>
                <w:bCs/>
                <w:sz w:val="20"/>
              </w:rPr>
              <w:fldChar w:fldCharType="end"/>
            </w:r>
          </w:p>
        </w:sdtContent>
      </w:sdt>
    </w:sdtContent>
  </w:sdt>
  <w:p w14:paraId="04F45A9C" w14:textId="77777777" w:rsidR="00C439A3" w:rsidRPr="00DB37C0" w:rsidRDefault="00C439A3" w:rsidP="00DB37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84DEF" w14:textId="77777777" w:rsidR="00BD521C" w:rsidRDefault="00BD521C">
      <w:r>
        <w:separator/>
      </w:r>
    </w:p>
  </w:footnote>
  <w:footnote w:type="continuationSeparator" w:id="0">
    <w:p w14:paraId="7B4B8682" w14:textId="77777777" w:rsidR="00BD521C" w:rsidRDefault="00BD52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000" w:firstRow="0" w:lastRow="0" w:firstColumn="0" w:lastColumn="0" w:noHBand="0" w:noVBand="0"/>
    </w:tblPr>
    <w:tblGrid>
      <w:gridCol w:w="4622"/>
      <w:gridCol w:w="4622"/>
    </w:tblGrid>
    <w:tr w:rsidR="00C439A3" w14:paraId="60A367EB" w14:textId="77777777">
      <w:tc>
        <w:tcPr>
          <w:tcW w:w="4622" w:type="dxa"/>
        </w:tcPr>
        <w:p w14:paraId="434FD404" w14:textId="7EDA5014" w:rsidR="00C439A3" w:rsidRPr="00DB37C0" w:rsidRDefault="00DB37C0">
          <w:pPr>
            <w:pStyle w:val="Header"/>
            <w:rPr>
              <w:rFonts w:ascii="Times New Roman" w:hAnsi="Times New Roman"/>
              <w:b/>
              <w:sz w:val="16"/>
              <w:u w:val="single"/>
            </w:rPr>
          </w:pPr>
          <w:r>
            <w:rPr>
              <w:rFonts w:ascii="Times New Roman" w:hAnsi="Times New Roman"/>
              <w:b/>
              <w:sz w:val="16"/>
              <w:u w:val="single"/>
            </w:rPr>
            <w:t>Judgment Approved by the court for handing down.</w:t>
          </w:r>
        </w:p>
      </w:tc>
      <w:tc>
        <w:tcPr>
          <w:tcW w:w="4622" w:type="dxa"/>
        </w:tcPr>
        <w:p w14:paraId="688565E8" w14:textId="77777777" w:rsidR="00C439A3" w:rsidRDefault="004D12C8">
          <w:pPr>
            <w:pStyle w:val="Header"/>
            <w:jc w:val="right"/>
            <w:rPr>
              <w:rFonts w:ascii="Times New Roman" w:hAnsi="Times New Roman"/>
              <w:sz w:val="16"/>
            </w:rPr>
          </w:pPr>
          <w:r>
            <w:rPr>
              <w:rFonts w:ascii="Times New Roman" w:hAnsi="Times New Roman"/>
              <w:sz w:val="16"/>
            </w:rPr>
            <w:t>Mahmoud v Breish and Hussein</w:t>
          </w:r>
        </w:p>
      </w:tc>
    </w:tr>
  </w:tbl>
  <w:p w14:paraId="77D69F20" w14:textId="77777777" w:rsidR="00C439A3" w:rsidRDefault="00C439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4CCFBD8"/>
    <w:lvl w:ilvl="0">
      <w:start w:val="1"/>
      <w:numFmt w:val="decimal"/>
      <w:lvlText w:val="%1."/>
      <w:lvlJc w:val="left"/>
      <w:pPr>
        <w:tabs>
          <w:tab w:val="num" w:pos="1492"/>
        </w:tabs>
        <w:ind w:left="1492" w:hanging="360"/>
      </w:pPr>
    </w:lvl>
  </w:abstractNum>
  <w:abstractNum w:abstractNumId="1" w15:restartNumberingAfterBreak="0">
    <w:nsid w:val="04740BE0"/>
    <w:multiLevelType w:val="multilevel"/>
    <w:tmpl w:val="85801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B08D9"/>
    <w:multiLevelType w:val="multilevel"/>
    <w:tmpl w:val="5A12F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D0F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37D48D9"/>
    <w:multiLevelType w:val="hybridMultilevel"/>
    <w:tmpl w:val="24DEAA2C"/>
    <w:lvl w:ilvl="0" w:tplc="D8F0FA16">
      <w:start w:val="1"/>
      <w:numFmt w:val="decimal"/>
      <w:lvlText w:val="%1."/>
      <w:lvlJc w:val="left"/>
      <w:pPr>
        <w:tabs>
          <w:tab w:val="num" w:pos="720"/>
        </w:tabs>
        <w:ind w:left="720" w:hanging="360"/>
      </w:pPr>
      <w:rPr>
        <w:b w:val="0"/>
        <w:i w:val="0"/>
      </w:rPr>
    </w:lvl>
    <w:lvl w:ilvl="1" w:tplc="5E4E5D52">
      <w:start w:val="1"/>
      <w:numFmt w:val="decimal"/>
      <w:lvlText w:val="%2)"/>
      <w:lvlJc w:val="left"/>
      <w:pPr>
        <w:tabs>
          <w:tab w:val="num" w:pos="1440"/>
        </w:tabs>
        <w:ind w:left="1440" w:hanging="360"/>
      </w:pPr>
      <w:rPr>
        <w:rFonts w:hint="default"/>
      </w:rPr>
    </w:lvl>
    <w:lvl w:ilvl="2" w:tplc="4BEE6DE4">
      <w:start w:val="2"/>
      <w:numFmt w:val="lowerLetter"/>
      <w:lvlText w:val="%3."/>
      <w:lvlJc w:val="left"/>
      <w:pPr>
        <w:tabs>
          <w:tab w:val="num" w:pos="2340"/>
        </w:tabs>
        <w:ind w:left="2340" w:hanging="360"/>
      </w:pPr>
      <w:rPr>
        <w:rFonts w:hint="default"/>
        <w:b/>
        <w:i/>
      </w:rPr>
    </w:lvl>
    <w:lvl w:ilvl="3" w:tplc="C33C5526">
      <w:start w:val="2"/>
      <w:numFmt w:val="upp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26F7C52"/>
    <w:multiLevelType w:val="multilevel"/>
    <w:tmpl w:val="0809001F"/>
    <w:lvl w:ilvl="0">
      <w:start w:val="1"/>
      <w:numFmt w:val="decimal"/>
      <w:lvlText w:val="%1."/>
      <w:lvlJc w:val="left"/>
      <w:pPr>
        <w:ind w:left="360" w:hanging="360"/>
      </w:pPr>
      <w:rPr>
        <w:i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5D70B9F"/>
    <w:multiLevelType w:val="multilevel"/>
    <w:tmpl w:val="5F9C7D70"/>
    <w:lvl w:ilvl="0">
      <w:start w:val="1"/>
      <w:numFmt w:val="decimal"/>
      <w:pStyle w:val="ParaLevel1"/>
      <w:lvlText w:val="%1."/>
      <w:lvlJc w:val="left"/>
      <w:pPr>
        <w:tabs>
          <w:tab w:val="num" w:pos="720"/>
        </w:tabs>
        <w:ind w:left="720" w:hanging="720"/>
      </w:pPr>
      <w:rPr>
        <w:rFonts w:hint="default"/>
        <w:b w:val="0"/>
        <w:i w:val="0"/>
        <w:u w:val="none"/>
      </w:rPr>
    </w:lvl>
    <w:lvl w:ilvl="1">
      <w:start w:val="1"/>
      <w:numFmt w:val="decimal"/>
      <w:pStyle w:val="ParaLevel2"/>
      <w:lvlText w:val="(%2)"/>
      <w:lvlJc w:val="left"/>
      <w:pPr>
        <w:tabs>
          <w:tab w:val="num" w:pos="1418"/>
        </w:tabs>
        <w:ind w:left="1418" w:hanging="709"/>
      </w:pPr>
      <w:rPr>
        <w:rFonts w:hint="default"/>
        <w:b w:val="0"/>
        <w:i w:val="0"/>
      </w:rPr>
    </w:lvl>
    <w:lvl w:ilvl="2">
      <w:start w:val="1"/>
      <w:numFmt w:val="lowerLetter"/>
      <w:pStyle w:val="ParaLevel3"/>
      <w:lvlText w:val="(%3)"/>
      <w:lvlJc w:val="left"/>
      <w:pPr>
        <w:tabs>
          <w:tab w:val="num" w:pos="2127"/>
        </w:tabs>
        <w:ind w:left="2127" w:hanging="709"/>
      </w:pPr>
      <w:rPr>
        <w:rFonts w:hint="default"/>
      </w:rPr>
    </w:lvl>
    <w:lvl w:ilvl="3">
      <w:start w:val="1"/>
      <w:numFmt w:val="lowerRoman"/>
      <w:pStyle w:val="ParaLevel4"/>
      <w:lvlText w:val="(%4)"/>
      <w:lvlJc w:val="left"/>
      <w:pPr>
        <w:tabs>
          <w:tab w:val="num" w:pos="2836"/>
        </w:tabs>
        <w:ind w:left="2836" w:hanging="709"/>
      </w:pPr>
      <w:rPr>
        <w:rFonts w:hint="default"/>
      </w:rPr>
    </w:lvl>
    <w:lvl w:ilvl="4">
      <w:start w:val="1"/>
      <w:numFmt w:val="lowerLetter"/>
      <w:pStyle w:val="ParaLevel5"/>
      <w:lvlText w:val="%5"/>
      <w:lvlJc w:val="left"/>
      <w:pPr>
        <w:tabs>
          <w:tab w:val="num" w:pos="3545"/>
        </w:tabs>
        <w:ind w:left="3545" w:hanging="709"/>
      </w:pPr>
      <w:rPr>
        <w:rFonts w:hint="default"/>
      </w:rPr>
    </w:lvl>
    <w:lvl w:ilvl="5">
      <w:start w:val="1"/>
      <w:numFmt w:val="lowerRoman"/>
      <w:pStyle w:val="ParaLevel6"/>
      <w:lvlText w:val="%6"/>
      <w:lvlJc w:val="left"/>
      <w:pPr>
        <w:tabs>
          <w:tab w:val="num" w:pos="4254"/>
        </w:tabs>
        <w:ind w:left="4254" w:hanging="709"/>
      </w:pPr>
      <w:rPr>
        <w:rFonts w:hint="default"/>
      </w:rPr>
    </w:lvl>
    <w:lvl w:ilvl="6">
      <w:start w:val="1"/>
      <w:numFmt w:val="lowerLetter"/>
      <w:pStyle w:val="ParaLevel7"/>
      <w:lvlText w:val="(%7)"/>
      <w:lvlJc w:val="left"/>
      <w:pPr>
        <w:tabs>
          <w:tab w:val="num" w:pos="4963"/>
        </w:tabs>
        <w:ind w:left="4963" w:hanging="709"/>
      </w:pPr>
      <w:rPr>
        <w:rFonts w:hint="default"/>
      </w:rPr>
    </w:lvl>
    <w:lvl w:ilvl="7">
      <w:start w:val="1"/>
      <w:numFmt w:val="lowerRoman"/>
      <w:pStyle w:val="ParaLevel8"/>
      <w:lvlText w:val="(%8)"/>
      <w:lvlJc w:val="left"/>
      <w:pPr>
        <w:tabs>
          <w:tab w:val="num" w:pos="5672"/>
        </w:tabs>
        <w:ind w:left="5672" w:hanging="709"/>
      </w:pPr>
      <w:rPr>
        <w:rFonts w:hint="default"/>
      </w:rPr>
    </w:lvl>
    <w:lvl w:ilvl="8">
      <w:start w:val="1"/>
      <w:numFmt w:val="lowerLetter"/>
      <w:pStyle w:val="ParaLevel9"/>
      <w:lvlText w:val="(%9)"/>
      <w:lvlJc w:val="left"/>
      <w:pPr>
        <w:tabs>
          <w:tab w:val="num" w:pos="6381"/>
        </w:tabs>
        <w:ind w:left="6381" w:hanging="709"/>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6"/>
  </w:num>
  <w:num w:numId="9">
    <w:abstractNumId w:val="6"/>
  </w:num>
  <w:num w:numId="10">
    <w:abstractNumId w:val="0"/>
  </w:num>
  <w:num w:numId="11">
    <w:abstractNumId w:val="3"/>
  </w:num>
  <w:num w:numId="12">
    <w:abstractNumId w:val="4"/>
  </w:num>
  <w:num w:numId="13">
    <w:abstractNumId w:val="5"/>
  </w:num>
  <w:num w:numId="14">
    <w:abstractNumId w:val="1"/>
    <w:lvlOverride w:ilvl="0">
      <w:startOverride w:val="6"/>
    </w:lvlOverride>
  </w:num>
  <w:num w:numId="15">
    <w:abstractNumId w:val="1"/>
    <w:lvlOverride w:ilvl="0">
      <w:startOverride w:val="7"/>
    </w:lvlOverride>
  </w:num>
  <w:num w:numId="16">
    <w:abstractNumId w:val="1"/>
    <w:lvlOverride w:ilvl="0">
      <w:startOverride w:val="8"/>
    </w:lvlOverride>
  </w:num>
  <w:num w:numId="17">
    <w:abstractNumId w:val="1"/>
    <w:lvlOverride w:ilvl="0">
      <w:startOverride w:val="9"/>
    </w:lvlOverride>
  </w:num>
  <w:num w:numId="18">
    <w:abstractNumId w:val="1"/>
    <w:lvlOverride w:ilvl="0">
      <w:startOverride w:val="10"/>
    </w:lvlOverride>
  </w:num>
  <w:num w:numId="19">
    <w:abstractNumId w:val="1"/>
    <w:lvlOverride w:ilvl="0">
      <w:startOverride w:val="11"/>
    </w:lvlOverride>
  </w:num>
  <w:num w:numId="20">
    <w:abstractNumId w:val="1"/>
    <w:lvlOverride w:ilvl="0">
      <w:startOverride w:val="12"/>
    </w:lvlOverride>
  </w:num>
  <w:num w:numId="21">
    <w:abstractNumId w:val="2"/>
    <w:lvlOverride w:ilvl="0">
      <w:startOverride w:val="24"/>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56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6FCCBA4-8DCD-437F-BE50-9AF8FAACD8C6}"/>
    <w:docVar w:name="dgnword-eventsink" w:val="680248432"/>
    <w:docVar w:name="dgnword-lastRevisionsView" w:val="0"/>
  </w:docVars>
  <w:rsids>
    <w:rsidRoot w:val="0095267B"/>
    <w:rsid w:val="00000FA0"/>
    <w:rsid w:val="00001112"/>
    <w:rsid w:val="00001A46"/>
    <w:rsid w:val="00002B72"/>
    <w:rsid w:val="0000371B"/>
    <w:rsid w:val="00004591"/>
    <w:rsid w:val="0001180F"/>
    <w:rsid w:val="0001303B"/>
    <w:rsid w:val="00013EF7"/>
    <w:rsid w:val="0001439B"/>
    <w:rsid w:val="000149B9"/>
    <w:rsid w:val="00016800"/>
    <w:rsid w:val="00016B31"/>
    <w:rsid w:val="00020645"/>
    <w:rsid w:val="00021298"/>
    <w:rsid w:val="000215FD"/>
    <w:rsid w:val="00023E47"/>
    <w:rsid w:val="000259D5"/>
    <w:rsid w:val="000260C2"/>
    <w:rsid w:val="00026E20"/>
    <w:rsid w:val="0003055A"/>
    <w:rsid w:val="00030813"/>
    <w:rsid w:val="00031539"/>
    <w:rsid w:val="00031AFA"/>
    <w:rsid w:val="00033BD5"/>
    <w:rsid w:val="00033EED"/>
    <w:rsid w:val="00034EAE"/>
    <w:rsid w:val="00035D1A"/>
    <w:rsid w:val="000406C2"/>
    <w:rsid w:val="00040E59"/>
    <w:rsid w:val="00042ED3"/>
    <w:rsid w:val="00043698"/>
    <w:rsid w:val="0004400F"/>
    <w:rsid w:val="00045B10"/>
    <w:rsid w:val="000461A3"/>
    <w:rsid w:val="00046543"/>
    <w:rsid w:val="00047B1F"/>
    <w:rsid w:val="00050372"/>
    <w:rsid w:val="00051643"/>
    <w:rsid w:val="00052B43"/>
    <w:rsid w:val="000569D1"/>
    <w:rsid w:val="00057042"/>
    <w:rsid w:val="00060D72"/>
    <w:rsid w:val="00061DB3"/>
    <w:rsid w:val="00061F1F"/>
    <w:rsid w:val="00062E24"/>
    <w:rsid w:val="0006525D"/>
    <w:rsid w:val="00065405"/>
    <w:rsid w:val="0006549B"/>
    <w:rsid w:val="0006760E"/>
    <w:rsid w:val="00067D12"/>
    <w:rsid w:val="00070AB2"/>
    <w:rsid w:val="000716BE"/>
    <w:rsid w:val="00073CA3"/>
    <w:rsid w:val="0007445E"/>
    <w:rsid w:val="000746D4"/>
    <w:rsid w:val="00081290"/>
    <w:rsid w:val="000819F1"/>
    <w:rsid w:val="00082359"/>
    <w:rsid w:val="00082FAA"/>
    <w:rsid w:val="00083D8B"/>
    <w:rsid w:val="000846F3"/>
    <w:rsid w:val="000848F8"/>
    <w:rsid w:val="00085C04"/>
    <w:rsid w:val="00086F38"/>
    <w:rsid w:val="00087364"/>
    <w:rsid w:val="00090010"/>
    <w:rsid w:val="000913C3"/>
    <w:rsid w:val="00091BD6"/>
    <w:rsid w:val="0009203A"/>
    <w:rsid w:val="00094A66"/>
    <w:rsid w:val="00096D4A"/>
    <w:rsid w:val="0009798C"/>
    <w:rsid w:val="000A14DD"/>
    <w:rsid w:val="000A28B0"/>
    <w:rsid w:val="000A3C75"/>
    <w:rsid w:val="000A44E6"/>
    <w:rsid w:val="000A4ADA"/>
    <w:rsid w:val="000A5FA7"/>
    <w:rsid w:val="000A6394"/>
    <w:rsid w:val="000A76FD"/>
    <w:rsid w:val="000B024B"/>
    <w:rsid w:val="000B1530"/>
    <w:rsid w:val="000B1625"/>
    <w:rsid w:val="000B170A"/>
    <w:rsid w:val="000B1890"/>
    <w:rsid w:val="000B26F3"/>
    <w:rsid w:val="000B5192"/>
    <w:rsid w:val="000B69F2"/>
    <w:rsid w:val="000B6BE0"/>
    <w:rsid w:val="000C1C09"/>
    <w:rsid w:val="000C38D6"/>
    <w:rsid w:val="000C3BC3"/>
    <w:rsid w:val="000C4BB7"/>
    <w:rsid w:val="000C6494"/>
    <w:rsid w:val="000C69FF"/>
    <w:rsid w:val="000C6FD2"/>
    <w:rsid w:val="000C7112"/>
    <w:rsid w:val="000D024D"/>
    <w:rsid w:val="000D0975"/>
    <w:rsid w:val="000D0C61"/>
    <w:rsid w:val="000D1B63"/>
    <w:rsid w:val="000D2C55"/>
    <w:rsid w:val="000D3396"/>
    <w:rsid w:val="000D428F"/>
    <w:rsid w:val="000D6CDD"/>
    <w:rsid w:val="000E0ECF"/>
    <w:rsid w:val="000E234B"/>
    <w:rsid w:val="000E25AC"/>
    <w:rsid w:val="000E3C33"/>
    <w:rsid w:val="000E3F60"/>
    <w:rsid w:val="000F29CC"/>
    <w:rsid w:val="000F2FFD"/>
    <w:rsid w:val="000F3017"/>
    <w:rsid w:val="000F3A2F"/>
    <w:rsid w:val="000F3DED"/>
    <w:rsid w:val="000F5589"/>
    <w:rsid w:val="000F7B9C"/>
    <w:rsid w:val="00100DB5"/>
    <w:rsid w:val="0010151B"/>
    <w:rsid w:val="0010476A"/>
    <w:rsid w:val="0010491F"/>
    <w:rsid w:val="0010583D"/>
    <w:rsid w:val="001066DE"/>
    <w:rsid w:val="00107173"/>
    <w:rsid w:val="00107B60"/>
    <w:rsid w:val="00110074"/>
    <w:rsid w:val="0011379F"/>
    <w:rsid w:val="00114668"/>
    <w:rsid w:val="00114976"/>
    <w:rsid w:val="00114B32"/>
    <w:rsid w:val="00115FE6"/>
    <w:rsid w:val="00116711"/>
    <w:rsid w:val="00117A7D"/>
    <w:rsid w:val="00121794"/>
    <w:rsid w:val="00121AC0"/>
    <w:rsid w:val="00122297"/>
    <w:rsid w:val="00122D40"/>
    <w:rsid w:val="00122E9A"/>
    <w:rsid w:val="001233A2"/>
    <w:rsid w:val="00123CE9"/>
    <w:rsid w:val="001259FA"/>
    <w:rsid w:val="001262BE"/>
    <w:rsid w:val="001265D9"/>
    <w:rsid w:val="001300CA"/>
    <w:rsid w:val="001316AD"/>
    <w:rsid w:val="001326E4"/>
    <w:rsid w:val="00134167"/>
    <w:rsid w:val="001343B2"/>
    <w:rsid w:val="00134408"/>
    <w:rsid w:val="001347ED"/>
    <w:rsid w:val="00134A32"/>
    <w:rsid w:val="00134D04"/>
    <w:rsid w:val="00135515"/>
    <w:rsid w:val="00135BD7"/>
    <w:rsid w:val="00135BFE"/>
    <w:rsid w:val="00136598"/>
    <w:rsid w:val="00137FF5"/>
    <w:rsid w:val="0014072A"/>
    <w:rsid w:val="0014114F"/>
    <w:rsid w:val="001418B2"/>
    <w:rsid w:val="00141F61"/>
    <w:rsid w:val="00143D2C"/>
    <w:rsid w:val="001457EA"/>
    <w:rsid w:val="00146733"/>
    <w:rsid w:val="0014718C"/>
    <w:rsid w:val="001477BC"/>
    <w:rsid w:val="00147E8B"/>
    <w:rsid w:val="00150B6C"/>
    <w:rsid w:val="00151642"/>
    <w:rsid w:val="0015203B"/>
    <w:rsid w:val="00156A9C"/>
    <w:rsid w:val="00157C6F"/>
    <w:rsid w:val="0016036C"/>
    <w:rsid w:val="00162B36"/>
    <w:rsid w:val="00162CB3"/>
    <w:rsid w:val="00164B4A"/>
    <w:rsid w:val="00165F8E"/>
    <w:rsid w:val="001666A2"/>
    <w:rsid w:val="001670CC"/>
    <w:rsid w:val="00167928"/>
    <w:rsid w:val="00170447"/>
    <w:rsid w:val="001709F0"/>
    <w:rsid w:val="00170ADC"/>
    <w:rsid w:val="00171257"/>
    <w:rsid w:val="001728CE"/>
    <w:rsid w:val="0017313F"/>
    <w:rsid w:val="00175BC2"/>
    <w:rsid w:val="001820DA"/>
    <w:rsid w:val="00186666"/>
    <w:rsid w:val="001901D9"/>
    <w:rsid w:val="0019158E"/>
    <w:rsid w:val="00191C64"/>
    <w:rsid w:val="00192D74"/>
    <w:rsid w:val="001945C7"/>
    <w:rsid w:val="00194E8F"/>
    <w:rsid w:val="00195453"/>
    <w:rsid w:val="00195FB3"/>
    <w:rsid w:val="00196EEC"/>
    <w:rsid w:val="001978A0"/>
    <w:rsid w:val="001A036C"/>
    <w:rsid w:val="001A0CD8"/>
    <w:rsid w:val="001A362A"/>
    <w:rsid w:val="001A47E2"/>
    <w:rsid w:val="001A497B"/>
    <w:rsid w:val="001A6576"/>
    <w:rsid w:val="001A7CF5"/>
    <w:rsid w:val="001A7FC9"/>
    <w:rsid w:val="001B0F30"/>
    <w:rsid w:val="001B1833"/>
    <w:rsid w:val="001B3494"/>
    <w:rsid w:val="001B3704"/>
    <w:rsid w:val="001B399B"/>
    <w:rsid w:val="001B3A35"/>
    <w:rsid w:val="001B48D9"/>
    <w:rsid w:val="001B6E18"/>
    <w:rsid w:val="001B7B92"/>
    <w:rsid w:val="001B7EFE"/>
    <w:rsid w:val="001C0347"/>
    <w:rsid w:val="001C5F1D"/>
    <w:rsid w:val="001C7452"/>
    <w:rsid w:val="001D016B"/>
    <w:rsid w:val="001D06AE"/>
    <w:rsid w:val="001D24AC"/>
    <w:rsid w:val="001D63C4"/>
    <w:rsid w:val="001D6C5A"/>
    <w:rsid w:val="001D74C8"/>
    <w:rsid w:val="001D76A2"/>
    <w:rsid w:val="001D7F15"/>
    <w:rsid w:val="001E1221"/>
    <w:rsid w:val="001E19CB"/>
    <w:rsid w:val="001E1FED"/>
    <w:rsid w:val="001E5283"/>
    <w:rsid w:val="001F1DB3"/>
    <w:rsid w:val="001F1DEC"/>
    <w:rsid w:val="001F4662"/>
    <w:rsid w:val="001F76B8"/>
    <w:rsid w:val="00200149"/>
    <w:rsid w:val="0020062E"/>
    <w:rsid w:val="00201BB2"/>
    <w:rsid w:val="00201BFC"/>
    <w:rsid w:val="002021B8"/>
    <w:rsid w:val="00204177"/>
    <w:rsid w:val="00205266"/>
    <w:rsid w:val="00207BB7"/>
    <w:rsid w:val="00210236"/>
    <w:rsid w:val="0021303D"/>
    <w:rsid w:val="002134D9"/>
    <w:rsid w:val="00213521"/>
    <w:rsid w:val="0021583D"/>
    <w:rsid w:val="00217641"/>
    <w:rsid w:val="0022085D"/>
    <w:rsid w:val="002209BF"/>
    <w:rsid w:val="00222464"/>
    <w:rsid w:val="002230E8"/>
    <w:rsid w:val="00223363"/>
    <w:rsid w:val="00223AB3"/>
    <w:rsid w:val="002241B7"/>
    <w:rsid w:val="0022435A"/>
    <w:rsid w:val="00225F51"/>
    <w:rsid w:val="00232CF8"/>
    <w:rsid w:val="00233C9A"/>
    <w:rsid w:val="002343B4"/>
    <w:rsid w:val="00235296"/>
    <w:rsid w:val="00235CC1"/>
    <w:rsid w:val="00235DBA"/>
    <w:rsid w:val="002370B2"/>
    <w:rsid w:val="00241A82"/>
    <w:rsid w:val="002436D5"/>
    <w:rsid w:val="00243B03"/>
    <w:rsid w:val="00243C41"/>
    <w:rsid w:val="00244B59"/>
    <w:rsid w:val="0024673A"/>
    <w:rsid w:val="00251D34"/>
    <w:rsid w:val="00253176"/>
    <w:rsid w:val="0025379D"/>
    <w:rsid w:val="00253FAE"/>
    <w:rsid w:val="00254488"/>
    <w:rsid w:val="00260C0C"/>
    <w:rsid w:val="002628EC"/>
    <w:rsid w:val="00262D82"/>
    <w:rsid w:val="00263C00"/>
    <w:rsid w:val="002702EB"/>
    <w:rsid w:val="002706C4"/>
    <w:rsid w:val="00270CD8"/>
    <w:rsid w:val="002722FE"/>
    <w:rsid w:val="0027327D"/>
    <w:rsid w:val="0027430D"/>
    <w:rsid w:val="00275CC8"/>
    <w:rsid w:val="0027699A"/>
    <w:rsid w:val="00277248"/>
    <w:rsid w:val="002779C3"/>
    <w:rsid w:val="00277DFF"/>
    <w:rsid w:val="00277F86"/>
    <w:rsid w:val="002803A2"/>
    <w:rsid w:val="00280C3B"/>
    <w:rsid w:val="0028149D"/>
    <w:rsid w:val="0028173D"/>
    <w:rsid w:val="00281E0D"/>
    <w:rsid w:val="0028306F"/>
    <w:rsid w:val="002842DB"/>
    <w:rsid w:val="00284C91"/>
    <w:rsid w:val="00286556"/>
    <w:rsid w:val="002877AB"/>
    <w:rsid w:val="00290764"/>
    <w:rsid w:val="00290E58"/>
    <w:rsid w:val="0029145E"/>
    <w:rsid w:val="002933A6"/>
    <w:rsid w:val="00293D29"/>
    <w:rsid w:val="00293E1D"/>
    <w:rsid w:val="00294707"/>
    <w:rsid w:val="002A0F57"/>
    <w:rsid w:val="002A106C"/>
    <w:rsid w:val="002A1EC8"/>
    <w:rsid w:val="002A3E1C"/>
    <w:rsid w:val="002A6DF3"/>
    <w:rsid w:val="002B060B"/>
    <w:rsid w:val="002B3BE6"/>
    <w:rsid w:val="002B4849"/>
    <w:rsid w:val="002C4A2A"/>
    <w:rsid w:val="002C4D76"/>
    <w:rsid w:val="002C52FA"/>
    <w:rsid w:val="002C5920"/>
    <w:rsid w:val="002C619B"/>
    <w:rsid w:val="002C626A"/>
    <w:rsid w:val="002C767C"/>
    <w:rsid w:val="002D1C76"/>
    <w:rsid w:val="002D43A5"/>
    <w:rsid w:val="002D5005"/>
    <w:rsid w:val="002D53DF"/>
    <w:rsid w:val="002D7542"/>
    <w:rsid w:val="002E004B"/>
    <w:rsid w:val="002E176F"/>
    <w:rsid w:val="002E251D"/>
    <w:rsid w:val="002E3C96"/>
    <w:rsid w:val="002E46E5"/>
    <w:rsid w:val="002E6B6B"/>
    <w:rsid w:val="002E70C4"/>
    <w:rsid w:val="002F09DF"/>
    <w:rsid w:val="002F0A49"/>
    <w:rsid w:val="002F17BE"/>
    <w:rsid w:val="002F2A76"/>
    <w:rsid w:val="002F2BE8"/>
    <w:rsid w:val="002F2D08"/>
    <w:rsid w:val="002F58A9"/>
    <w:rsid w:val="002F5B46"/>
    <w:rsid w:val="002F619B"/>
    <w:rsid w:val="002F720F"/>
    <w:rsid w:val="002F75AB"/>
    <w:rsid w:val="002F770C"/>
    <w:rsid w:val="003029F2"/>
    <w:rsid w:val="00303F19"/>
    <w:rsid w:val="00304F22"/>
    <w:rsid w:val="003077CF"/>
    <w:rsid w:val="00307D19"/>
    <w:rsid w:val="00314D39"/>
    <w:rsid w:val="00315AC5"/>
    <w:rsid w:val="00316577"/>
    <w:rsid w:val="00317865"/>
    <w:rsid w:val="0032112C"/>
    <w:rsid w:val="003217BE"/>
    <w:rsid w:val="003231F7"/>
    <w:rsid w:val="00323594"/>
    <w:rsid w:val="00324380"/>
    <w:rsid w:val="003258CF"/>
    <w:rsid w:val="00326DC5"/>
    <w:rsid w:val="00326EFD"/>
    <w:rsid w:val="00330316"/>
    <w:rsid w:val="00331538"/>
    <w:rsid w:val="00331F56"/>
    <w:rsid w:val="00332772"/>
    <w:rsid w:val="0033287F"/>
    <w:rsid w:val="00332C07"/>
    <w:rsid w:val="0033388F"/>
    <w:rsid w:val="00335035"/>
    <w:rsid w:val="00336087"/>
    <w:rsid w:val="00337686"/>
    <w:rsid w:val="00340644"/>
    <w:rsid w:val="0034093E"/>
    <w:rsid w:val="00341C48"/>
    <w:rsid w:val="00342011"/>
    <w:rsid w:val="00342253"/>
    <w:rsid w:val="00342B2E"/>
    <w:rsid w:val="00342D57"/>
    <w:rsid w:val="00346223"/>
    <w:rsid w:val="003466C1"/>
    <w:rsid w:val="00346C8B"/>
    <w:rsid w:val="00346C9A"/>
    <w:rsid w:val="00347136"/>
    <w:rsid w:val="00352939"/>
    <w:rsid w:val="00352AF6"/>
    <w:rsid w:val="003532E4"/>
    <w:rsid w:val="003537B8"/>
    <w:rsid w:val="00353802"/>
    <w:rsid w:val="0035432B"/>
    <w:rsid w:val="00355111"/>
    <w:rsid w:val="00355C01"/>
    <w:rsid w:val="003563E9"/>
    <w:rsid w:val="00357E00"/>
    <w:rsid w:val="00360CFE"/>
    <w:rsid w:val="003621E9"/>
    <w:rsid w:val="003621F6"/>
    <w:rsid w:val="003623D4"/>
    <w:rsid w:val="00362509"/>
    <w:rsid w:val="00363F0B"/>
    <w:rsid w:val="0036563D"/>
    <w:rsid w:val="00370926"/>
    <w:rsid w:val="0037265E"/>
    <w:rsid w:val="00372738"/>
    <w:rsid w:val="00375946"/>
    <w:rsid w:val="00382563"/>
    <w:rsid w:val="0038282C"/>
    <w:rsid w:val="00385976"/>
    <w:rsid w:val="00385F7D"/>
    <w:rsid w:val="003875B9"/>
    <w:rsid w:val="00387B70"/>
    <w:rsid w:val="00391715"/>
    <w:rsid w:val="00391B28"/>
    <w:rsid w:val="00392572"/>
    <w:rsid w:val="00394F1C"/>
    <w:rsid w:val="00395FDD"/>
    <w:rsid w:val="003A08A4"/>
    <w:rsid w:val="003A2765"/>
    <w:rsid w:val="003A29CE"/>
    <w:rsid w:val="003A30EE"/>
    <w:rsid w:val="003A41D6"/>
    <w:rsid w:val="003A61E5"/>
    <w:rsid w:val="003A646C"/>
    <w:rsid w:val="003A75A6"/>
    <w:rsid w:val="003B12BF"/>
    <w:rsid w:val="003B1EDE"/>
    <w:rsid w:val="003B2971"/>
    <w:rsid w:val="003B4AAD"/>
    <w:rsid w:val="003B6B78"/>
    <w:rsid w:val="003B6C16"/>
    <w:rsid w:val="003C324C"/>
    <w:rsid w:val="003C57DA"/>
    <w:rsid w:val="003C5DA0"/>
    <w:rsid w:val="003C7AC7"/>
    <w:rsid w:val="003D0A39"/>
    <w:rsid w:val="003D0A63"/>
    <w:rsid w:val="003D0BB9"/>
    <w:rsid w:val="003D3B6A"/>
    <w:rsid w:val="003D3C8A"/>
    <w:rsid w:val="003D4CB1"/>
    <w:rsid w:val="003D61AB"/>
    <w:rsid w:val="003E1D36"/>
    <w:rsid w:val="003E297A"/>
    <w:rsid w:val="003E2E23"/>
    <w:rsid w:val="003E5036"/>
    <w:rsid w:val="003E5183"/>
    <w:rsid w:val="003E6045"/>
    <w:rsid w:val="003E6CE4"/>
    <w:rsid w:val="003E71DE"/>
    <w:rsid w:val="003F12B1"/>
    <w:rsid w:val="003F208A"/>
    <w:rsid w:val="003F3681"/>
    <w:rsid w:val="003F5D23"/>
    <w:rsid w:val="003F7A53"/>
    <w:rsid w:val="004011FE"/>
    <w:rsid w:val="00401899"/>
    <w:rsid w:val="00402129"/>
    <w:rsid w:val="00402939"/>
    <w:rsid w:val="00403328"/>
    <w:rsid w:val="004035ED"/>
    <w:rsid w:val="00403912"/>
    <w:rsid w:val="00404F22"/>
    <w:rsid w:val="00406155"/>
    <w:rsid w:val="00406F15"/>
    <w:rsid w:val="004072EE"/>
    <w:rsid w:val="00407983"/>
    <w:rsid w:val="00407C05"/>
    <w:rsid w:val="00410128"/>
    <w:rsid w:val="004102BA"/>
    <w:rsid w:val="004116ED"/>
    <w:rsid w:val="004125B5"/>
    <w:rsid w:val="00413C98"/>
    <w:rsid w:val="00414B3E"/>
    <w:rsid w:val="00414BA1"/>
    <w:rsid w:val="00415C01"/>
    <w:rsid w:val="00420ABE"/>
    <w:rsid w:val="00421324"/>
    <w:rsid w:val="00422C0E"/>
    <w:rsid w:val="00425945"/>
    <w:rsid w:val="00426828"/>
    <w:rsid w:val="0043037D"/>
    <w:rsid w:val="0043061B"/>
    <w:rsid w:val="00430CD9"/>
    <w:rsid w:val="00431CB7"/>
    <w:rsid w:val="0043216A"/>
    <w:rsid w:val="00434D2E"/>
    <w:rsid w:val="00435092"/>
    <w:rsid w:val="0043527B"/>
    <w:rsid w:val="00435544"/>
    <w:rsid w:val="004361E3"/>
    <w:rsid w:val="00436AC7"/>
    <w:rsid w:val="00441B61"/>
    <w:rsid w:val="00441D00"/>
    <w:rsid w:val="0044373C"/>
    <w:rsid w:val="00445CD2"/>
    <w:rsid w:val="00445DB3"/>
    <w:rsid w:val="00447071"/>
    <w:rsid w:val="00447611"/>
    <w:rsid w:val="004507CF"/>
    <w:rsid w:val="004524A4"/>
    <w:rsid w:val="004538E2"/>
    <w:rsid w:val="00454115"/>
    <w:rsid w:val="00454752"/>
    <w:rsid w:val="00454D96"/>
    <w:rsid w:val="004554B3"/>
    <w:rsid w:val="00455D06"/>
    <w:rsid w:val="00456323"/>
    <w:rsid w:val="00456A9E"/>
    <w:rsid w:val="004602D9"/>
    <w:rsid w:val="004611D0"/>
    <w:rsid w:val="00463870"/>
    <w:rsid w:val="00465721"/>
    <w:rsid w:val="00466259"/>
    <w:rsid w:val="00467391"/>
    <w:rsid w:val="004733E3"/>
    <w:rsid w:val="0047469C"/>
    <w:rsid w:val="00474708"/>
    <w:rsid w:val="0047532D"/>
    <w:rsid w:val="00477688"/>
    <w:rsid w:val="00477B36"/>
    <w:rsid w:val="00477DB0"/>
    <w:rsid w:val="00477E5D"/>
    <w:rsid w:val="00480738"/>
    <w:rsid w:val="004813C2"/>
    <w:rsid w:val="004842A7"/>
    <w:rsid w:val="00484BC7"/>
    <w:rsid w:val="00492531"/>
    <w:rsid w:val="00492E28"/>
    <w:rsid w:val="00493956"/>
    <w:rsid w:val="004945FD"/>
    <w:rsid w:val="00494C0F"/>
    <w:rsid w:val="004956D7"/>
    <w:rsid w:val="00496851"/>
    <w:rsid w:val="00497B1D"/>
    <w:rsid w:val="004A010E"/>
    <w:rsid w:val="004A0690"/>
    <w:rsid w:val="004A0A41"/>
    <w:rsid w:val="004A0CBC"/>
    <w:rsid w:val="004A18D3"/>
    <w:rsid w:val="004A5869"/>
    <w:rsid w:val="004A5BD0"/>
    <w:rsid w:val="004A5D66"/>
    <w:rsid w:val="004A77A2"/>
    <w:rsid w:val="004B034E"/>
    <w:rsid w:val="004B1100"/>
    <w:rsid w:val="004B11FE"/>
    <w:rsid w:val="004B14A0"/>
    <w:rsid w:val="004B25FE"/>
    <w:rsid w:val="004B608E"/>
    <w:rsid w:val="004B62AB"/>
    <w:rsid w:val="004B7933"/>
    <w:rsid w:val="004C0746"/>
    <w:rsid w:val="004C12E7"/>
    <w:rsid w:val="004C12F2"/>
    <w:rsid w:val="004C3341"/>
    <w:rsid w:val="004C3717"/>
    <w:rsid w:val="004C47A4"/>
    <w:rsid w:val="004C507C"/>
    <w:rsid w:val="004C5624"/>
    <w:rsid w:val="004C5626"/>
    <w:rsid w:val="004D0322"/>
    <w:rsid w:val="004D12C8"/>
    <w:rsid w:val="004D1BD6"/>
    <w:rsid w:val="004D24C8"/>
    <w:rsid w:val="004D482E"/>
    <w:rsid w:val="004D4837"/>
    <w:rsid w:val="004D536D"/>
    <w:rsid w:val="004D577F"/>
    <w:rsid w:val="004D5D31"/>
    <w:rsid w:val="004E06B4"/>
    <w:rsid w:val="004E0E7D"/>
    <w:rsid w:val="004E14F9"/>
    <w:rsid w:val="004E2D52"/>
    <w:rsid w:val="004E5920"/>
    <w:rsid w:val="004F0231"/>
    <w:rsid w:val="004F024D"/>
    <w:rsid w:val="004F34B0"/>
    <w:rsid w:val="004F36CB"/>
    <w:rsid w:val="004F3844"/>
    <w:rsid w:val="004F396B"/>
    <w:rsid w:val="004F4771"/>
    <w:rsid w:val="004F492F"/>
    <w:rsid w:val="004F5A6D"/>
    <w:rsid w:val="004F5D40"/>
    <w:rsid w:val="004F6412"/>
    <w:rsid w:val="004F7BDA"/>
    <w:rsid w:val="00500B36"/>
    <w:rsid w:val="00500FAC"/>
    <w:rsid w:val="0050373E"/>
    <w:rsid w:val="0051062D"/>
    <w:rsid w:val="00511EA8"/>
    <w:rsid w:val="005125F5"/>
    <w:rsid w:val="005135A4"/>
    <w:rsid w:val="0051691E"/>
    <w:rsid w:val="005205B2"/>
    <w:rsid w:val="0052077B"/>
    <w:rsid w:val="00520EDC"/>
    <w:rsid w:val="0052129B"/>
    <w:rsid w:val="00522A08"/>
    <w:rsid w:val="00522D24"/>
    <w:rsid w:val="0052308B"/>
    <w:rsid w:val="00524963"/>
    <w:rsid w:val="00530306"/>
    <w:rsid w:val="0053061A"/>
    <w:rsid w:val="00530CD0"/>
    <w:rsid w:val="00530DCF"/>
    <w:rsid w:val="00531C9F"/>
    <w:rsid w:val="00531CF3"/>
    <w:rsid w:val="0053263B"/>
    <w:rsid w:val="00532B93"/>
    <w:rsid w:val="00533246"/>
    <w:rsid w:val="005332AF"/>
    <w:rsid w:val="0053370B"/>
    <w:rsid w:val="005344D3"/>
    <w:rsid w:val="00534A76"/>
    <w:rsid w:val="00537481"/>
    <w:rsid w:val="00537BED"/>
    <w:rsid w:val="00537CDC"/>
    <w:rsid w:val="0054067B"/>
    <w:rsid w:val="00540C43"/>
    <w:rsid w:val="00541B3D"/>
    <w:rsid w:val="00543C87"/>
    <w:rsid w:val="00543EA8"/>
    <w:rsid w:val="00544D59"/>
    <w:rsid w:val="00545606"/>
    <w:rsid w:val="00550046"/>
    <w:rsid w:val="00553042"/>
    <w:rsid w:val="00554597"/>
    <w:rsid w:val="00556D4E"/>
    <w:rsid w:val="00557EB9"/>
    <w:rsid w:val="00560F67"/>
    <w:rsid w:val="0056419C"/>
    <w:rsid w:val="005645CA"/>
    <w:rsid w:val="00565317"/>
    <w:rsid w:val="00566518"/>
    <w:rsid w:val="00567F81"/>
    <w:rsid w:val="005709CF"/>
    <w:rsid w:val="00571475"/>
    <w:rsid w:val="005718AC"/>
    <w:rsid w:val="005718EB"/>
    <w:rsid w:val="00573A86"/>
    <w:rsid w:val="00574BAF"/>
    <w:rsid w:val="0057534E"/>
    <w:rsid w:val="00575D7A"/>
    <w:rsid w:val="005770FB"/>
    <w:rsid w:val="00582089"/>
    <w:rsid w:val="00582E2E"/>
    <w:rsid w:val="005849CF"/>
    <w:rsid w:val="00586166"/>
    <w:rsid w:val="0058680C"/>
    <w:rsid w:val="00586CC2"/>
    <w:rsid w:val="00590C38"/>
    <w:rsid w:val="005915EF"/>
    <w:rsid w:val="00591645"/>
    <w:rsid w:val="00591A7E"/>
    <w:rsid w:val="00595ABF"/>
    <w:rsid w:val="005961BC"/>
    <w:rsid w:val="00596A2F"/>
    <w:rsid w:val="00596B92"/>
    <w:rsid w:val="005A3B2E"/>
    <w:rsid w:val="005A40BB"/>
    <w:rsid w:val="005B03A0"/>
    <w:rsid w:val="005B246D"/>
    <w:rsid w:val="005B2F12"/>
    <w:rsid w:val="005B4AF7"/>
    <w:rsid w:val="005B5AEE"/>
    <w:rsid w:val="005C0F54"/>
    <w:rsid w:val="005C1725"/>
    <w:rsid w:val="005C6997"/>
    <w:rsid w:val="005D001F"/>
    <w:rsid w:val="005D035B"/>
    <w:rsid w:val="005D07FB"/>
    <w:rsid w:val="005D2A19"/>
    <w:rsid w:val="005D492D"/>
    <w:rsid w:val="005D4E50"/>
    <w:rsid w:val="005E39D9"/>
    <w:rsid w:val="005E4E40"/>
    <w:rsid w:val="005E6384"/>
    <w:rsid w:val="005F01BA"/>
    <w:rsid w:val="005F2917"/>
    <w:rsid w:val="005F3CFD"/>
    <w:rsid w:val="005F7325"/>
    <w:rsid w:val="00600080"/>
    <w:rsid w:val="00600106"/>
    <w:rsid w:val="00600BAB"/>
    <w:rsid w:val="0060160E"/>
    <w:rsid w:val="00601D2E"/>
    <w:rsid w:val="00602D1D"/>
    <w:rsid w:val="006043C6"/>
    <w:rsid w:val="00604634"/>
    <w:rsid w:val="00606DBE"/>
    <w:rsid w:val="00606FF8"/>
    <w:rsid w:val="0060709C"/>
    <w:rsid w:val="006136BF"/>
    <w:rsid w:val="00616985"/>
    <w:rsid w:val="00617482"/>
    <w:rsid w:val="00617B21"/>
    <w:rsid w:val="006223AF"/>
    <w:rsid w:val="006226E4"/>
    <w:rsid w:val="00623272"/>
    <w:rsid w:val="00626ACE"/>
    <w:rsid w:val="006302AF"/>
    <w:rsid w:val="00631C8E"/>
    <w:rsid w:val="00631DEB"/>
    <w:rsid w:val="006322D3"/>
    <w:rsid w:val="00634043"/>
    <w:rsid w:val="006366AD"/>
    <w:rsid w:val="006374A3"/>
    <w:rsid w:val="00640505"/>
    <w:rsid w:val="00642CE2"/>
    <w:rsid w:val="00643CD3"/>
    <w:rsid w:val="0064622A"/>
    <w:rsid w:val="00647989"/>
    <w:rsid w:val="00647D1F"/>
    <w:rsid w:val="00650045"/>
    <w:rsid w:val="00650FC7"/>
    <w:rsid w:val="00653575"/>
    <w:rsid w:val="00653CED"/>
    <w:rsid w:val="00654A6E"/>
    <w:rsid w:val="006559FD"/>
    <w:rsid w:val="00655BBA"/>
    <w:rsid w:val="00656347"/>
    <w:rsid w:val="00656BE1"/>
    <w:rsid w:val="006576F9"/>
    <w:rsid w:val="00657B7C"/>
    <w:rsid w:val="006601E8"/>
    <w:rsid w:val="006603FE"/>
    <w:rsid w:val="00660D7E"/>
    <w:rsid w:val="00661AFD"/>
    <w:rsid w:val="0066246E"/>
    <w:rsid w:val="00663962"/>
    <w:rsid w:val="00664497"/>
    <w:rsid w:val="00664810"/>
    <w:rsid w:val="006652D8"/>
    <w:rsid w:val="00665CEB"/>
    <w:rsid w:val="00665D4E"/>
    <w:rsid w:val="006663BE"/>
    <w:rsid w:val="0066659D"/>
    <w:rsid w:val="0067052E"/>
    <w:rsid w:val="0067256E"/>
    <w:rsid w:val="00673336"/>
    <w:rsid w:val="0067341C"/>
    <w:rsid w:val="00680278"/>
    <w:rsid w:val="00683819"/>
    <w:rsid w:val="00683CEA"/>
    <w:rsid w:val="0068542F"/>
    <w:rsid w:val="00686328"/>
    <w:rsid w:val="006876F3"/>
    <w:rsid w:val="00690A43"/>
    <w:rsid w:val="006921A5"/>
    <w:rsid w:val="00694684"/>
    <w:rsid w:val="00695A07"/>
    <w:rsid w:val="00697C10"/>
    <w:rsid w:val="00697E6E"/>
    <w:rsid w:val="006A1B4C"/>
    <w:rsid w:val="006A2EDD"/>
    <w:rsid w:val="006A3097"/>
    <w:rsid w:val="006A59F0"/>
    <w:rsid w:val="006A7931"/>
    <w:rsid w:val="006A798A"/>
    <w:rsid w:val="006B01C5"/>
    <w:rsid w:val="006B0260"/>
    <w:rsid w:val="006B170C"/>
    <w:rsid w:val="006B1768"/>
    <w:rsid w:val="006B25CD"/>
    <w:rsid w:val="006B27F9"/>
    <w:rsid w:val="006B40E7"/>
    <w:rsid w:val="006B5231"/>
    <w:rsid w:val="006B5F02"/>
    <w:rsid w:val="006C0E57"/>
    <w:rsid w:val="006C14FE"/>
    <w:rsid w:val="006C1D19"/>
    <w:rsid w:val="006C315E"/>
    <w:rsid w:val="006C48B4"/>
    <w:rsid w:val="006C6D39"/>
    <w:rsid w:val="006D415B"/>
    <w:rsid w:val="006D5177"/>
    <w:rsid w:val="006D6685"/>
    <w:rsid w:val="006D79AE"/>
    <w:rsid w:val="006D7AD5"/>
    <w:rsid w:val="006E1322"/>
    <w:rsid w:val="006E3147"/>
    <w:rsid w:val="006E7E98"/>
    <w:rsid w:val="006F06C0"/>
    <w:rsid w:val="006F16BE"/>
    <w:rsid w:val="006F34DF"/>
    <w:rsid w:val="006F58E0"/>
    <w:rsid w:val="006F5C14"/>
    <w:rsid w:val="006F6F8B"/>
    <w:rsid w:val="006F7139"/>
    <w:rsid w:val="006F732F"/>
    <w:rsid w:val="007012D9"/>
    <w:rsid w:val="0070344A"/>
    <w:rsid w:val="00704E43"/>
    <w:rsid w:val="007060B5"/>
    <w:rsid w:val="00707EDC"/>
    <w:rsid w:val="0071073A"/>
    <w:rsid w:val="00711089"/>
    <w:rsid w:val="007113CE"/>
    <w:rsid w:val="00712422"/>
    <w:rsid w:val="00713823"/>
    <w:rsid w:val="00714647"/>
    <w:rsid w:val="00717066"/>
    <w:rsid w:val="007201C8"/>
    <w:rsid w:val="007241B2"/>
    <w:rsid w:val="0072658B"/>
    <w:rsid w:val="0072691F"/>
    <w:rsid w:val="00727E85"/>
    <w:rsid w:val="007307B9"/>
    <w:rsid w:val="00730983"/>
    <w:rsid w:val="00732004"/>
    <w:rsid w:val="00732E98"/>
    <w:rsid w:val="0073407C"/>
    <w:rsid w:val="00735D45"/>
    <w:rsid w:val="0073677F"/>
    <w:rsid w:val="00737FA7"/>
    <w:rsid w:val="0074054A"/>
    <w:rsid w:val="00743037"/>
    <w:rsid w:val="007439A0"/>
    <w:rsid w:val="00744251"/>
    <w:rsid w:val="0074554F"/>
    <w:rsid w:val="00745590"/>
    <w:rsid w:val="00745DB8"/>
    <w:rsid w:val="007463A3"/>
    <w:rsid w:val="007465D4"/>
    <w:rsid w:val="0074756B"/>
    <w:rsid w:val="00747B96"/>
    <w:rsid w:val="007505E9"/>
    <w:rsid w:val="00752EE9"/>
    <w:rsid w:val="0075587D"/>
    <w:rsid w:val="00755FB1"/>
    <w:rsid w:val="00756C0C"/>
    <w:rsid w:val="00756CBB"/>
    <w:rsid w:val="00756ED0"/>
    <w:rsid w:val="0075709F"/>
    <w:rsid w:val="007621AA"/>
    <w:rsid w:val="007621ED"/>
    <w:rsid w:val="00762438"/>
    <w:rsid w:val="007629BA"/>
    <w:rsid w:val="0076470D"/>
    <w:rsid w:val="00764E77"/>
    <w:rsid w:val="0076716D"/>
    <w:rsid w:val="00770AE5"/>
    <w:rsid w:val="00770CFC"/>
    <w:rsid w:val="00771927"/>
    <w:rsid w:val="00774063"/>
    <w:rsid w:val="007741BF"/>
    <w:rsid w:val="00774297"/>
    <w:rsid w:val="0077502C"/>
    <w:rsid w:val="007764A9"/>
    <w:rsid w:val="00776B69"/>
    <w:rsid w:val="007771D0"/>
    <w:rsid w:val="007775EA"/>
    <w:rsid w:val="00777E7E"/>
    <w:rsid w:val="007803EA"/>
    <w:rsid w:val="00782647"/>
    <w:rsid w:val="00783939"/>
    <w:rsid w:val="00783C98"/>
    <w:rsid w:val="00784022"/>
    <w:rsid w:val="00786BE6"/>
    <w:rsid w:val="00787C8F"/>
    <w:rsid w:val="007905D0"/>
    <w:rsid w:val="00791547"/>
    <w:rsid w:val="0079196A"/>
    <w:rsid w:val="007922C0"/>
    <w:rsid w:val="0079272A"/>
    <w:rsid w:val="00792ABE"/>
    <w:rsid w:val="00792D2F"/>
    <w:rsid w:val="00792F02"/>
    <w:rsid w:val="007939B3"/>
    <w:rsid w:val="007979C2"/>
    <w:rsid w:val="007A0F63"/>
    <w:rsid w:val="007A0FE6"/>
    <w:rsid w:val="007A2167"/>
    <w:rsid w:val="007A54F1"/>
    <w:rsid w:val="007A560C"/>
    <w:rsid w:val="007A60C9"/>
    <w:rsid w:val="007A67DE"/>
    <w:rsid w:val="007A7B69"/>
    <w:rsid w:val="007B0E91"/>
    <w:rsid w:val="007B5CE5"/>
    <w:rsid w:val="007B61BC"/>
    <w:rsid w:val="007B66D3"/>
    <w:rsid w:val="007B7896"/>
    <w:rsid w:val="007C00DF"/>
    <w:rsid w:val="007C2B52"/>
    <w:rsid w:val="007C4A59"/>
    <w:rsid w:val="007C4C4D"/>
    <w:rsid w:val="007C4DF7"/>
    <w:rsid w:val="007C525C"/>
    <w:rsid w:val="007C6C4F"/>
    <w:rsid w:val="007D02DC"/>
    <w:rsid w:val="007D2C68"/>
    <w:rsid w:val="007D2CBE"/>
    <w:rsid w:val="007D3308"/>
    <w:rsid w:val="007D5707"/>
    <w:rsid w:val="007D620B"/>
    <w:rsid w:val="007D7849"/>
    <w:rsid w:val="007E0884"/>
    <w:rsid w:val="007E1BF7"/>
    <w:rsid w:val="007E256B"/>
    <w:rsid w:val="007E2C01"/>
    <w:rsid w:val="007E2C26"/>
    <w:rsid w:val="007F2D25"/>
    <w:rsid w:val="007F3158"/>
    <w:rsid w:val="007F4454"/>
    <w:rsid w:val="007F4859"/>
    <w:rsid w:val="007F4B46"/>
    <w:rsid w:val="007F5389"/>
    <w:rsid w:val="007F6808"/>
    <w:rsid w:val="007F7D22"/>
    <w:rsid w:val="007F7E9F"/>
    <w:rsid w:val="008004CD"/>
    <w:rsid w:val="008019FF"/>
    <w:rsid w:val="00802103"/>
    <w:rsid w:val="0080231C"/>
    <w:rsid w:val="00803307"/>
    <w:rsid w:val="00803B25"/>
    <w:rsid w:val="00805C21"/>
    <w:rsid w:val="00805E37"/>
    <w:rsid w:val="00810832"/>
    <w:rsid w:val="008113E9"/>
    <w:rsid w:val="00811F3A"/>
    <w:rsid w:val="00812B6A"/>
    <w:rsid w:val="0081331F"/>
    <w:rsid w:val="0081421C"/>
    <w:rsid w:val="00815BAC"/>
    <w:rsid w:val="0081766D"/>
    <w:rsid w:val="00820261"/>
    <w:rsid w:val="008205B5"/>
    <w:rsid w:val="00820DD2"/>
    <w:rsid w:val="00820FB2"/>
    <w:rsid w:val="008212B0"/>
    <w:rsid w:val="00821394"/>
    <w:rsid w:val="008217CA"/>
    <w:rsid w:val="00824F6F"/>
    <w:rsid w:val="008252FF"/>
    <w:rsid w:val="008256A0"/>
    <w:rsid w:val="00827179"/>
    <w:rsid w:val="00830585"/>
    <w:rsid w:val="00832365"/>
    <w:rsid w:val="008340F8"/>
    <w:rsid w:val="008406D2"/>
    <w:rsid w:val="008407B4"/>
    <w:rsid w:val="00842220"/>
    <w:rsid w:val="00843703"/>
    <w:rsid w:val="0084467B"/>
    <w:rsid w:val="00850911"/>
    <w:rsid w:val="00850E15"/>
    <w:rsid w:val="0085196A"/>
    <w:rsid w:val="0085260B"/>
    <w:rsid w:val="008571BB"/>
    <w:rsid w:val="00857378"/>
    <w:rsid w:val="00860100"/>
    <w:rsid w:val="0086097A"/>
    <w:rsid w:val="00861314"/>
    <w:rsid w:val="00861409"/>
    <w:rsid w:val="008617BE"/>
    <w:rsid w:val="00862529"/>
    <w:rsid w:val="008644F7"/>
    <w:rsid w:val="00865BDF"/>
    <w:rsid w:val="00866E3D"/>
    <w:rsid w:val="00867AC2"/>
    <w:rsid w:val="00870638"/>
    <w:rsid w:val="00873AFC"/>
    <w:rsid w:val="00873EF5"/>
    <w:rsid w:val="008740FE"/>
    <w:rsid w:val="008745DC"/>
    <w:rsid w:val="008747DB"/>
    <w:rsid w:val="0087589E"/>
    <w:rsid w:val="0087632A"/>
    <w:rsid w:val="00877534"/>
    <w:rsid w:val="00880AA1"/>
    <w:rsid w:val="0088179B"/>
    <w:rsid w:val="00881D50"/>
    <w:rsid w:val="008836E9"/>
    <w:rsid w:val="0088523F"/>
    <w:rsid w:val="00885FD8"/>
    <w:rsid w:val="00887954"/>
    <w:rsid w:val="00890459"/>
    <w:rsid w:val="00891183"/>
    <w:rsid w:val="0089171E"/>
    <w:rsid w:val="00894394"/>
    <w:rsid w:val="00894F9D"/>
    <w:rsid w:val="00896272"/>
    <w:rsid w:val="008969B4"/>
    <w:rsid w:val="00897BD8"/>
    <w:rsid w:val="008A0B2A"/>
    <w:rsid w:val="008A32C5"/>
    <w:rsid w:val="008A37DB"/>
    <w:rsid w:val="008A38FF"/>
    <w:rsid w:val="008A5FD4"/>
    <w:rsid w:val="008A7F21"/>
    <w:rsid w:val="008A7F9A"/>
    <w:rsid w:val="008B1070"/>
    <w:rsid w:val="008B22D5"/>
    <w:rsid w:val="008B36C3"/>
    <w:rsid w:val="008B387A"/>
    <w:rsid w:val="008B4277"/>
    <w:rsid w:val="008B6655"/>
    <w:rsid w:val="008B7BDA"/>
    <w:rsid w:val="008C18D6"/>
    <w:rsid w:val="008C312D"/>
    <w:rsid w:val="008C3503"/>
    <w:rsid w:val="008C3A74"/>
    <w:rsid w:val="008C3D1E"/>
    <w:rsid w:val="008C3E6E"/>
    <w:rsid w:val="008C4624"/>
    <w:rsid w:val="008C65B2"/>
    <w:rsid w:val="008C7A3A"/>
    <w:rsid w:val="008D03B9"/>
    <w:rsid w:val="008D1440"/>
    <w:rsid w:val="008D359E"/>
    <w:rsid w:val="008D3A9D"/>
    <w:rsid w:val="008D49E7"/>
    <w:rsid w:val="008D54E4"/>
    <w:rsid w:val="008D6D2C"/>
    <w:rsid w:val="008D74B4"/>
    <w:rsid w:val="008E12E6"/>
    <w:rsid w:val="008E1828"/>
    <w:rsid w:val="008E2EFB"/>
    <w:rsid w:val="008E3B35"/>
    <w:rsid w:val="008E4691"/>
    <w:rsid w:val="008E6246"/>
    <w:rsid w:val="008E792A"/>
    <w:rsid w:val="008E7BB7"/>
    <w:rsid w:val="008F0642"/>
    <w:rsid w:val="008F2930"/>
    <w:rsid w:val="008F5F62"/>
    <w:rsid w:val="00901201"/>
    <w:rsid w:val="00901DCB"/>
    <w:rsid w:val="0090253E"/>
    <w:rsid w:val="00902EE5"/>
    <w:rsid w:val="0090318F"/>
    <w:rsid w:val="00904040"/>
    <w:rsid w:val="0090460C"/>
    <w:rsid w:val="00905987"/>
    <w:rsid w:val="009110D4"/>
    <w:rsid w:val="009116EF"/>
    <w:rsid w:val="00911E9B"/>
    <w:rsid w:val="009139A8"/>
    <w:rsid w:val="00913D28"/>
    <w:rsid w:val="009147D0"/>
    <w:rsid w:val="009171A7"/>
    <w:rsid w:val="00920CD9"/>
    <w:rsid w:val="00920DAD"/>
    <w:rsid w:val="00921BDF"/>
    <w:rsid w:val="00924ADA"/>
    <w:rsid w:val="00924F74"/>
    <w:rsid w:val="0092517B"/>
    <w:rsid w:val="009253FF"/>
    <w:rsid w:val="00925D31"/>
    <w:rsid w:val="00926FB9"/>
    <w:rsid w:val="00927C25"/>
    <w:rsid w:val="00927E60"/>
    <w:rsid w:val="009308BB"/>
    <w:rsid w:val="0093120F"/>
    <w:rsid w:val="00935C3B"/>
    <w:rsid w:val="00937371"/>
    <w:rsid w:val="009404EB"/>
    <w:rsid w:val="00940C8F"/>
    <w:rsid w:val="00943F5C"/>
    <w:rsid w:val="00944139"/>
    <w:rsid w:val="00945A88"/>
    <w:rsid w:val="009460BA"/>
    <w:rsid w:val="00946EF6"/>
    <w:rsid w:val="0095011D"/>
    <w:rsid w:val="0095267B"/>
    <w:rsid w:val="0095319A"/>
    <w:rsid w:val="00960321"/>
    <w:rsid w:val="00960D1C"/>
    <w:rsid w:val="00961982"/>
    <w:rsid w:val="009624B1"/>
    <w:rsid w:val="00963539"/>
    <w:rsid w:val="00967E1D"/>
    <w:rsid w:val="00967F36"/>
    <w:rsid w:val="00970127"/>
    <w:rsid w:val="0097030D"/>
    <w:rsid w:val="00971687"/>
    <w:rsid w:val="00976866"/>
    <w:rsid w:val="00977A53"/>
    <w:rsid w:val="009808BA"/>
    <w:rsid w:val="009817D2"/>
    <w:rsid w:val="0098326A"/>
    <w:rsid w:val="0098361F"/>
    <w:rsid w:val="00983642"/>
    <w:rsid w:val="009843D7"/>
    <w:rsid w:val="00986647"/>
    <w:rsid w:val="00990B3F"/>
    <w:rsid w:val="009919EC"/>
    <w:rsid w:val="00992F7F"/>
    <w:rsid w:val="009936A7"/>
    <w:rsid w:val="0099435D"/>
    <w:rsid w:val="009947F8"/>
    <w:rsid w:val="0099571C"/>
    <w:rsid w:val="00995CD8"/>
    <w:rsid w:val="00995E76"/>
    <w:rsid w:val="0099622B"/>
    <w:rsid w:val="009967CE"/>
    <w:rsid w:val="00996DA6"/>
    <w:rsid w:val="00997051"/>
    <w:rsid w:val="009A05C1"/>
    <w:rsid w:val="009A2352"/>
    <w:rsid w:val="009A2522"/>
    <w:rsid w:val="009A2ACF"/>
    <w:rsid w:val="009A49F1"/>
    <w:rsid w:val="009A536B"/>
    <w:rsid w:val="009B10CC"/>
    <w:rsid w:val="009B2B8B"/>
    <w:rsid w:val="009B3686"/>
    <w:rsid w:val="009B4A60"/>
    <w:rsid w:val="009B5305"/>
    <w:rsid w:val="009B6274"/>
    <w:rsid w:val="009B7DC1"/>
    <w:rsid w:val="009C01B2"/>
    <w:rsid w:val="009C03DF"/>
    <w:rsid w:val="009C2105"/>
    <w:rsid w:val="009C3FF6"/>
    <w:rsid w:val="009C4CD7"/>
    <w:rsid w:val="009C53F5"/>
    <w:rsid w:val="009C64CE"/>
    <w:rsid w:val="009C6E05"/>
    <w:rsid w:val="009D0C3B"/>
    <w:rsid w:val="009D1EB3"/>
    <w:rsid w:val="009D2C55"/>
    <w:rsid w:val="009D382D"/>
    <w:rsid w:val="009D419A"/>
    <w:rsid w:val="009D45E9"/>
    <w:rsid w:val="009E11B4"/>
    <w:rsid w:val="009E136E"/>
    <w:rsid w:val="009E1479"/>
    <w:rsid w:val="009E158B"/>
    <w:rsid w:val="009E1C75"/>
    <w:rsid w:val="009E2755"/>
    <w:rsid w:val="009E43E6"/>
    <w:rsid w:val="009E54E2"/>
    <w:rsid w:val="009E70D6"/>
    <w:rsid w:val="009E7323"/>
    <w:rsid w:val="009F01BE"/>
    <w:rsid w:val="009F0C82"/>
    <w:rsid w:val="009F18C4"/>
    <w:rsid w:val="009F32DD"/>
    <w:rsid w:val="009F3AAE"/>
    <w:rsid w:val="009F4686"/>
    <w:rsid w:val="009F4B5A"/>
    <w:rsid w:val="00A019E0"/>
    <w:rsid w:val="00A0205C"/>
    <w:rsid w:val="00A03345"/>
    <w:rsid w:val="00A05B7C"/>
    <w:rsid w:val="00A05F23"/>
    <w:rsid w:val="00A06C46"/>
    <w:rsid w:val="00A07313"/>
    <w:rsid w:val="00A07559"/>
    <w:rsid w:val="00A07576"/>
    <w:rsid w:val="00A10433"/>
    <w:rsid w:val="00A10755"/>
    <w:rsid w:val="00A10F5B"/>
    <w:rsid w:val="00A12A52"/>
    <w:rsid w:val="00A12C35"/>
    <w:rsid w:val="00A140B1"/>
    <w:rsid w:val="00A1761F"/>
    <w:rsid w:val="00A17ED0"/>
    <w:rsid w:val="00A20DCB"/>
    <w:rsid w:val="00A2174A"/>
    <w:rsid w:val="00A24879"/>
    <w:rsid w:val="00A2647E"/>
    <w:rsid w:val="00A27F1C"/>
    <w:rsid w:val="00A3038C"/>
    <w:rsid w:val="00A3505B"/>
    <w:rsid w:val="00A35EFC"/>
    <w:rsid w:val="00A361F1"/>
    <w:rsid w:val="00A43E97"/>
    <w:rsid w:val="00A4612C"/>
    <w:rsid w:val="00A50E1B"/>
    <w:rsid w:val="00A51377"/>
    <w:rsid w:val="00A52B5F"/>
    <w:rsid w:val="00A52CB6"/>
    <w:rsid w:val="00A52F87"/>
    <w:rsid w:val="00A54333"/>
    <w:rsid w:val="00A563F0"/>
    <w:rsid w:val="00A61685"/>
    <w:rsid w:val="00A61AA7"/>
    <w:rsid w:val="00A61FE0"/>
    <w:rsid w:val="00A62051"/>
    <w:rsid w:val="00A62EF0"/>
    <w:rsid w:val="00A651FA"/>
    <w:rsid w:val="00A65505"/>
    <w:rsid w:val="00A659D3"/>
    <w:rsid w:val="00A65BE1"/>
    <w:rsid w:val="00A65BF9"/>
    <w:rsid w:val="00A66D93"/>
    <w:rsid w:val="00A671DC"/>
    <w:rsid w:val="00A75FD2"/>
    <w:rsid w:val="00A763B9"/>
    <w:rsid w:val="00A76B6D"/>
    <w:rsid w:val="00A843A2"/>
    <w:rsid w:val="00A844C8"/>
    <w:rsid w:val="00A864A1"/>
    <w:rsid w:val="00A8724D"/>
    <w:rsid w:val="00A944B4"/>
    <w:rsid w:val="00AA0869"/>
    <w:rsid w:val="00AA1281"/>
    <w:rsid w:val="00AA313D"/>
    <w:rsid w:val="00AA414B"/>
    <w:rsid w:val="00AA4638"/>
    <w:rsid w:val="00AA47D8"/>
    <w:rsid w:val="00AA4ED5"/>
    <w:rsid w:val="00AA6024"/>
    <w:rsid w:val="00AB00CB"/>
    <w:rsid w:val="00AB0659"/>
    <w:rsid w:val="00AB3862"/>
    <w:rsid w:val="00AB4A43"/>
    <w:rsid w:val="00AB70F1"/>
    <w:rsid w:val="00AB75D9"/>
    <w:rsid w:val="00AB7BDC"/>
    <w:rsid w:val="00AC0C84"/>
    <w:rsid w:val="00AC2AF9"/>
    <w:rsid w:val="00AC337C"/>
    <w:rsid w:val="00AC3832"/>
    <w:rsid w:val="00AC39E9"/>
    <w:rsid w:val="00AC3BE5"/>
    <w:rsid w:val="00AC3C42"/>
    <w:rsid w:val="00AC644F"/>
    <w:rsid w:val="00AD01AA"/>
    <w:rsid w:val="00AD2EC7"/>
    <w:rsid w:val="00AD3153"/>
    <w:rsid w:val="00AD58AD"/>
    <w:rsid w:val="00AD734C"/>
    <w:rsid w:val="00AE09D2"/>
    <w:rsid w:val="00AE640A"/>
    <w:rsid w:val="00AE72AE"/>
    <w:rsid w:val="00AE7E3B"/>
    <w:rsid w:val="00AF1674"/>
    <w:rsid w:val="00AF19DB"/>
    <w:rsid w:val="00AF22F7"/>
    <w:rsid w:val="00AF324E"/>
    <w:rsid w:val="00AF3A95"/>
    <w:rsid w:val="00AF4FA1"/>
    <w:rsid w:val="00AF5D72"/>
    <w:rsid w:val="00B01549"/>
    <w:rsid w:val="00B02A55"/>
    <w:rsid w:val="00B045A9"/>
    <w:rsid w:val="00B04949"/>
    <w:rsid w:val="00B05146"/>
    <w:rsid w:val="00B05934"/>
    <w:rsid w:val="00B07159"/>
    <w:rsid w:val="00B075C6"/>
    <w:rsid w:val="00B1038F"/>
    <w:rsid w:val="00B12549"/>
    <w:rsid w:val="00B15F20"/>
    <w:rsid w:val="00B16315"/>
    <w:rsid w:val="00B2073E"/>
    <w:rsid w:val="00B2102D"/>
    <w:rsid w:val="00B22448"/>
    <w:rsid w:val="00B22DC6"/>
    <w:rsid w:val="00B2426B"/>
    <w:rsid w:val="00B249A2"/>
    <w:rsid w:val="00B24CFE"/>
    <w:rsid w:val="00B26859"/>
    <w:rsid w:val="00B27601"/>
    <w:rsid w:val="00B27BC4"/>
    <w:rsid w:val="00B30E87"/>
    <w:rsid w:val="00B32173"/>
    <w:rsid w:val="00B32B94"/>
    <w:rsid w:val="00B35C0E"/>
    <w:rsid w:val="00B37402"/>
    <w:rsid w:val="00B40A0F"/>
    <w:rsid w:val="00B424DF"/>
    <w:rsid w:val="00B429A6"/>
    <w:rsid w:val="00B42C1B"/>
    <w:rsid w:val="00B45BE6"/>
    <w:rsid w:val="00B45CAB"/>
    <w:rsid w:val="00B47EB3"/>
    <w:rsid w:val="00B54EEC"/>
    <w:rsid w:val="00B57CDC"/>
    <w:rsid w:val="00B600B1"/>
    <w:rsid w:val="00B61867"/>
    <w:rsid w:val="00B619A6"/>
    <w:rsid w:val="00B658D0"/>
    <w:rsid w:val="00B65EA5"/>
    <w:rsid w:val="00B670E8"/>
    <w:rsid w:val="00B67106"/>
    <w:rsid w:val="00B674AE"/>
    <w:rsid w:val="00B67A65"/>
    <w:rsid w:val="00B72C8F"/>
    <w:rsid w:val="00B7486A"/>
    <w:rsid w:val="00B749B4"/>
    <w:rsid w:val="00B74F1F"/>
    <w:rsid w:val="00B75520"/>
    <w:rsid w:val="00B773BB"/>
    <w:rsid w:val="00B77405"/>
    <w:rsid w:val="00B80D52"/>
    <w:rsid w:val="00B81D64"/>
    <w:rsid w:val="00B8200D"/>
    <w:rsid w:val="00B82A8E"/>
    <w:rsid w:val="00B82CCD"/>
    <w:rsid w:val="00B839A5"/>
    <w:rsid w:val="00B84247"/>
    <w:rsid w:val="00B842C1"/>
    <w:rsid w:val="00B9007F"/>
    <w:rsid w:val="00B912BD"/>
    <w:rsid w:val="00B91771"/>
    <w:rsid w:val="00B91FE3"/>
    <w:rsid w:val="00B93C45"/>
    <w:rsid w:val="00B94534"/>
    <w:rsid w:val="00BA10B4"/>
    <w:rsid w:val="00BA20BE"/>
    <w:rsid w:val="00BA3266"/>
    <w:rsid w:val="00BA3FC6"/>
    <w:rsid w:val="00BA54B2"/>
    <w:rsid w:val="00BA5CA7"/>
    <w:rsid w:val="00BA6DD4"/>
    <w:rsid w:val="00BA7BD8"/>
    <w:rsid w:val="00BB0946"/>
    <w:rsid w:val="00BB181A"/>
    <w:rsid w:val="00BB26E7"/>
    <w:rsid w:val="00BB7998"/>
    <w:rsid w:val="00BC0D0E"/>
    <w:rsid w:val="00BC117F"/>
    <w:rsid w:val="00BC2566"/>
    <w:rsid w:val="00BC45F3"/>
    <w:rsid w:val="00BC5B75"/>
    <w:rsid w:val="00BC626E"/>
    <w:rsid w:val="00BC6B32"/>
    <w:rsid w:val="00BC7BD7"/>
    <w:rsid w:val="00BD01B5"/>
    <w:rsid w:val="00BD01F9"/>
    <w:rsid w:val="00BD042A"/>
    <w:rsid w:val="00BD0FBD"/>
    <w:rsid w:val="00BD1E13"/>
    <w:rsid w:val="00BD23FB"/>
    <w:rsid w:val="00BD37AB"/>
    <w:rsid w:val="00BD49F7"/>
    <w:rsid w:val="00BD521C"/>
    <w:rsid w:val="00BD544F"/>
    <w:rsid w:val="00BD5C77"/>
    <w:rsid w:val="00BE04F8"/>
    <w:rsid w:val="00BE060E"/>
    <w:rsid w:val="00BE1317"/>
    <w:rsid w:val="00BE2D08"/>
    <w:rsid w:val="00BE341B"/>
    <w:rsid w:val="00BE4DE1"/>
    <w:rsid w:val="00BE653E"/>
    <w:rsid w:val="00BE7072"/>
    <w:rsid w:val="00BF1FC1"/>
    <w:rsid w:val="00BF28D4"/>
    <w:rsid w:val="00BF2C49"/>
    <w:rsid w:val="00BF3966"/>
    <w:rsid w:val="00BF3FB9"/>
    <w:rsid w:val="00BF4262"/>
    <w:rsid w:val="00BF6AFD"/>
    <w:rsid w:val="00BF7829"/>
    <w:rsid w:val="00C0072B"/>
    <w:rsid w:val="00C00EDB"/>
    <w:rsid w:val="00C013FF"/>
    <w:rsid w:val="00C027EC"/>
    <w:rsid w:val="00C02FC1"/>
    <w:rsid w:val="00C03CB0"/>
    <w:rsid w:val="00C042C2"/>
    <w:rsid w:val="00C061F0"/>
    <w:rsid w:val="00C0663C"/>
    <w:rsid w:val="00C11180"/>
    <w:rsid w:val="00C113C0"/>
    <w:rsid w:val="00C11B81"/>
    <w:rsid w:val="00C13A8E"/>
    <w:rsid w:val="00C13CA2"/>
    <w:rsid w:val="00C15800"/>
    <w:rsid w:val="00C165C6"/>
    <w:rsid w:val="00C20BA6"/>
    <w:rsid w:val="00C2146A"/>
    <w:rsid w:val="00C21771"/>
    <w:rsid w:val="00C21B6E"/>
    <w:rsid w:val="00C21E35"/>
    <w:rsid w:val="00C23980"/>
    <w:rsid w:val="00C24B16"/>
    <w:rsid w:val="00C25B81"/>
    <w:rsid w:val="00C25F45"/>
    <w:rsid w:val="00C26462"/>
    <w:rsid w:val="00C267AC"/>
    <w:rsid w:val="00C26FC3"/>
    <w:rsid w:val="00C30DD0"/>
    <w:rsid w:val="00C3285E"/>
    <w:rsid w:val="00C37742"/>
    <w:rsid w:val="00C40F72"/>
    <w:rsid w:val="00C42C9A"/>
    <w:rsid w:val="00C4317A"/>
    <w:rsid w:val="00C439A3"/>
    <w:rsid w:val="00C44CFC"/>
    <w:rsid w:val="00C464B7"/>
    <w:rsid w:val="00C4779A"/>
    <w:rsid w:val="00C51F75"/>
    <w:rsid w:val="00C5474B"/>
    <w:rsid w:val="00C547A5"/>
    <w:rsid w:val="00C54A2A"/>
    <w:rsid w:val="00C63B08"/>
    <w:rsid w:val="00C64991"/>
    <w:rsid w:val="00C66AB4"/>
    <w:rsid w:val="00C717E4"/>
    <w:rsid w:val="00C71933"/>
    <w:rsid w:val="00C7246E"/>
    <w:rsid w:val="00C73FEE"/>
    <w:rsid w:val="00C7466D"/>
    <w:rsid w:val="00C75D4A"/>
    <w:rsid w:val="00C80D77"/>
    <w:rsid w:val="00C81361"/>
    <w:rsid w:val="00C83A8B"/>
    <w:rsid w:val="00C85F9D"/>
    <w:rsid w:val="00C86264"/>
    <w:rsid w:val="00C92762"/>
    <w:rsid w:val="00C938B5"/>
    <w:rsid w:val="00C9579C"/>
    <w:rsid w:val="00C96523"/>
    <w:rsid w:val="00C96FCA"/>
    <w:rsid w:val="00CA002B"/>
    <w:rsid w:val="00CA1378"/>
    <w:rsid w:val="00CA1D35"/>
    <w:rsid w:val="00CA3ED4"/>
    <w:rsid w:val="00CA536A"/>
    <w:rsid w:val="00CA7FDC"/>
    <w:rsid w:val="00CB03C1"/>
    <w:rsid w:val="00CB15FE"/>
    <w:rsid w:val="00CB3706"/>
    <w:rsid w:val="00CB37EC"/>
    <w:rsid w:val="00CB46E1"/>
    <w:rsid w:val="00CB4CB9"/>
    <w:rsid w:val="00CB4F86"/>
    <w:rsid w:val="00CB535B"/>
    <w:rsid w:val="00CB6B37"/>
    <w:rsid w:val="00CB74E2"/>
    <w:rsid w:val="00CC01A7"/>
    <w:rsid w:val="00CC0B1E"/>
    <w:rsid w:val="00CC0C54"/>
    <w:rsid w:val="00CC15D9"/>
    <w:rsid w:val="00CC3707"/>
    <w:rsid w:val="00CC4E91"/>
    <w:rsid w:val="00CC57A7"/>
    <w:rsid w:val="00CC59DE"/>
    <w:rsid w:val="00CC5BE1"/>
    <w:rsid w:val="00CC5CB2"/>
    <w:rsid w:val="00CC7573"/>
    <w:rsid w:val="00CD0EB9"/>
    <w:rsid w:val="00CD30F0"/>
    <w:rsid w:val="00CD4253"/>
    <w:rsid w:val="00CD44C8"/>
    <w:rsid w:val="00CD4FC1"/>
    <w:rsid w:val="00CD53B4"/>
    <w:rsid w:val="00CD5469"/>
    <w:rsid w:val="00CD5775"/>
    <w:rsid w:val="00CD6E86"/>
    <w:rsid w:val="00CD791D"/>
    <w:rsid w:val="00CE038A"/>
    <w:rsid w:val="00CE163C"/>
    <w:rsid w:val="00CE24C3"/>
    <w:rsid w:val="00CE3595"/>
    <w:rsid w:val="00CE49A7"/>
    <w:rsid w:val="00CE4E0E"/>
    <w:rsid w:val="00CE6BE0"/>
    <w:rsid w:val="00CE6D05"/>
    <w:rsid w:val="00CE71C8"/>
    <w:rsid w:val="00CF056C"/>
    <w:rsid w:val="00CF1F3C"/>
    <w:rsid w:val="00CF45E5"/>
    <w:rsid w:val="00CF4818"/>
    <w:rsid w:val="00CF57E8"/>
    <w:rsid w:val="00CF64CC"/>
    <w:rsid w:val="00CF680B"/>
    <w:rsid w:val="00D010CD"/>
    <w:rsid w:val="00D02173"/>
    <w:rsid w:val="00D057F1"/>
    <w:rsid w:val="00D06846"/>
    <w:rsid w:val="00D10584"/>
    <w:rsid w:val="00D125E9"/>
    <w:rsid w:val="00D12679"/>
    <w:rsid w:val="00D14DAB"/>
    <w:rsid w:val="00D1770C"/>
    <w:rsid w:val="00D21186"/>
    <w:rsid w:val="00D2238F"/>
    <w:rsid w:val="00D23F68"/>
    <w:rsid w:val="00D25714"/>
    <w:rsid w:val="00D25733"/>
    <w:rsid w:val="00D25BE4"/>
    <w:rsid w:val="00D27023"/>
    <w:rsid w:val="00D27260"/>
    <w:rsid w:val="00D278C7"/>
    <w:rsid w:val="00D308E5"/>
    <w:rsid w:val="00D331DA"/>
    <w:rsid w:val="00D341CB"/>
    <w:rsid w:val="00D34474"/>
    <w:rsid w:val="00D35547"/>
    <w:rsid w:val="00D35C0A"/>
    <w:rsid w:val="00D36E09"/>
    <w:rsid w:val="00D40597"/>
    <w:rsid w:val="00D40988"/>
    <w:rsid w:val="00D41661"/>
    <w:rsid w:val="00D41E1A"/>
    <w:rsid w:val="00D43AD8"/>
    <w:rsid w:val="00D450A6"/>
    <w:rsid w:val="00D457DB"/>
    <w:rsid w:val="00D45858"/>
    <w:rsid w:val="00D46F7B"/>
    <w:rsid w:val="00D50C23"/>
    <w:rsid w:val="00D52B86"/>
    <w:rsid w:val="00D52D43"/>
    <w:rsid w:val="00D559FE"/>
    <w:rsid w:val="00D55E90"/>
    <w:rsid w:val="00D567E6"/>
    <w:rsid w:val="00D56AC3"/>
    <w:rsid w:val="00D57390"/>
    <w:rsid w:val="00D635E8"/>
    <w:rsid w:val="00D6375E"/>
    <w:rsid w:val="00D639B5"/>
    <w:rsid w:val="00D63C68"/>
    <w:rsid w:val="00D65A1E"/>
    <w:rsid w:val="00D66ED8"/>
    <w:rsid w:val="00D70372"/>
    <w:rsid w:val="00D71296"/>
    <w:rsid w:val="00D71BF3"/>
    <w:rsid w:val="00D71D19"/>
    <w:rsid w:val="00D733C3"/>
    <w:rsid w:val="00D74EA4"/>
    <w:rsid w:val="00D759EA"/>
    <w:rsid w:val="00D77DFF"/>
    <w:rsid w:val="00D80D80"/>
    <w:rsid w:val="00D81A9B"/>
    <w:rsid w:val="00D843CE"/>
    <w:rsid w:val="00D8495C"/>
    <w:rsid w:val="00D91E93"/>
    <w:rsid w:val="00D93D26"/>
    <w:rsid w:val="00D94B3B"/>
    <w:rsid w:val="00D96761"/>
    <w:rsid w:val="00DA0D52"/>
    <w:rsid w:val="00DA2DF7"/>
    <w:rsid w:val="00DA3AFE"/>
    <w:rsid w:val="00DA5112"/>
    <w:rsid w:val="00DA55F5"/>
    <w:rsid w:val="00DA6D2B"/>
    <w:rsid w:val="00DB0608"/>
    <w:rsid w:val="00DB1D02"/>
    <w:rsid w:val="00DB37C0"/>
    <w:rsid w:val="00DB5BAC"/>
    <w:rsid w:val="00DB6E71"/>
    <w:rsid w:val="00DC0E92"/>
    <w:rsid w:val="00DC3D11"/>
    <w:rsid w:val="00DC6C0A"/>
    <w:rsid w:val="00DC6DC0"/>
    <w:rsid w:val="00DD0139"/>
    <w:rsid w:val="00DD0639"/>
    <w:rsid w:val="00DD0A3D"/>
    <w:rsid w:val="00DD165A"/>
    <w:rsid w:val="00DD198F"/>
    <w:rsid w:val="00DD28D8"/>
    <w:rsid w:val="00DD436A"/>
    <w:rsid w:val="00DD49AC"/>
    <w:rsid w:val="00DD629D"/>
    <w:rsid w:val="00DD6DF2"/>
    <w:rsid w:val="00DD6F87"/>
    <w:rsid w:val="00DE1351"/>
    <w:rsid w:val="00DE15E8"/>
    <w:rsid w:val="00DE16E0"/>
    <w:rsid w:val="00DE2DC2"/>
    <w:rsid w:val="00DE34B9"/>
    <w:rsid w:val="00DE4CC7"/>
    <w:rsid w:val="00DF23C5"/>
    <w:rsid w:val="00DF4571"/>
    <w:rsid w:val="00DF6219"/>
    <w:rsid w:val="00DF6490"/>
    <w:rsid w:val="00DF6DBB"/>
    <w:rsid w:val="00DF74D3"/>
    <w:rsid w:val="00E00E8A"/>
    <w:rsid w:val="00E02185"/>
    <w:rsid w:val="00E03AA5"/>
    <w:rsid w:val="00E03AB6"/>
    <w:rsid w:val="00E03E71"/>
    <w:rsid w:val="00E043D3"/>
    <w:rsid w:val="00E1306F"/>
    <w:rsid w:val="00E13FED"/>
    <w:rsid w:val="00E1514E"/>
    <w:rsid w:val="00E1515C"/>
    <w:rsid w:val="00E16E7C"/>
    <w:rsid w:val="00E17934"/>
    <w:rsid w:val="00E17978"/>
    <w:rsid w:val="00E17F0B"/>
    <w:rsid w:val="00E23644"/>
    <w:rsid w:val="00E238B3"/>
    <w:rsid w:val="00E23DF7"/>
    <w:rsid w:val="00E24A9C"/>
    <w:rsid w:val="00E24E68"/>
    <w:rsid w:val="00E255AB"/>
    <w:rsid w:val="00E25D40"/>
    <w:rsid w:val="00E26868"/>
    <w:rsid w:val="00E30CBD"/>
    <w:rsid w:val="00E31D31"/>
    <w:rsid w:val="00E33A97"/>
    <w:rsid w:val="00E36AB4"/>
    <w:rsid w:val="00E36B7C"/>
    <w:rsid w:val="00E36CDE"/>
    <w:rsid w:val="00E36D5B"/>
    <w:rsid w:val="00E371D3"/>
    <w:rsid w:val="00E40313"/>
    <w:rsid w:val="00E412B1"/>
    <w:rsid w:val="00E41870"/>
    <w:rsid w:val="00E4193F"/>
    <w:rsid w:val="00E423B6"/>
    <w:rsid w:val="00E43687"/>
    <w:rsid w:val="00E43E48"/>
    <w:rsid w:val="00E44920"/>
    <w:rsid w:val="00E44B32"/>
    <w:rsid w:val="00E470BB"/>
    <w:rsid w:val="00E479CE"/>
    <w:rsid w:val="00E5099A"/>
    <w:rsid w:val="00E51920"/>
    <w:rsid w:val="00E529C6"/>
    <w:rsid w:val="00E53B09"/>
    <w:rsid w:val="00E53B73"/>
    <w:rsid w:val="00E54561"/>
    <w:rsid w:val="00E55969"/>
    <w:rsid w:val="00E55A09"/>
    <w:rsid w:val="00E5666B"/>
    <w:rsid w:val="00E56B09"/>
    <w:rsid w:val="00E57CE0"/>
    <w:rsid w:val="00E61771"/>
    <w:rsid w:val="00E62D66"/>
    <w:rsid w:val="00E6441F"/>
    <w:rsid w:val="00E66BEA"/>
    <w:rsid w:val="00E672BB"/>
    <w:rsid w:val="00E67D5C"/>
    <w:rsid w:val="00E710F2"/>
    <w:rsid w:val="00E72778"/>
    <w:rsid w:val="00E72D9B"/>
    <w:rsid w:val="00E73A6D"/>
    <w:rsid w:val="00E73BF9"/>
    <w:rsid w:val="00E7665E"/>
    <w:rsid w:val="00E76677"/>
    <w:rsid w:val="00E77DF1"/>
    <w:rsid w:val="00E8106E"/>
    <w:rsid w:val="00E81A68"/>
    <w:rsid w:val="00E82362"/>
    <w:rsid w:val="00E826BC"/>
    <w:rsid w:val="00E8344D"/>
    <w:rsid w:val="00E87F40"/>
    <w:rsid w:val="00E93160"/>
    <w:rsid w:val="00E93B59"/>
    <w:rsid w:val="00E9502C"/>
    <w:rsid w:val="00E9742A"/>
    <w:rsid w:val="00E9747B"/>
    <w:rsid w:val="00EA1882"/>
    <w:rsid w:val="00EA2392"/>
    <w:rsid w:val="00EA371F"/>
    <w:rsid w:val="00EA46B7"/>
    <w:rsid w:val="00EA546B"/>
    <w:rsid w:val="00EA5EBD"/>
    <w:rsid w:val="00EB0520"/>
    <w:rsid w:val="00EB1529"/>
    <w:rsid w:val="00EB2D68"/>
    <w:rsid w:val="00EB5259"/>
    <w:rsid w:val="00EB67C3"/>
    <w:rsid w:val="00EB7E54"/>
    <w:rsid w:val="00EC256E"/>
    <w:rsid w:val="00EC26EA"/>
    <w:rsid w:val="00EC341F"/>
    <w:rsid w:val="00EC3B63"/>
    <w:rsid w:val="00EC57AA"/>
    <w:rsid w:val="00EC630E"/>
    <w:rsid w:val="00EC7876"/>
    <w:rsid w:val="00ED13B6"/>
    <w:rsid w:val="00ED1465"/>
    <w:rsid w:val="00ED175B"/>
    <w:rsid w:val="00ED23DD"/>
    <w:rsid w:val="00ED28A7"/>
    <w:rsid w:val="00ED451D"/>
    <w:rsid w:val="00ED5C76"/>
    <w:rsid w:val="00ED6545"/>
    <w:rsid w:val="00ED692C"/>
    <w:rsid w:val="00EE0BD7"/>
    <w:rsid w:val="00EE101F"/>
    <w:rsid w:val="00EE1881"/>
    <w:rsid w:val="00EE18AF"/>
    <w:rsid w:val="00EE31A9"/>
    <w:rsid w:val="00EE3DCC"/>
    <w:rsid w:val="00EF09EC"/>
    <w:rsid w:val="00EF296F"/>
    <w:rsid w:val="00EF3380"/>
    <w:rsid w:val="00EF3DB8"/>
    <w:rsid w:val="00EF584D"/>
    <w:rsid w:val="00EF5FC4"/>
    <w:rsid w:val="00EF60D6"/>
    <w:rsid w:val="00EF6232"/>
    <w:rsid w:val="00EF6273"/>
    <w:rsid w:val="00EF6EBD"/>
    <w:rsid w:val="00F00054"/>
    <w:rsid w:val="00F00369"/>
    <w:rsid w:val="00F0059B"/>
    <w:rsid w:val="00F00F9E"/>
    <w:rsid w:val="00F01A51"/>
    <w:rsid w:val="00F01BBD"/>
    <w:rsid w:val="00F0226B"/>
    <w:rsid w:val="00F02FE5"/>
    <w:rsid w:val="00F05461"/>
    <w:rsid w:val="00F05C29"/>
    <w:rsid w:val="00F073ED"/>
    <w:rsid w:val="00F13352"/>
    <w:rsid w:val="00F138CE"/>
    <w:rsid w:val="00F13A9D"/>
    <w:rsid w:val="00F14B32"/>
    <w:rsid w:val="00F16035"/>
    <w:rsid w:val="00F17A04"/>
    <w:rsid w:val="00F17FC2"/>
    <w:rsid w:val="00F23E3C"/>
    <w:rsid w:val="00F25A7F"/>
    <w:rsid w:val="00F25B6B"/>
    <w:rsid w:val="00F3284E"/>
    <w:rsid w:val="00F3479C"/>
    <w:rsid w:val="00F34BCC"/>
    <w:rsid w:val="00F37741"/>
    <w:rsid w:val="00F37FAD"/>
    <w:rsid w:val="00F409E0"/>
    <w:rsid w:val="00F43F60"/>
    <w:rsid w:val="00F4528B"/>
    <w:rsid w:val="00F46C21"/>
    <w:rsid w:val="00F46EBC"/>
    <w:rsid w:val="00F47154"/>
    <w:rsid w:val="00F51B79"/>
    <w:rsid w:val="00F52CB8"/>
    <w:rsid w:val="00F52F3E"/>
    <w:rsid w:val="00F55FB5"/>
    <w:rsid w:val="00F57AE9"/>
    <w:rsid w:val="00F57C11"/>
    <w:rsid w:val="00F57E21"/>
    <w:rsid w:val="00F6076C"/>
    <w:rsid w:val="00F60CB2"/>
    <w:rsid w:val="00F64167"/>
    <w:rsid w:val="00F64405"/>
    <w:rsid w:val="00F646DD"/>
    <w:rsid w:val="00F64B7C"/>
    <w:rsid w:val="00F6531C"/>
    <w:rsid w:val="00F65669"/>
    <w:rsid w:val="00F66822"/>
    <w:rsid w:val="00F672EC"/>
    <w:rsid w:val="00F67742"/>
    <w:rsid w:val="00F67DB4"/>
    <w:rsid w:val="00F70B98"/>
    <w:rsid w:val="00F73046"/>
    <w:rsid w:val="00F745E9"/>
    <w:rsid w:val="00F752F7"/>
    <w:rsid w:val="00F806BA"/>
    <w:rsid w:val="00F824F1"/>
    <w:rsid w:val="00F85283"/>
    <w:rsid w:val="00F90FD4"/>
    <w:rsid w:val="00F9179F"/>
    <w:rsid w:val="00F92E0F"/>
    <w:rsid w:val="00F93B44"/>
    <w:rsid w:val="00F9406D"/>
    <w:rsid w:val="00FA0CCE"/>
    <w:rsid w:val="00FA1FE1"/>
    <w:rsid w:val="00FA23FA"/>
    <w:rsid w:val="00FA2904"/>
    <w:rsid w:val="00FA4578"/>
    <w:rsid w:val="00FA4C9E"/>
    <w:rsid w:val="00FB09A7"/>
    <w:rsid w:val="00FB0A9E"/>
    <w:rsid w:val="00FB1CF5"/>
    <w:rsid w:val="00FB2063"/>
    <w:rsid w:val="00FB2E15"/>
    <w:rsid w:val="00FB3093"/>
    <w:rsid w:val="00FB30ED"/>
    <w:rsid w:val="00FB5EB0"/>
    <w:rsid w:val="00FB5ED1"/>
    <w:rsid w:val="00FC10A4"/>
    <w:rsid w:val="00FC5137"/>
    <w:rsid w:val="00FD0625"/>
    <w:rsid w:val="00FD1EFD"/>
    <w:rsid w:val="00FD37AB"/>
    <w:rsid w:val="00FD3CD1"/>
    <w:rsid w:val="00FD3E1A"/>
    <w:rsid w:val="00FD401F"/>
    <w:rsid w:val="00FD410D"/>
    <w:rsid w:val="00FD46AE"/>
    <w:rsid w:val="00FD6783"/>
    <w:rsid w:val="00FD7535"/>
    <w:rsid w:val="00FD7E65"/>
    <w:rsid w:val="00FE1BDD"/>
    <w:rsid w:val="00FE23CB"/>
    <w:rsid w:val="00FE2FC3"/>
    <w:rsid w:val="00FE4446"/>
    <w:rsid w:val="00FE484E"/>
    <w:rsid w:val="00FE4CCE"/>
    <w:rsid w:val="00FE668E"/>
    <w:rsid w:val="00FF112F"/>
    <w:rsid w:val="00FF4550"/>
    <w:rsid w:val="00FF552A"/>
    <w:rsid w:val="00FF6BD0"/>
    <w:rsid w:val="00FF7143"/>
    <w:rsid w:val="00FF723F"/>
    <w:rsid w:val="00FF7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EE0BBD"/>
  <w15:chartTrackingRefBased/>
  <w15:docId w15:val="{7101E685-30C1-4A3A-8C01-04A2DCAA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Text">
    <w:name w:val="CoverText"/>
    <w:basedOn w:val="Normal"/>
    <w:pPr>
      <w:jc w:val="right"/>
    </w:pPr>
    <w:rPr>
      <w:szCs w:val="20"/>
      <w:u w:val="single"/>
    </w:rPr>
  </w:style>
  <w:style w:type="paragraph" w:customStyle="1" w:styleId="CoverMain">
    <w:name w:val="CoverMain"/>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szCs w:val="20"/>
      <w:u w:val="single"/>
    </w:rPr>
  </w:style>
  <w:style w:type="paragraph" w:styleId="Header">
    <w:name w:val="header"/>
    <w:basedOn w:val="Normal"/>
    <w:link w:val="HeaderChar"/>
    <w:pPr>
      <w:tabs>
        <w:tab w:val="center" w:pos="4153"/>
        <w:tab w:val="right" w:pos="8306"/>
      </w:tabs>
    </w:pPr>
    <w:rPr>
      <w:rFonts w:ascii="Univers (W1)" w:hAnsi="Univers (W1)"/>
      <w:szCs w:val="20"/>
    </w:rPr>
  </w:style>
  <w:style w:type="paragraph" w:styleId="Footer">
    <w:name w:val="footer"/>
    <w:basedOn w:val="Normal"/>
    <w:link w:val="FooterChar"/>
    <w:uiPriority w:val="99"/>
    <w:pPr>
      <w:tabs>
        <w:tab w:val="center" w:pos="4153"/>
        <w:tab w:val="right" w:pos="8306"/>
      </w:tabs>
    </w:pPr>
    <w:rPr>
      <w:rFonts w:ascii="Univers (W1)" w:hAnsi="Univers (W1)"/>
      <w:szCs w:val="20"/>
    </w:rPr>
  </w:style>
  <w:style w:type="character" w:styleId="PageNumber">
    <w:name w:val="page number"/>
    <w:basedOn w:val="DefaultParagraphFont"/>
    <w:rPr>
      <w:sz w:val="20"/>
    </w:rPr>
  </w:style>
  <w:style w:type="paragraph" w:customStyle="1" w:styleId="CoverDesc">
    <w:name w:val="CoverDesc"/>
    <w:basedOn w:val="Normal"/>
    <w:pPr>
      <w:jc w:val="center"/>
    </w:pPr>
    <w:rPr>
      <w:b/>
      <w:sz w:val="36"/>
      <w:szCs w:val="20"/>
    </w:rPr>
  </w:style>
  <w:style w:type="paragraph" w:customStyle="1" w:styleId="ParaHeading">
    <w:name w:val="ParaHeading"/>
    <w:basedOn w:val="Normal"/>
    <w:next w:val="ParaLevel1"/>
    <w:pPr>
      <w:keepNext/>
      <w:spacing w:before="240" w:after="240"/>
    </w:pPr>
    <w:rPr>
      <w:szCs w:val="20"/>
    </w:rPr>
  </w:style>
  <w:style w:type="paragraph" w:customStyle="1" w:styleId="ParaLevel1">
    <w:name w:val="ParaLevel1"/>
    <w:basedOn w:val="Normal"/>
    <w:pPr>
      <w:numPr>
        <w:numId w:val="1"/>
      </w:numPr>
      <w:suppressAutoHyphens/>
      <w:spacing w:before="240" w:after="240"/>
      <w:jc w:val="both"/>
      <w:outlineLvl w:val="0"/>
    </w:pPr>
    <w:rPr>
      <w:szCs w:val="20"/>
    </w:rPr>
  </w:style>
  <w:style w:type="paragraph" w:customStyle="1" w:styleId="ParaLevel2">
    <w:name w:val="ParaLevel2"/>
    <w:basedOn w:val="Normal"/>
    <w:pPr>
      <w:numPr>
        <w:ilvl w:val="1"/>
        <w:numId w:val="1"/>
      </w:numPr>
      <w:suppressAutoHyphens/>
      <w:spacing w:before="240" w:after="240"/>
      <w:jc w:val="both"/>
      <w:outlineLvl w:val="1"/>
    </w:pPr>
    <w:rPr>
      <w:szCs w:val="20"/>
    </w:rPr>
  </w:style>
  <w:style w:type="paragraph" w:customStyle="1" w:styleId="ParaLevel3">
    <w:name w:val="ParaLevel3"/>
    <w:basedOn w:val="Normal"/>
    <w:pPr>
      <w:numPr>
        <w:ilvl w:val="2"/>
        <w:numId w:val="1"/>
      </w:numPr>
      <w:suppressAutoHyphens/>
      <w:spacing w:before="240" w:after="240"/>
      <w:jc w:val="both"/>
      <w:outlineLvl w:val="2"/>
    </w:pPr>
    <w:rPr>
      <w:szCs w:val="20"/>
    </w:rPr>
  </w:style>
  <w:style w:type="paragraph" w:customStyle="1" w:styleId="ParaLevel4">
    <w:name w:val="ParaLevel4"/>
    <w:basedOn w:val="Normal"/>
    <w:pPr>
      <w:numPr>
        <w:ilvl w:val="3"/>
        <w:numId w:val="1"/>
      </w:numPr>
      <w:suppressAutoHyphens/>
      <w:spacing w:before="240" w:after="240"/>
      <w:jc w:val="both"/>
      <w:outlineLvl w:val="3"/>
    </w:pPr>
    <w:rPr>
      <w:szCs w:val="20"/>
    </w:rPr>
  </w:style>
  <w:style w:type="paragraph" w:customStyle="1" w:styleId="ParaLevel5">
    <w:name w:val="ParaLevel5"/>
    <w:basedOn w:val="Normal"/>
    <w:pPr>
      <w:numPr>
        <w:ilvl w:val="4"/>
        <w:numId w:val="1"/>
      </w:numPr>
      <w:suppressAutoHyphens/>
      <w:spacing w:before="240" w:after="240"/>
      <w:jc w:val="both"/>
      <w:outlineLvl w:val="4"/>
    </w:pPr>
    <w:rPr>
      <w:szCs w:val="20"/>
    </w:rPr>
  </w:style>
  <w:style w:type="paragraph" w:customStyle="1" w:styleId="ParaLevel6">
    <w:name w:val="ParaLevel6"/>
    <w:basedOn w:val="Normal"/>
    <w:pPr>
      <w:numPr>
        <w:ilvl w:val="5"/>
        <w:numId w:val="1"/>
      </w:numPr>
      <w:suppressAutoHyphens/>
      <w:spacing w:before="240" w:after="240"/>
      <w:jc w:val="both"/>
      <w:outlineLvl w:val="5"/>
    </w:pPr>
    <w:rPr>
      <w:szCs w:val="20"/>
    </w:rPr>
  </w:style>
  <w:style w:type="paragraph" w:customStyle="1" w:styleId="ParaLevel7">
    <w:name w:val="ParaLevel7"/>
    <w:basedOn w:val="Normal"/>
    <w:pPr>
      <w:numPr>
        <w:ilvl w:val="6"/>
        <w:numId w:val="1"/>
      </w:numPr>
      <w:suppressAutoHyphens/>
      <w:spacing w:before="240" w:after="240"/>
      <w:jc w:val="both"/>
      <w:outlineLvl w:val="6"/>
    </w:pPr>
    <w:rPr>
      <w:szCs w:val="20"/>
    </w:rPr>
  </w:style>
  <w:style w:type="paragraph" w:customStyle="1" w:styleId="ParaLevel8">
    <w:name w:val="ParaLevel8"/>
    <w:basedOn w:val="Normal"/>
    <w:pPr>
      <w:numPr>
        <w:ilvl w:val="7"/>
        <w:numId w:val="1"/>
      </w:numPr>
      <w:suppressAutoHyphens/>
      <w:spacing w:before="240" w:after="240"/>
      <w:jc w:val="both"/>
      <w:outlineLvl w:val="7"/>
    </w:pPr>
    <w:rPr>
      <w:szCs w:val="20"/>
    </w:rPr>
  </w:style>
  <w:style w:type="paragraph" w:customStyle="1" w:styleId="ParaLevel9">
    <w:name w:val="ParaLevel9"/>
    <w:basedOn w:val="Normal"/>
    <w:pPr>
      <w:numPr>
        <w:ilvl w:val="8"/>
        <w:numId w:val="1"/>
      </w:numPr>
      <w:suppressAutoHyphens/>
      <w:spacing w:before="240" w:after="240"/>
      <w:jc w:val="both"/>
      <w:outlineLvl w:val="8"/>
    </w:pPr>
    <w:rPr>
      <w:szCs w:val="20"/>
    </w:rPr>
  </w:style>
  <w:style w:type="paragraph" w:customStyle="1" w:styleId="ParaNoNumber">
    <w:name w:val="ParaNoNumber"/>
    <w:basedOn w:val="Normal"/>
    <w:next w:val="Heading1"/>
    <w:pPr>
      <w:spacing w:before="240" w:after="240"/>
      <w:jc w:val="both"/>
    </w:pPr>
    <w:rPr>
      <w:szCs w:val="20"/>
    </w:rPr>
  </w:style>
  <w:style w:type="paragraph" w:styleId="Quote">
    <w:name w:val="Quote"/>
    <w:basedOn w:val="Normal"/>
    <w:next w:val="ParaLevel1"/>
    <w:qFormat/>
    <w:pPr>
      <w:spacing w:after="240"/>
      <w:ind w:left="1440" w:right="1440"/>
      <w:jc w:val="both"/>
    </w:pPr>
    <w:rPr>
      <w:szCs w:val="20"/>
    </w:rPr>
  </w:style>
  <w:style w:type="paragraph" w:styleId="Title">
    <w:name w:val="Title"/>
    <w:basedOn w:val="Normal"/>
    <w:qFormat/>
    <w:pPr>
      <w:pBdr>
        <w:top w:val="single" w:sz="6" w:space="1" w:color="auto"/>
        <w:left w:val="single" w:sz="6" w:space="1" w:color="auto"/>
        <w:bottom w:val="single" w:sz="6" w:space="1" w:color="auto"/>
        <w:right w:val="single" w:sz="6" w:space="1" w:color="auto"/>
      </w:pBdr>
      <w:jc w:val="center"/>
    </w:pPr>
    <w:rPr>
      <w:b/>
      <w:sz w:val="20"/>
    </w:rPr>
  </w:style>
  <w:style w:type="character" w:customStyle="1" w:styleId="HeaderChar">
    <w:name w:val="Header Char"/>
    <w:link w:val="Header"/>
    <w:rsid w:val="00342011"/>
    <w:rPr>
      <w:rFonts w:ascii="Univers (W1)" w:hAnsi="Univers (W1)"/>
      <w:sz w:val="24"/>
      <w:lang w:eastAsia="en-US"/>
    </w:rPr>
  </w:style>
  <w:style w:type="paragraph" w:customStyle="1" w:styleId="eMailBlock">
    <w:name w:val="eMailBlock"/>
    <w:basedOn w:val="Title"/>
    <w:rPr>
      <w:sz w:val="26"/>
    </w:rPr>
  </w:style>
  <w:style w:type="character" w:customStyle="1" w:styleId="FooterChar">
    <w:name w:val="Footer Char"/>
    <w:link w:val="Footer"/>
    <w:uiPriority w:val="99"/>
    <w:rsid w:val="00342011"/>
    <w:rPr>
      <w:rFonts w:ascii="Univers (W1)" w:hAnsi="Univers (W1)"/>
      <w:sz w:val="24"/>
      <w:lang w:eastAsia="en-US"/>
    </w:rPr>
  </w:style>
  <w:style w:type="paragraph" w:styleId="FootnoteText">
    <w:name w:val="footnote text"/>
    <w:basedOn w:val="Normal"/>
    <w:link w:val="FootnoteTextChar"/>
    <w:rsid w:val="00294707"/>
    <w:rPr>
      <w:sz w:val="20"/>
      <w:szCs w:val="20"/>
    </w:rPr>
  </w:style>
  <w:style w:type="character" w:customStyle="1" w:styleId="FootnoteTextChar">
    <w:name w:val="Footnote Text Char"/>
    <w:basedOn w:val="DefaultParagraphFont"/>
    <w:link w:val="FootnoteText"/>
    <w:rsid w:val="00294707"/>
    <w:rPr>
      <w:lang w:eastAsia="en-US"/>
    </w:rPr>
  </w:style>
  <w:style w:type="character" w:styleId="FootnoteReference">
    <w:name w:val="footnote reference"/>
    <w:uiPriority w:val="99"/>
    <w:rsid w:val="00294707"/>
    <w:rPr>
      <w:vertAlign w:val="superscript"/>
    </w:rPr>
  </w:style>
  <w:style w:type="character" w:styleId="Hyperlink">
    <w:name w:val="Hyperlink"/>
    <w:basedOn w:val="DefaultParagraphFont"/>
    <w:rsid w:val="00C63B08"/>
    <w:rPr>
      <w:color w:val="0563C1" w:themeColor="hyperlink"/>
      <w:u w:val="single"/>
    </w:rPr>
  </w:style>
  <w:style w:type="character" w:styleId="UnresolvedMention">
    <w:name w:val="Unresolved Mention"/>
    <w:basedOn w:val="DefaultParagraphFont"/>
    <w:uiPriority w:val="99"/>
    <w:semiHidden/>
    <w:unhideWhenUsed/>
    <w:rsid w:val="00C63B08"/>
    <w:rPr>
      <w:color w:val="605E5C"/>
      <w:shd w:val="clear" w:color="auto" w:fill="E1DFDD"/>
    </w:rPr>
  </w:style>
  <w:style w:type="character" w:styleId="FollowedHyperlink">
    <w:name w:val="FollowedHyperlink"/>
    <w:basedOn w:val="DefaultParagraphFont"/>
    <w:rsid w:val="004956D7"/>
    <w:rPr>
      <w:color w:val="954F72" w:themeColor="followedHyperlink"/>
      <w:u w:val="single"/>
    </w:rPr>
  </w:style>
  <w:style w:type="paragraph" w:styleId="BalloonText">
    <w:name w:val="Balloon Text"/>
    <w:basedOn w:val="Normal"/>
    <w:link w:val="BalloonTextChar"/>
    <w:semiHidden/>
    <w:unhideWhenUsed/>
    <w:rsid w:val="008205B5"/>
    <w:rPr>
      <w:rFonts w:ascii="Segoe UI" w:hAnsi="Segoe UI" w:cs="Segoe UI"/>
      <w:sz w:val="18"/>
      <w:szCs w:val="18"/>
    </w:rPr>
  </w:style>
  <w:style w:type="character" w:customStyle="1" w:styleId="BalloonTextChar">
    <w:name w:val="Balloon Text Char"/>
    <w:basedOn w:val="DefaultParagraphFont"/>
    <w:link w:val="BalloonText"/>
    <w:semiHidden/>
    <w:rsid w:val="008205B5"/>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55987">
      <w:bodyDiv w:val="1"/>
      <w:marLeft w:val="0"/>
      <w:marRight w:val="0"/>
      <w:marTop w:val="0"/>
      <w:marBottom w:val="0"/>
      <w:divBdr>
        <w:top w:val="none" w:sz="0" w:space="0" w:color="auto"/>
        <w:left w:val="none" w:sz="0" w:space="0" w:color="auto"/>
        <w:bottom w:val="none" w:sz="0" w:space="0" w:color="auto"/>
        <w:right w:val="none" w:sz="0" w:space="0" w:color="auto"/>
      </w:divBdr>
    </w:div>
    <w:div w:id="197278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5099C6743EED4CA9C17E54D9094940" ma:contentTypeVersion="7" ma:contentTypeDescription="Create a new document." ma:contentTypeScope="" ma:versionID="1e6866daa0e568d19709c6d1d428bfcc">
  <xsd:schema xmlns:xsd="http://www.w3.org/2001/XMLSchema" xmlns:xs="http://www.w3.org/2001/XMLSchema" xmlns:p="http://schemas.microsoft.com/office/2006/metadata/properties" xmlns:ns3="53e55bc2-bcf2-46e4-8e0c-ad6567d2e6a8" targetNamespace="http://schemas.microsoft.com/office/2006/metadata/properties" ma:root="true" ma:fieldsID="cf0665cb576e218d0d5de6929bb4b412" ns3:_="">
    <xsd:import namespace="53e55bc2-bcf2-46e4-8e0c-ad6567d2e6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e55bc2-bcf2-46e4-8e0c-ad6567d2e6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803222E-A261-4836-BEB6-28EBA9630D8D}">
  <ds:schemaRefs>
    <ds:schemaRef ds:uri="http://schemas.microsoft.com/sharepoint/v3/contenttype/forms"/>
  </ds:schemaRefs>
</ds:datastoreItem>
</file>

<file path=customXml/itemProps2.xml><?xml version="1.0" encoding="utf-8"?>
<ds:datastoreItem xmlns:ds="http://schemas.openxmlformats.org/officeDocument/2006/customXml" ds:itemID="{DFB1D7D1-E8A1-4C69-9DD0-B06FD48CC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e55bc2-bcf2-46e4-8e0c-ad6567d2e6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9259B0C-4A79-4AF1-B7B7-472D6D7DA8F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12300</Words>
  <Characters>70111</Characters>
  <Application>Microsoft Office Word</Application>
  <DocSecurity>0</DocSecurity>
  <Lines>584</Lines>
  <Paragraphs>164</Paragraphs>
  <ScaleCrop>false</ScaleCrop>
  <HeadingPairs>
    <vt:vector size="2" baseType="variant">
      <vt:variant>
        <vt:lpstr>Title</vt:lpstr>
      </vt:variant>
      <vt:variant>
        <vt:i4>1</vt:i4>
      </vt:variant>
    </vt:vector>
  </HeadingPairs>
  <TitlesOfParts>
    <vt:vector size="1" baseType="lpstr">
      <vt:lpstr>[2020] EWCA Civ 637</vt:lpstr>
    </vt:vector>
  </TitlesOfParts>
  <Company>RCJ - In House Applications</Company>
  <LinksUpToDate>false</LinksUpToDate>
  <CharactersWithSpaces>82247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EWCA Civ 637</dc:title>
  <dc:subject/>
  <dc:creator>Boachie-Wiredu, Quincy</dc:creator>
  <cp:keywords/>
  <dc:description/>
  <cp:lastModifiedBy>Charlotte Hegley</cp:lastModifiedBy>
  <cp:revision>2</cp:revision>
  <dcterms:created xsi:type="dcterms:W3CDTF">2020-05-15T10:49:00Z</dcterms:created>
  <dcterms:modified xsi:type="dcterms:W3CDTF">2020-05-15T10:49:00Z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dgment">
    <vt:bool>true</vt:bool>
  </property>
  <property fmtid="{D5CDD505-2E9C-101B-9397-08002B2CF9AE}" pid="3" name="Type">
    <vt:lpwstr>CA</vt:lpwstr>
  </property>
  <property fmtid="{D5CDD505-2E9C-101B-9397-08002B2CF9AE}" pid="4" name="Division">
    <vt:lpwstr>CIVIL</vt:lpwstr>
  </property>
  <property fmtid="{D5CDD505-2E9C-101B-9397-08002B2CF9AE}" pid="5" name="SubDivision">
    <vt:lpwstr/>
  </property>
  <property fmtid="{D5CDD505-2E9C-101B-9397-08002B2CF9AE}" pid="6" name="ApprovedStage">
    <vt:lpwstr>Approved</vt:lpwstr>
  </property>
  <property fmtid="{D5CDD505-2E9C-101B-9397-08002B2CF9AE}" pid="7" name="NCDiv">
    <vt:lpwstr>Civ</vt:lpwstr>
  </property>
  <property fmtid="{D5CDD505-2E9C-101B-9397-08002B2CF9AE}" pid="8" name="NCJudge">
    <vt:lpwstr>LORD JUSTICE FLAUX</vt:lpwstr>
  </property>
  <property fmtid="{D5CDD505-2E9C-101B-9397-08002B2CF9AE}" pid="9" name="NCCaseNum">
    <vt:lpwstr>A4/2020/0068</vt:lpwstr>
  </property>
  <property fmtid="{D5CDD505-2E9C-101B-9397-08002B2CF9AE}" pid="10" name="NCCaseTitle">
    <vt:lpwstr>Mahmoud v Breish and Hussein</vt:lpwstr>
  </property>
  <property fmtid="{D5CDD505-2E9C-101B-9397-08002B2CF9AE}" pid="11" name="ContentTypeId">
    <vt:lpwstr>0x010100805099C6743EED4CA9C17E54D9094940</vt:lpwstr>
  </property>
  <property fmtid="{D5CDD505-2E9C-101B-9397-08002B2CF9AE}" pid="12" name="NCNumber">
    <vt:lpwstr>[2020] EWCA Civ 637</vt:lpwstr>
  </property>
  <property fmtid="{D5CDD505-2E9C-101B-9397-08002B2CF9AE}" pid="13" name="NCJudgeDate">
    <vt:lpwstr>15/05/2020</vt:lpwstr>
  </property>
  <property fmtid="{D5CDD505-2E9C-101B-9397-08002B2CF9AE}" pid="14" name="_MarkAsFinal">
    <vt:bool>true</vt:bool>
  </property>
</Properties>
</file>