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1C167" w14:textId="3D254B75" w:rsidR="005E2342" w:rsidRDefault="006D28AA" w:rsidP="006D28AA">
      <w:pPr>
        <w:jc w:val="center"/>
      </w:pPr>
      <w:bookmarkStart w:id="0" w:name="_GoBack"/>
      <w:bookmarkEnd w:id="0"/>
      <w:r w:rsidRPr="006D28AA">
        <w:rPr>
          <w:noProof/>
        </w:rPr>
        <w:drawing>
          <wp:inline distT="0" distB="0" distL="0" distR="0" wp14:anchorId="5ACC9B7F" wp14:editId="5E5DB8FD">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48EEFCFD" w14:textId="77777777" w:rsidR="006D28AA" w:rsidRPr="002A6256" w:rsidRDefault="006D28AA">
      <w:pPr>
        <w:jc w:val="center"/>
      </w:pPr>
    </w:p>
    <w:p w14:paraId="7D556BA6" w14:textId="2274DD75" w:rsidR="005E2342" w:rsidRPr="002A6256" w:rsidRDefault="005E2342">
      <w:pPr>
        <w:pStyle w:val="CoverText"/>
        <w:jc w:val="left"/>
        <w:rPr>
          <w:bCs/>
          <w:szCs w:val="24"/>
          <w:u w:val="none"/>
        </w:rPr>
      </w:pPr>
      <w:r w:rsidRPr="002A6256">
        <w:rPr>
          <w:bCs/>
          <w:szCs w:val="24"/>
        </w:rPr>
        <w:t xml:space="preserve">Neutral Citation Number: </w:t>
      </w:r>
      <w:r w:rsidR="00913323">
        <w:rPr>
          <w:bCs/>
          <w:szCs w:val="24"/>
        </w:rPr>
        <w:t>[2020] EWHC 2516 (Admin)</w:t>
      </w:r>
      <w:r w:rsidRPr="002A6256">
        <w:rPr>
          <w:bCs/>
          <w:szCs w:val="24"/>
        </w:rPr>
        <w:br/>
      </w:r>
    </w:p>
    <w:p w14:paraId="510FBA56" w14:textId="6096C10F" w:rsidR="005E2342" w:rsidRPr="002A6256" w:rsidRDefault="005E2342">
      <w:pPr>
        <w:pStyle w:val="CoverText"/>
        <w:rPr>
          <w:b/>
          <w:spacing w:val="-3"/>
          <w:szCs w:val="24"/>
        </w:rPr>
      </w:pPr>
      <w:r w:rsidRPr="002A6256">
        <w:rPr>
          <w:szCs w:val="24"/>
        </w:rPr>
        <w:t xml:space="preserve">Case No: </w:t>
      </w:r>
      <w:r w:rsidR="00326B8D" w:rsidRPr="002A6256">
        <w:rPr>
          <w:szCs w:val="24"/>
        </w:rPr>
        <w:t>CO/3082/2020</w:t>
      </w:r>
    </w:p>
    <w:p w14:paraId="636C58F8" w14:textId="77777777" w:rsidR="005E2342" w:rsidRPr="002A6256"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Cs w:val="24"/>
        </w:rPr>
      </w:pPr>
      <w:r w:rsidRPr="002A6256">
        <w:rPr>
          <w:szCs w:val="24"/>
        </w:rPr>
        <w:t>IN THE HIGH COURT OF JUSTICE</w:t>
      </w:r>
    </w:p>
    <w:p w14:paraId="0F85A1F9" w14:textId="77777777" w:rsidR="00784B40" w:rsidRPr="002A6256" w:rsidRDefault="000D1FE5">
      <w:pPr>
        <w:suppressAutoHyphens/>
        <w:rPr>
          <w:b/>
          <w:spacing w:val="-3"/>
          <w:u w:val="single"/>
        </w:rPr>
      </w:pPr>
      <w:r w:rsidRPr="002A6256">
        <w:rPr>
          <w:b/>
          <w:spacing w:val="-3"/>
          <w:u w:val="single"/>
        </w:rPr>
        <w:t>QUEEN'S BENCH DIVISION</w:t>
      </w:r>
    </w:p>
    <w:p w14:paraId="223ABEEF" w14:textId="24D88D7A" w:rsidR="005E2342" w:rsidRPr="002A6256" w:rsidRDefault="00784B40">
      <w:pPr>
        <w:suppressAutoHyphens/>
        <w:rPr>
          <w:b/>
          <w:spacing w:val="-3"/>
          <w:u w:val="single"/>
        </w:rPr>
      </w:pPr>
      <w:r w:rsidRPr="002A6256">
        <w:rPr>
          <w:b/>
          <w:spacing w:val="-3"/>
          <w:u w:val="single"/>
        </w:rPr>
        <w:t>DIVISIONAL</w:t>
      </w:r>
      <w:r w:rsidR="000D1FE5" w:rsidRPr="002A6256">
        <w:rPr>
          <w:b/>
          <w:spacing w:val="-3"/>
          <w:u w:val="single"/>
        </w:rPr>
        <w:t xml:space="preserve"> COURT</w:t>
      </w:r>
    </w:p>
    <w:p w14:paraId="42BB89C7" w14:textId="77777777" w:rsidR="005E2342" w:rsidRPr="002A6256" w:rsidRDefault="005E2342">
      <w:pPr>
        <w:suppressAutoHyphens/>
        <w:rPr>
          <w:b/>
          <w:spacing w:val="-3"/>
          <w:u w:val="single"/>
        </w:rPr>
      </w:pPr>
    </w:p>
    <w:p w14:paraId="2FA15E8D" w14:textId="77777777" w:rsidR="005E2342" w:rsidRPr="002A6256" w:rsidRDefault="005E2342">
      <w:pPr>
        <w:pStyle w:val="CoverText"/>
        <w:rPr>
          <w:szCs w:val="24"/>
        </w:rPr>
      </w:pPr>
      <w:r w:rsidRPr="002A6256">
        <w:rPr>
          <w:szCs w:val="24"/>
        </w:rPr>
        <w:t>Royal Courts of Justice</w:t>
      </w:r>
    </w:p>
    <w:p w14:paraId="5CB51718" w14:textId="77777777" w:rsidR="005E2342" w:rsidRPr="002A6256" w:rsidRDefault="005E2342">
      <w:pPr>
        <w:pStyle w:val="CoverText"/>
        <w:rPr>
          <w:szCs w:val="24"/>
        </w:rPr>
      </w:pPr>
      <w:r w:rsidRPr="002A6256">
        <w:rPr>
          <w:szCs w:val="24"/>
        </w:rPr>
        <w:t>Strand, London, WC2A 2LL</w:t>
      </w:r>
    </w:p>
    <w:p w14:paraId="2A43E5B0" w14:textId="77777777" w:rsidR="005E2342" w:rsidRPr="002A6256" w:rsidRDefault="005E2342">
      <w:pPr>
        <w:suppressAutoHyphens/>
        <w:jc w:val="right"/>
        <w:rPr>
          <w:spacing w:val="-3"/>
          <w:u w:val="single"/>
        </w:rPr>
      </w:pPr>
    </w:p>
    <w:p w14:paraId="09CF4EFB" w14:textId="3EE5AAF3" w:rsidR="005E2342" w:rsidRPr="002A6256" w:rsidRDefault="005E2342">
      <w:pPr>
        <w:pStyle w:val="CoverText"/>
        <w:rPr>
          <w:b/>
          <w:szCs w:val="24"/>
        </w:rPr>
      </w:pPr>
      <w:r w:rsidRPr="002A6256">
        <w:rPr>
          <w:szCs w:val="24"/>
        </w:rPr>
        <w:t xml:space="preserve">Date: </w:t>
      </w:r>
      <w:r w:rsidR="00871A85">
        <w:rPr>
          <w:szCs w:val="24"/>
        </w:rPr>
        <w:t>22/09/2020</w:t>
      </w:r>
    </w:p>
    <w:p w14:paraId="7115B5F1" w14:textId="77777777" w:rsidR="005E2342" w:rsidRPr="002A6256" w:rsidRDefault="005E2342">
      <w:pPr>
        <w:suppressAutoHyphens/>
        <w:rPr>
          <w:spacing w:val="-3"/>
        </w:rPr>
      </w:pPr>
    </w:p>
    <w:p w14:paraId="68F1D8AF" w14:textId="5BE47DD2" w:rsidR="005E2342" w:rsidRPr="002A6256" w:rsidRDefault="005E2342">
      <w:pPr>
        <w:suppressAutoHyphens/>
        <w:jc w:val="center"/>
        <w:rPr>
          <w:spacing w:val="-3"/>
        </w:rPr>
      </w:pPr>
      <w:r w:rsidRPr="002A6256">
        <w:rPr>
          <w:b/>
          <w:spacing w:val="-3"/>
        </w:rPr>
        <w:t>Before</w:t>
      </w:r>
      <w:r w:rsidRPr="002A6256">
        <w:rPr>
          <w:spacing w:val="-3"/>
        </w:rPr>
        <w:t>:</w:t>
      </w:r>
    </w:p>
    <w:p w14:paraId="21128E6A" w14:textId="77777777" w:rsidR="005E2342" w:rsidRPr="002A6256" w:rsidRDefault="005E2342">
      <w:pPr>
        <w:suppressAutoHyphens/>
        <w:jc w:val="center"/>
        <w:rPr>
          <w:spacing w:val="-3"/>
        </w:rPr>
      </w:pPr>
    </w:p>
    <w:p w14:paraId="72AF6A1B" w14:textId="153DFA96" w:rsidR="007405D5" w:rsidRPr="002A6256" w:rsidRDefault="007405D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szCs w:val="24"/>
        </w:rPr>
      </w:pPr>
      <w:r w:rsidRPr="002A6256">
        <w:rPr>
          <w:szCs w:val="24"/>
        </w:rPr>
        <w:t>THE PRESIDENT OF THE QUEEN'S BENCH DIVISION</w:t>
      </w:r>
    </w:p>
    <w:p w14:paraId="05C2FF13" w14:textId="77777777" w:rsidR="007405D5" w:rsidRPr="002A6256" w:rsidRDefault="007405D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szCs w:val="24"/>
        </w:rPr>
      </w:pPr>
    </w:p>
    <w:p w14:paraId="79A4A7E7" w14:textId="77777777" w:rsidR="007405D5" w:rsidRPr="002A6256" w:rsidRDefault="007405D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szCs w:val="24"/>
          <w:u w:val="none"/>
        </w:rPr>
      </w:pPr>
      <w:r w:rsidRPr="002A6256">
        <w:rPr>
          <w:szCs w:val="24"/>
          <w:u w:val="none"/>
        </w:rPr>
        <w:t>and</w:t>
      </w:r>
    </w:p>
    <w:p w14:paraId="1812B6A6" w14:textId="24C02052" w:rsidR="007405D5" w:rsidRPr="002A6256" w:rsidRDefault="007405D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szCs w:val="24"/>
          <w:u w:val="none"/>
        </w:rPr>
      </w:pPr>
      <w:r w:rsidRPr="002A6256">
        <w:rPr>
          <w:szCs w:val="24"/>
          <w:u w:val="none"/>
        </w:rPr>
        <w:t xml:space="preserve"> </w:t>
      </w:r>
    </w:p>
    <w:p w14:paraId="5FEE2E01" w14:textId="089A0732" w:rsidR="005E2342" w:rsidRPr="002A6256" w:rsidRDefault="007405D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szCs w:val="24"/>
        </w:rPr>
      </w:pPr>
      <w:r w:rsidRPr="002A6256">
        <w:rPr>
          <w:szCs w:val="24"/>
        </w:rPr>
        <w:t>MR JUSTICE GARNHAM</w:t>
      </w:r>
    </w:p>
    <w:p w14:paraId="4F67D0BA" w14:textId="77777777" w:rsidR="005E2342" w:rsidRPr="002A6256" w:rsidRDefault="005E2342">
      <w:pPr>
        <w:suppressAutoHyphens/>
        <w:jc w:val="center"/>
        <w:rPr>
          <w:spacing w:val="-3"/>
        </w:rPr>
      </w:pPr>
      <w:r w:rsidRPr="002A6256">
        <w:rPr>
          <w:spacing w:val="-3"/>
        </w:rPr>
        <w:t>- - - - - - - - - - - - - - - - - - - - -</w:t>
      </w:r>
    </w:p>
    <w:p w14:paraId="5CBF4CC8" w14:textId="67BBBA74" w:rsidR="005E2342" w:rsidRPr="002A6256" w:rsidRDefault="005E2342">
      <w:pPr>
        <w:suppressAutoHyphens/>
        <w:jc w:val="center"/>
        <w:rPr>
          <w:b/>
          <w:spacing w:val="-3"/>
        </w:rPr>
      </w:pPr>
      <w:r w:rsidRPr="002A6256">
        <w:rPr>
          <w:b/>
          <w:spacing w:val="-3"/>
        </w:rPr>
        <w:t>Between:</w:t>
      </w:r>
    </w:p>
    <w:p w14:paraId="31F16CFF" w14:textId="77777777" w:rsidR="005E2342" w:rsidRPr="002A6256"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rsidRPr="002A6256" w14:paraId="7CB3CA00" w14:textId="77777777" w:rsidTr="00830103">
        <w:trPr>
          <w:jc w:val="center"/>
        </w:trPr>
        <w:tc>
          <w:tcPr>
            <w:tcW w:w="1776" w:type="dxa"/>
          </w:tcPr>
          <w:p w14:paraId="15EF5266" w14:textId="77777777" w:rsidR="005E2342" w:rsidRPr="002A6256" w:rsidRDefault="005E2342">
            <w:pPr>
              <w:suppressAutoHyphens/>
              <w:rPr>
                <w:b/>
                <w:spacing w:val="-3"/>
              </w:rPr>
            </w:pPr>
          </w:p>
        </w:tc>
        <w:tc>
          <w:tcPr>
            <w:tcW w:w="5568" w:type="dxa"/>
          </w:tcPr>
          <w:p w14:paraId="1938CBC7" w14:textId="35561DCE" w:rsidR="005E2342" w:rsidRPr="002A6256" w:rsidRDefault="006D28AA">
            <w:pPr>
              <w:suppressAutoHyphens/>
              <w:jc w:val="center"/>
              <w:rPr>
                <w:b/>
                <w:spacing w:val="-3"/>
              </w:rPr>
            </w:pPr>
            <w:r>
              <w:rPr>
                <w:b/>
                <w:spacing w:val="-3"/>
              </w:rPr>
              <w:t>THE QUEEN (ON APPLICATION OF MAHA ELGIZOULI)</w:t>
            </w:r>
          </w:p>
        </w:tc>
        <w:tc>
          <w:tcPr>
            <w:tcW w:w="1782" w:type="dxa"/>
          </w:tcPr>
          <w:p w14:paraId="32EE5807" w14:textId="77777777" w:rsidR="005E2342" w:rsidRPr="002A6256" w:rsidRDefault="000D1FE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r w:rsidRPr="002A6256">
              <w:rPr>
                <w:szCs w:val="24"/>
              </w:rPr>
              <w:t>Claimant</w:t>
            </w:r>
          </w:p>
        </w:tc>
      </w:tr>
      <w:tr w:rsidR="005E2342" w:rsidRPr="002A6256" w14:paraId="4C8E4A1F" w14:textId="77777777" w:rsidTr="00830103">
        <w:trPr>
          <w:jc w:val="center"/>
        </w:trPr>
        <w:tc>
          <w:tcPr>
            <w:tcW w:w="1776" w:type="dxa"/>
          </w:tcPr>
          <w:p w14:paraId="18594A74" w14:textId="77777777" w:rsidR="005E2342" w:rsidRPr="002A6256" w:rsidRDefault="005E2342">
            <w:pPr>
              <w:suppressAutoHyphens/>
              <w:rPr>
                <w:b/>
                <w:spacing w:val="-3"/>
              </w:rPr>
            </w:pPr>
          </w:p>
        </w:tc>
        <w:tc>
          <w:tcPr>
            <w:tcW w:w="5568" w:type="dxa"/>
          </w:tcPr>
          <w:p w14:paraId="3489FFB6" w14:textId="77777777" w:rsidR="005E2342" w:rsidRPr="002A6256" w:rsidRDefault="005E2342">
            <w:pPr>
              <w:suppressAutoHyphens/>
              <w:jc w:val="center"/>
              <w:rPr>
                <w:b/>
                <w:spacing w:val="-3"/>
              </w:rPr>
            </w:pPr>
            <w:r w:rsidRPr="002A6256">
              <w:rPr>
                <w:b/>
                <w:spacing w:val="-3"/>
              </w:rPr>
              <w:t>- and -</w:t>
            </w:r>
          </w:p>
        </w:tc>
        <w:tc>
          <w:tcPr>
            <w:tcW w:w="1782" w:type="dxa"/>
          </w:tcPr>
          <w:p w14:paraId="2D23AC1B" w14:textId="77777777" w:rsidR="005E2342" w:rsidRPr="002A6256"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p>
        </w:tc>
      </w:tr>
      <w:tr w:rsidR="005E2342" w:rsidRPr="002A6256" w14:paraId="6053A75B" w14:textId="77777777" w:rsidTr="00830103">
        <w:trPr>
          <w:jc w:val="center"/>
        </w:trPr>
        <w:tc>
          <w:tcPr>
            <w:tcW w:w="1776" w:type="dxa"/>
          </w:tcPr>
          <w:p w14:paraId="09BE5797" w14:textId="77777777" w:rsidR="005E2342" w:rsidRPr="002A6256" w:rsidRDefault="005E2342">
            <w:pPr>
              <w:suppressAutoHyphens/>
              <w:rPr>
                <w:b/>
                <w:spacing w:val="-3"/>
              </w:rPr>
            </w:pPr>
          </w:p>
        </w:tc>
        <w:tc>
          <w:tcPr>
            <w:tcW w:w="5568" w:type="dxa"/>
          </w:tcPr>
          <w:p w14:paraId="4E2B4869" w14:textId="0CF9EB8F" w:rsidR="005E2342" w:rsidRDefault="006D28AA">
            <w:pPr>
              <w:suppressAutoHyphens/>
              <w:jc w:val="center"/>
              <w:rPr>
                <w:b/>
                <w:spacing w:val="-3"/>
              </w:rPr>
            </w:pPr>
            <w:r>
              <w:rPr>
                <w:b/>
                <w:spacing w:val="-3"/>
              </w:rPr>
              <w:t>THE SECRETARY OF STATE FOR THE HOME DEPARTMENT</w:t>
            </w:r>
          </w:p>
          <w:p w14:paraId="6632E48A" w14:textId="0A7A3811" w:rsidR="00B30E92" w:rsidRPr="002A6256" w:rsidRDefault="00B30E92">
            <w:pPr>
              <w:suppressAutoHyphens/>
              <w:jc w:val="center"/>
              <w:rPr>
                <w:b/>
                <w:spacing w:val="-3"/>
              </w:rPr>
            </w:pPr>
            <w:r>
              <w:rPr>
                <w:b/>
                <w:spacing w:val="-3"/>
              </w:rPr>
              <w:t>-and-</w:t>
            </w:r>
          </w:p>
        </w:tc>
        <w:tc>
          <w:tcPr>
            <w:tcW w:w="1782" w:type="dxa"/>
          </w:tcPr>
          <w:p w14:paraId="4976742C" w14:textId="77777777" w:rsidR="005E2342" w:rsidRPr="002A6256" w:rsidRDefault="000D1FE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r w:rsidRPr="002A6256">
              <w:rPr>
                <w:szCs w:val="24"/>
              </w:rPr>
              <w:t>Defendant</w:t>
            </w:r>
          </w:p>
        </w:tc>
      </w:tr>
      <w:tr w:rsidR="00830103" w:rsidRPr="002A6256" w14:paraId="4736C46C" w14:textId="77777777" w:rsidTr="00830103">
        <w:trPr>
          <w:jc w:val="center"/>
        </w:trPr>
        <w:tc>
          <w:tcPr>
            <w:tcW w:w="1776" w:type="dxa"/>
          </w:tcPr>
          <w:p w14:paraId="4B70CC40" w14:textId="77777777" w:rsidR="00830103" w:rsidRPr="002A6256" w:rsidRDefault="00830103" w:rsidP="005306C7">
            <w:pPr>
              <w:suppressAutoHyphens/>
              <w:rPr>
                <w:b/>
                <w:spacing w:val="-3"/>
              </w:rPr>
            </w:pPr>
          </w:p>
        </w:tc>
        <w:tc>
          <w:tcPr>
            <w:tcW w:w="5568" w:type="dxa"/>
          </w:tcPr>
          <w:p w14:paraId="41589867" w14:textId="60BCA37E" w:rsidR="00830103" w:rsidRPr="002A6256" w:rsidRDefault="00830103" w:rsidP="00830103">
            <w:pPr>
              <w:suppressAutoHyphens/>
              <w:jc w:val="center"/>
              <w:rPr>
                <w:b/>
                <w:spacing w:val="-3"/>
              </w:rPr>
            </w:pPr>
            <w:r w:rsidRPr="002A6256">
              <w:rPr>
                <w:b/>
                <w:spacing w:val="-3"/>
              </w:rPr>
              <w:t>DIRECTOR OF PUBLIC PROSECUTIONS</w:t>
            </w:r>
          </w:p>
        </w:tc>
        <w:tc>
          <w:tcPr>
            <w:tcW w:w="1782" w:type="dxa"/>
          </w:tcPr>
          <w:p w14:paraId="7EDB897F" w14:textId="76595F22" w:rsidR="00830103" w:rsidRPr="002A6256" w:rsidRDefault="00830103" w:rsidP="005306C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szCs w:val="24"/>
              </w:rPr>
            </w:pPr>
            <w:r w:rsidRPr="002A6256">
              <w:rPr>
                <w:szCs w:val="24"/>
              </w:rPr>
              <w:t>Interested Party</w:t>
            </w:r>
          </w:p>
        </w:tc>
      </w:tr>
    </w:tbl>
    <w:p w14:paraId="04483311" w14:textId="77777777" w:rsidR="005E2342" w:rsidRPr="002A6256" w:rsidRDefault="005E2342">
      <w:pPr>
        <w:suppressAutoHyphens/>
        <w:rPr>
          <w:b/>
          <w:spacing w:val="-3"/>
        </w:rPr>
      </w:pPr>
    </w:p>
    <w:p w14:paraId="60DBC0F5" w14:textId="77777777" w:rsidR="005E2342" w:rsidRPr="002A6256" w:rsidRDefault="005E2342">
      <w:pPr>
        <w:suppressAutoHyphens/>
        <w:jc w:val="center"/>
        <w:rPr>
          <w:spacing w:val="-3"/>
        </w:rPr>
      </w:pPr>
      <w:r w:rsidRPr="002A6256">
        <w:rPr>
          <w:spacing w:val="-3"/>
        </w:rPr>
        <w:t>- - - - - - - - - - - - - - - - - - - - -</w:t>
      </w:r>
    </w:p>
    <w:p w14:paraId="6986502B" w14:textId="77777777" w:rsidR="005E2342" w:rsidRPr="002A6256" w:rsidRDefault="005E2342">
      <w:pPr>
        <w:suppressAutoHyphens/>
        <w:jc w:val="center"/>
        <w:rPr>
          <w:spacing w:val="-3"/>
        </w:rPr>
      </w:pPr>
      <w:r w:rsidRPr="002A6256">
        <w:rPr>
          <w:spacing w:val="-3"/>
        </w:rPr>
        <w:t>- - - - - - - - - - - - - - - - - - - - -</w:t>
      </w:r>
    </w:p>
    <w:p w14:paraId="60BE614E" w14:textId="77777777" w:rsidR="005E2342" w:rsidRPr="002A6256" w:rsidRDefault="005E2342">
      <w:pPr>
        <w:suppressAutoHyphens/>
        <w:jc w:val="center"/>
        <w:rPr>
          <w:spacing w:val="-3"/>
        </w:rPr>
      </w:pPr>
    </w:p>
    <w:p w14:paraId="02A7C575" w14:textId="0B0C3123" w:rsidR="005E2342" w:rsidRPr="002A6256" w:rsidRDefault="006D28AA">
      <w:pPr>
        <w:suppressAutoHyphens/>
        <w:jc w:val="center"/>
        <w:rPr>
          <w:b/>
          <w:spacing w:val="-3"/>
        </w:rPr>
      </w:pPr>
      <w:r>
        <w:rPr>
          <w:b/>
          <w:spacing w:val="-3"/>
        </w:rPr>
        <w:t>Richard Hermer QC and Julianne Kerr Morrison and Tim James-Matthews</w:t>
      </w:r>
      <w:r w:rsidR="005E2342" w:rsidRPr="002A6256">
        <w:rPr>
          <w:b/>
          <w:spacing w:val="-3"/>
        </w:rPr>
        <w:t xml:space="preserve"> </w:t>
      </w:r>
      <w:r w:rsidR="005E2342" w:rsidRPr="002A6256">
        <w:rPr>
          <w:bCs/>
          <w:spacing w:val="-3"/>
        </w:rPr>
        <w:t>(instructed by</w:t>
      </w:r>
      <w:r w:rsidR="005E2342" w:rsidRPr="002A6256">
        <w:rPr>
          <w:b/>
          <w:spacing w:val="-3"/>
        </w:rPr>
        <w:t xml:space="preserve"> </w:t>
      </w:r>
      <w:r>
        <w:rPr>
          <w:b/>
          <w:spacing w:val="-3"/>
        </w:rPr>
        <w:t>Birnberg Peirce</w:t>
      </w:r>
      <w:r w:rsidR="005E2342" w:rsidRPr="002A6256">
        <w:rPr>
          <w:bCs/>
          <w:spacing w:val="-3"/>
        </w:rPr>
        <w:t>) for the</w:t>
      </w:r>
      <w:r w:rsidR="005E2342" w:rsidRPr="002A6256">
        <w:rPr>
          <w:spacing w:val="-3"/>
        </w:rPr>
        <w:t xml:space="preserve"> </w:t>
      </w:r>
      <w:r>
        <w:rPr>
          <w:b/>
          <w:bCs/>
          <w:spacing w:val="-3"/>
        </w:rPr>
        <w:t>Claimant</w:t>
      </w:r>
    </w:p>
    <w:p w14:paraId="794EBDFE" w14:textId="6BF6FAA3" w:rsidR="005E2342" w:rsidRPr="002A6256" w:rsidRDefault="006D28AA">
      <w:pPr>
        <w:suppressAutoHyphens/>
        <w:jc w:val="center"/>
        <w:rPr>
          <w:bCs/>
          <w:spacing w:val="-3"/>
        </w:rPr>
      </w:pPr>
      <w:r>
        <w:rPr>
          <w:b/>
          <w:spacing w:val="-3"/>
        </w:rPr>
        <w:t xml:space="preserve">Sir James Eadie QC and Hugo Keith QC and Victoria Wakefield QC and Christopher Knight and Jason Pobjoy </w:t>
      </w:r>
      <w:r w:rsidR="005E2342" w:rsidRPr="002A6256">
        <w:rPr>
          <w:bCs/>
          <w:spacing w:val="-3"/>
        </w:rPr>
        <w:t xml:space="preserve"> (instructed by </w:t>
      </w:r>
      <w:r>
        <w:rPr>
          <w:b/>
          <w:spacing w:val="-3"/>
        </w:rPr>
        <w:t>Government Legal Department</w:t>
      </w:r>
      <w:r w:rsidR="005E2342" w:rsidRPr="002A6256">
        <w:rPr>
          <w:bCs/>
          <w:spacing w:val="-3"/>
        </w:rPr>
        <w:t xml:space="preserve">) for the </w:t>
      </w:r>
      <w:r>
        <w:rPr>
          <w:b/>
          <w:spacing w:val="-3"/>
        </w:rPr>
        <w:t>Defendant</w:t>
      </w:r>
    </w:p>
    <w:p w14:paraId="43A53F81" w14:textId="0EAD8A70" w:rsidR="00BF26C5" w:rsidRPr="002A6256" w:rsidRDefault="006D28AA" w:rsidP="00BF26C5">
      <w:pPr>
        <w:suppressAutoHyphens/>
        <w:jc w:val="center"/>
        <w:rPr>
          <w:bCs/>
          <w:spacing w:val="-3"/>
        </w:rPr>
      </w:pPr>
      <w:r>
        <w:rPr>
          <w:b/>
          <w:spacing w:val="-3"/>
        </w:rPr>
        <w:t>Tom Little QC</w:t>
      </w:r>
      <w:r w:rsidR="00BF26C5" w:rsidRPr="002A6256">
        <w:rPr>
          <w:bCs/>
          <w:spacing w:val="-3"/>
        </w:rPr>
        <w:t xml:space="preserve"> (instructed by </w:t>
      </w:r>
      <w:r>
        <w:rPr>
          <w:b/>
          <w:spacing w:val="-3"/>
        </w:rPr>
        <w:t>Crown Prosec</w:t>
      </w:r>
      <w:r w:rsidR="005F73B6">
        <w:rPr>
          <w:b/>
          <w:spacing w:val="-3"/>
        </w:rPr>
        <w:t>u</w:t>
      </w:r>
      <w:r>
        <w:rPr>
          <w:b/>
          <w:spacing w:val="-3"/>
        </w:rPr>
        <w:t>tion Service</w:t>
      </w:r>
      <w:r w:rsidR="00BF26C5" w:rsidRPr="002A6256">
        <w:rPr>
          <w:bCs/>
          <w:spacing w:val="-3"/>
        </w:rPr>
        <w:t xml:space="preserve">) for the </w:t>
      </w:r>
      <w:r w:rsidR="009B72E1">
        <w:rPr>
          <w:b/>
          <w:spacing w:val="-3"/>
        </w:rPr>
        <w:t>Interested Party</w:t>
      </w:r>
    </w:p>
    <w:p w14:paraId="5CDBA4B9" w14:textId="77777777" w:rsidR="005E2342" w:rsidRPr="002A6256" w:rsidRDefault="005E2342">
      <w:pPr>
        <w:suppressAutoHyphens/>
        <w:jc w:val="center"/>
        <w:rPr>
          <w:b/>
          <w:spacing w:val="-3"/>
        </w:rPr>
      </w:pPr>
    </w:p>
    <w:p w14:paraId="714B29E4" w14:textId="19024489" w:rsidR="005E2342" w:rsidRPr="002A6256" w:rsidRDefault="005E2342">
      <w:pPr>
        <w:suppressAutoHyphens/>
        <w:jc w:val="center"/>
        <w:rPr>
          <w:spacing w:val="-3"/>
        </w:rPr>
      </w:pPr>
      <w:r w:rsidRPr="002A6256">
        <w:rPr>
          <w:spacing w:val="-3"/>
        </w:rPr>
        <w:t xml:space="preserve">Hearing dates: </w:t>
      </w:r>
      <w:r w:rsidR="006D28AA">
        <w:rPr>
          <w:spacing w:val="-3"/>
        </w:rPr>
        <w:t>11th September 2020</w:t>
      </w:r>
    </w:p>
    <w:p w14:paraId="6B93041D" w14:textId="77777777" w:rsidR="005E2342" w:rsidRPr="002A6256" w:rsidRDefault="005E2342">
      <w:pPr>
        <w:suppressAutoHyphens/>
        <w:jc w:val="center"/>
        <w:rPr>
          <w:spacing w:val="-3"/>
        </w:rPr>
      </w:pPr>
      <w:r w:rsidRPr="002A6256">
        <w:rPr>
          <w:spacing w:val="-3"/>
        </w:rPr>
        <w:t>- - - - - - - - - - - - - - - - - - - - -</w:t>
      </w:r>
    </w:p>
    <w:p w14:paraId="0211C925" w14:textId="65CB19EE" w:rsidR="005E2342" w:rsidRPr="002A6256" w:rsidRDefault="006D28AA" w:rsidP="006D28AA">
      <w:pPr>
        <w:pStyle w:val="CoverDesc"/>
      </w:pPr>
      <w:r>
        <w:t>Approved Judgment</w:t>
      </w:r>
    </w:p>
    <w:p w14:paraId="7BD784A1" w14:textId="119EC029" w:rsidR="00136579" w:rsidRDefault="008F3FAA" w:rsidP="002D1644">
      <w:pPr>
        <w:rPr>
          <w:b/>
          <w:bCs/>
          <w:iCs/>
          <w:color w:val="000000"/>
          <w:lang w:eastAsia="zh-CN"/>
        </w:rPr>
      </w:pPr>
      <w:r>
        <w:rPr>
          <w:b/>
          <w:bCs/>
          <w:iCs/>
          <w:color w:val="000000"/>
          <w:lang w:eastAsia="zh-CN"/>
        </w:rPr>
        <w:br w:type="page"/>
      </w:r>
      <w:r w:rsidR="00136579">
        <w:rPr>
          <w:b/>
          <w:bCs/>
          <w:iCs/>
          <w:color w:val="000000"/>
          <w:lang w:eastAsia="zh-CN"/>
        </w:rPr>
        <w:lastRenderedPageBreak/>
        <w:t xml:space="preserve">Dame Victoria Sharp: </w:t>
      </w:r>
    </w:p>
    <w:p w14:paraId="2BA558CC" w14:textId="014C5501" w:rsidR="002D1644" w:rsidRPr="00261FB4" w:rsidRDefault="000D1FE5" w:rsidP="006D28AA">
      <w:pPr>
        <w:suppressAutoHyphens/>
        <w:spacing w:before="240" w:after="240"/>
        <w:jc w:val="both"/>
        <w:outlineLvl w:val="0"/>
        <w:rPr>
          <w:i/>
          <w:color w:val="000000"/>
          <w:lang w:eastAsia="zh-CN"/>
        </w:rPr>
      </w:pPr>
      <w:r w:rsidRPr="00261FB4">
        <w:rPr>
          <w:i/>
          <w:color w:val="000000"/>
          <w:lang w:eastAsia="zh-CN"/>
        </w:rPr>
        <w:t>Introduction</w:t>
      </w:r>
    </w:p>
    <w:p w14:paraId="0CA3B095" w14:textId="77777777" w:rsidR="00136579" w:rsidRPr="00261FB4" w:rsidRDefault="00136579" w:rsidP="006D28AA">
      <w:pPr>
        <w:numPr>
          <w:ilvl w:val="0"/>
          <w:numId w:val="1"/>
        </w:numPr>
        <w:suppressAutoHyphens/>
        <w:spacing w:before="240" w:after="240"/>
        <w:jc w:val="both"/>
        <w:outlineLvl w:val="0"/>
        <w:rPr>
          <w:color w:val="000000" w:themeColor="text1"/>
          <w:lang w:eastAsia="en-GB"/>
        </w:rPr>
      </w:pPr>
      <w:r w:rsidRPr="002A6256">
        <w:rPr>
          <w:lang w:eastAsia="zh-CN"/>
        </w:rPr>
        <w:t xml:space="preserve">This is the judgment of the Court to which we have both contributed. </w:t>
      </w:r>
    </w:p>
    <w:p w14:paraId="0864A547" w14:textId="70A076C6" w:rsidR="00065F88" w:rsidRDefault="000D1FE5" w:rsidP="006D28AA">
      <w:pPr>
        <w:numPr>
          <w:ilvl w:val="0"/>
          <w:numId w:val="1"/>
        </w:numPr>
        <w:suppressAutoHyphens/>
        <w:spacing w:before="240" w:after="240"/>
        <w:jc w:val="both"/>
        <w:outlineLvl w:val="0"/>
        <w:rPr>
          <w:color w:val="000000" w:themeColor="text1"/>
          <w:lang w:eastAsia="en-GB"/>
        </w:rPr>
      </w:pPr>
      <w:r w:rsidRPr="002A6256">
        <w:rPr>
          <w:color w:val="000000" w:themeColor="text1"/>
          <w:lang w:eastAsia="zh-CN"/>
        </w:rPr>
        <w:t xml:space="preserve">By this application, listed before us </w:t>
      </w:r>
      <w:r w:rsidR="00136579">
        <w:rPr>
          <w:color w:val="000000" w:themeColor="text1"/>
          <w:lang w:eastAsia="zh-CN"/>
        </w:rPr>
        <w:t xml:space="preserve">as a matter of </w:t>
      </w:r>
      <w:r w:rsidRPr="002A6256">
        <w:rPr>
          <w:color w:val="000000" w:themeColor="text1"/>
          <w:lang w:eastAsia="zh-CN"/>
        </w:rPr>
        <w:t xml:space="preserve">urgency, </w:t>
      </w:r>
      <w:r w:rsidR="007A2E0D">
        <w:rPr>
          <w:color w:val="000000" w:themeColor="text1"/>
          <w:lang w:eastAsia="zh-CN"/>
        </w:rPr>
        <w:t>Ms</w:t>
      </w:r>
      <w:r w:rsidRPr="002A6256">
        <w:rPr>
          <w:color w:val="000000" w:themeColor="text1"/>
          <w:lang w:eastAsia="zh-CN"/>
        </w:rPr>
        <w:t xml:space="preserve"> Maha Elgizouli (the </w:t>
      </w:r>
      <w:r w:rsidR="00136579">
        <w:rPr>
          <w:color w:val="000000" w:themeColor="text1"/>
          <w:lang w:eastAsia="zh-CN"/>
        </w:rPr>
        <w:t>c</w:t>
      </w:r>
      <w:r w:rsidRPr="002A6256">
        <w:rPr>
          <w:color w:val="000000" w:themeColor="text1"/>
          <w:lang w:eastAsia="zh-CN"/>
        </w:rPr>
        <w:t xml:space="preserve">laimant) seeks permission to challenge by way of judicial review a decision of the Secretary of State for the Home Department (the Secretary of State) to provide material to the Government of the United States pursuant to a request for Mutual Legal Assistance (MLA).  </w:t>
      </w:r>
    </w:p>
    <w:p w14:paraId="7E2CA215" w14:textId="03246B4C" w:rsidR="0030134B" w:rsidRDefault="000D1FE5" w:rsidP="006D28AA">
      <w:pPr>
        <w:numPr>
          <w:ilvl w:val="0"/>
          <w:numId w:val="1"/>
        </w:numPr>
        <w:suppressAutoHyphens/>
        <w:spacing w:before="240" w:after="240"/>
        <w:jc w:val="both"/>
        <w:outlineLvl w:val="0"/>
        <w:rPr>
          <w:color w:val="000000" w:themeColor="text1"/>
          <w:lang w:eastAsia="en-GB"/>
        </w:rPr>
      </w:pPr>
      <w:r w:rsidRPr="002A6256">
        <w:rPr>
          <w:color w:val="000000" w:themeColor="text1"/>
          <w:lang w:eastAsia="zh-CN"/>
        </w:rPr>
        <w:t xml:space="preserve">The </w:t>
      </w:r>
      <w:r w:rsidR="00065F88">
        <w:rPr>
          <w:color w:val="000000" w:themeColor="text1"/>
          <w:lang w:eastAsia="zh-CN"/>
        </w:rPr>
        <w:t xml:space="preserve">requested </w:t>
      </w:r>
      <w:r w:rsidRPr="002A6256">
        <w:rPr>
          <w:color w:val="000000" w:themeColor="text1"/>
          <w:lang w:eastAsia="zh-CN"/>
        </w:rPr>
        <w:t xml:space="preserve">material relates to the </w:t>
      </w:r>
      <w:r w:rsidR="007E41EA" w:rsidRPr="002A6256">
        <w:rPr>
          <w:color w:val="000000" w:themeColor="text1"/>
          <w:lang w:eastAsia="zh-CN"/>
        </w:rPr>
        <w:t xml:space="preserve">alleged </w:t>
      </w:r>
      <w:r w:rsidRPr="002A6256">
        <w:rPr>
          <w:color w:val="000000" w:themeColor="text1"/>
          <w:lang w:eastAsia="zh-CN"/>
        </w:rPr>
        <w:t xml:space="preserve">terrorist activities of </w:t>
      </w:r>
      <w:r w:rsidR="007A2E0D">
        <w:rPr>
          <w:color w:val="000000" w:themeColor="text1"/>
          <w:lang w:eastAsia="zh-CN"/>
        </w:rPr>
        <w:t>Ms</w:t>
      </w:r>
      <w:r w:rsidRPr="002A6256">
        <w:rPr>
          <w:color w:val="000000" w:themeColor="text1"/>
          <w:lang w:eastAsia="zh-CN"/>
        </w:rPr>
        <w:t xml:space="preserve"> Elgizouli’s son, Shafee El Sheikh, form</w:t>
      </w:r>
      <w:r w:rsidR="00B9711E" w:rsidRPr="002A6256">
        <w:rPr>
          <w:color w:val="000000" w:themeColor="text1"/>
          <w:lang w:eastAsia="zh-CN"/>
        </w:rPr>
        <w:t>erly</w:t>
      </w:r>
      <w:r w:rsidRPr="002A6256">
        <w:rPr>
          <w:color w:val="000000" w:themeColor="text1"/>
          <w:lang w:eastAsia="zh-CN"/>
        </w:rPr>
        <w:t xml:space="preserve"> a British citizen, whose citizenship was </w:t>
      </w:r>
      <w:r w:rsidR="0030134B">
        <w:rPr>
          <w:color w:val="000000" w:themeColor="text1"/>
          <w:lang w:eastAsia="zh-CN"/>
        </w:rPr>
        <w:t xml:space="preserve">revoked </w:t>
      </w:r>
      <w:r w:rsidRPr="002A6256">
        <w:rPr>
          <w:color w:val="000000" w:themeColor="text1"/>
          <w:lang w:eastAsia="zh-CN"/>
        </w:rPr>
        <w:t>in 2014</w:t>
      </w:r>
      <w:r w:rsidR="0030134B">
        <w:rPr>
          <w:color w:val="000000" w:themeColor="text1"/>
          <w:lang w:eastAsia="zh-CN"/>
        </w:rPr>
        <w:t xml:space="preserve"> pursuant to section 40(2) of the British Nationality Act 1981 on the basis that the national security threat he posed (including through activities in Syria) made it conducive to the public good to deprive him of it</w:t>
      </w:r>
      <w:r w:rsidRPr="002A6256">
        <w:rPr>
          <w:color w:val="000000" w:themeColor="text1"/>
          <w:lang w:eastAsia="zh-CN"/>
        </w:rPr>
        <w:t xml:space="preserve">. </w:t>
      </w:r>
      <w:r w:rsidR="0030134B">
        <w:rPr>
          <w:color w:val="000000" w:themeColor="text1"/>
          <w:lang w:eastAsia="zh-CN"/>
        </w:rPr>
        <w:t>The claimant</w:t>
      </w:r>
      <w:r w:rsidR="002A23A3">
        <w:rPr>
          <w:color w:val="000000" w:themeColor="text1"/>
          <w:lang w:eastAsia="zh-CN"/>
        </w:rPr>
        <w:t>’s son</w:t>
      </w:r>
      <w:r w:rsidR="0030134B">
        <w:rPr>
          <w:color w:val="000000" w:themeColor="text1"/>
          <w:lang w:eastAsia="zh-CN"/>
        </w:rPr>
        <w:t xml:space="preserve"> is currently under investigation for the most heinous offences in Syria arising out of his membership of a group of foreign terrorist fighters known as the 'Beatles’. </w:t>
      </w:r>
      <w:r w:rsidR="00611697">
        <w:rPr>
          <w:color w:val="000000" w:themeColor="text1"/>
          <w:lang w:eastAsia="zh-CN"/>
        </w:rPr>
        <w:t xml:space="preserve">This includes the suspected beheading of 27 individuals, including the murders of </w:t>
      </w:r>
      <w:r w:rsidR="00D2165E">
        <w:rPr>
          <w:color w:val="000000" w:themeColor="text1"/>
          <w:lang w:eastAsia="zh-CN"/>
        </w:rPr>
        <w:t xml:space="preserve"> three </w:t>
      </w:r>
      <w:r w:rsidR="00611697">
        <w:rPr>
          <w:color w:val="000000" w:themeColor="text1"/>
          <w:lang w:eastAsia="zh-CN"/>
        </w:rPr>
        <w:t xml:space="preserve">US citizens, James Foley, Steven Sotloff and Peter </w:t>
      </w:r>
      <w:proofErr w:type="spellStart"/>
      <w:r w:rsidR="00611697">
        <w:rPr>
          <w:color w:val="000000" w:themeColor="text1"/>
          <w:lang w:eastAsia="zh-CN"/>
        </w:rPr>
        <w:t>Kassig</w:t>
      </w:r>
      <w:proofErr w:type="spellEnd"/>
      <w:r w:rsidR="00611697">
        <w:rPr>
          <w:color w:val="000000" w:themeColor="text1"/>
          <w:lang w:eastAsia="zh-CN"/>
        </w:rPr>
        <w:t xml:space="preserve"> and </w:t>
      </w:r>
      <w:r w:rsidR="00D2165E">
        <w:rPr>
          <w:color w:val="000000" w:themeColor="text1"/>
          <w:lang w:eastAsia="zh-CN"/>
        </w:rPr>
        <w:t xml:space="preserve">two British citizens, </w:t>
      </w:r>
      <w:r w:rsidR="00611697">
        <w:rPr>
          <w:color w:val="000000" w:themeColor="text1"/>
          <w:lang w:eastAsia="zh-CN"/>
        </w:rPr>
        <w:t xml:space="preserve">David Haines and Alan Henning. </w:t>
      </w:r>
    </w:p>
    <w:p w14:paraId="063158F5" w14:textId="04C53D20" w:rsidR="00C72DDB" w:rsidRPr="002A6256" w:rsidRDefault="007A2E0D" w:rsidP="006D28AA">
      <w:pPr>
        <w:numPr>
          <w:ilvl w:val="0"/>
          <w:numId w:val="1"/>
        </w:numPr>
        <w:suppressAutoHyphens/>
        <w:spacing w:before="240" w:after="240"/>
        <w:jc w:val="both"/>
        <w:outlineLvl w:val="0"/>
        <w:rPr>
          <w:color w:val="000000" w:themeColor="text1"/>
          <w:lang w:eastAsia="en-GB"/>
        </w:rPr>
      </w:pPr>
      <w:r>
        <w:rPr>
          <w:color w:val="000000" w:themeColor="text1"/>
          <w:lang w:eastAsia="zh-CN"/>
        </w:rPr>
        <w:t xml:space="preserve">The decision </w:t>
      </w:r>
      <w:r w:rsidR="0030134B">
        <w:rPr>
          <w:color w:val="000000" w:themeColor="text1"/>
          <w:lang w:eastAsia="zh-CN"/>
        </w:rPr>
        <w:t xml:space="preserve">under challenge </w:t>
      </w:r>
      <w:r>
        <w:rPr>
          <w:color w:val="000000" w:themeColor="text1"/>
          <w:lang w:eastAsia="zh-CN"/>
        </w:rPr>
        <w:t xml:space="preserve">was made on 24 August 2020 and these proceedings were commenced on </w:t>
      </w:r>
      <w:r w:rsidR="008B649E">
        <w:rPr>
          <w:color w:val="000000" w:themeColor="text1"/>
          <w:lang w:eastAsia="zh-CN"/>
        </w:rPr>
        <w:t>1 September</w:t>
      </w:r>
      <w:r>
        <w:rPr>
          <w:color w:val="000000" w:themeColor="text1"/>
          <w:lang w:eastAsia="zh-CN"/>
        </w:rPr>
        <w:t xml:space="preserve"> 2020. </w:t>
      </w:r>
    </w:p>
    <w:p w14:paraId="317F4BA7" w14:textId="19FB364A" w:rsidR="007C3B1E" w:rsidRPr="002A6256" w:rsidRDefault="000D1FE5" w:rsidP="006D28AA">
      <w:pPr>
        <w:numPr>
          <w:ilvl w:val="0"/>
          <w:numId w:val="1"/>
        </w:numPr>
        <w:suppressAutoHyphens/>
        <w:spacing w:before="240" w:after="240"/>
        <w:jc w:val="both"/>
        <w:outlineLvl w:val="0"/>
        <w:rPr>
          <w:color w:val="000000"/>
          <w:lang w:eastAsia="en-GB"/>
        </w:rPr>
      </w:pPr>
      <w:r w:rsidRPr="002A6256">
        <w:rPr>
          <w:lang w:eastAsia="zh-CN"/>
        </w:rPr>
        <w:t xml:space="preserve">Because of its urgency, </w:t>
      </w:r>
      <w:r w:rsidR="007A2E0D">
        <w:rPr>
          <w:lang w:eastAsia="zh-CN"/>
        </w:rPr>
        <w:t xml:space="preserve">we directed that this case be listed </w:t>
      </w:r>
      <w:r w:rsidRPr="002A6256">
        <w:rPr>
          <w:lang w:eastAsia="zh-CN"/>
        </w:rPr>
        <w:t>as a rolled-up hearing with the application for permission to be heard first</w:t>
      </w:r>
      <w:r w:rsidR="00042D4C" w:rsidRPr="002A6256">
        <w:rPr>
          <w:lang w:eastAsia="zh-CN"/>
        </w:rPr>
        <w:t>,</w:t>
      </w:r>
      <w:r w:rsidRPr="002A6256">
        <w:rPr>
          <w:lang w:eastAsia="zh-CN"/>
        </w:rPr>
        <w:t xml:space="preserve"> and the judicial review to follow if permission </w:t>
      </w:r>
      <w:r w:rsidR="00653DA0" w:rsidRPr="002A6256">
        <w:rPr>
          <w:lang w:eastAsia="zh-CN"/>
        </w:rPr>
        <w:t>was</w:t>
      </w:r>
      <w:r w:rsidRPr="002A6256">
        <w:rPr>
          <w:lang w:eastAsia="zh-CN"/>
        </w:rPr>
        <w:t xml:space="preserve"> granted.</w:t>
      </w:r>
      <w:r w:rsidR="00C72DDB" w:rsidRPr="002A6256">
        <w:rPr>
          <w:lang w:eastAsia="zh-CN"/>
        </w:rPr>
        <w:t xml:space="preserve"> </w:t>
      </w:r>
      <w:r w:rsidRPr="002A6256">
        <w:rPr>
          <w:lang w:eastAsia="zh-CN"/>
        </w:rPr>
        <w:t xml:space="preserve">We heard </w:t>
      </w:r>
      <w:r w:rsidR="00136579">
        <w:rPr>
          <w:lang w:eastAsia="zh-CN"/>
        </w:rPr>
        <w:t xml:space="preserve">full </w:t>
      </w:r>
      <w:r w:rsidRPr="002A6256">
        <w:rPr>
          <w:lang w:eastAsia="zh-CN"/>
        </w:rPr>
        <w:t xml:space="preserve">argument on 11 September 2020. </w:t>
      </w:r>
      <w:r w:rsidR="00B30E92">
        <w:rPr>
          <w:lang w:eastAsia="zh-CN"/>
        </w:rPr>
        <w:t xml:space="preserve">Mr </w:t>
      </w:r>
      <w:r w:rsidR="00754487">
        <w:rPr>
          <w:lang w:eastAsia="zh-CN"/>
        </w:rPr>
        <w:t xml:space="preserve">Tom </w:t>
      </w:r>
      <w:r w:rsidR="00B30E92">
        <w:rPr>
          <w:lang w:eastAsia="zh-CN"/>
        </w:rPr>
        <w:t>Little QC</w:t>
      </w:r>
      <w:r w:rsidR="002A020C">
        <w:rPr>
          <w:lang w:eastAsia="zh-CN"/>
        </w:rPr>
        <w:t>,</w:t>
      </w:r>
      <w:r w:rsidR="00B30E92">
        <w:rPr>
          <w:lang w:eastAsia="zh-CN"/>
        </w:rPr>
        <w:t xml:space="preserve"> for the interested party, attended but took no part in the hearing. </w:t>
      </w:r>
    </w:p>
    <w:p w14:paraId="28AE5375" w14:textId="27A0A170" w:rsidR="000D1FE5" w:rsidRPr="002A6256" w:rsidRDefault="000D1FE5" w:rsidP="006D28AA">
      <w:pPr>
        <w:numPr>
          <w:ilvl w:val="0"/>
          <w:numId w:val="1"/>
        </w:numPr>
        <w:suppressAutoHyphens/>
        <w:spacing w:before="240" w:after="240"/>
        <w:jc w:val="both"/>
        <w:outlineLvl w:val="0"/>
        <w:rPr>
          <w:color w:val="000000" w:themeColor="text1"/>
          <w:lang w:eastAsia="en-GB"/>
        </w:rPr>
      </w:pPr>
      <w:r w:rsidRPr="002A6256">
        <w:rPr>
          <w:lang w:eastAsia="zh-CN"/>
        </w:rPr>
        <w:t>The princip</w:t>
      </w:r>
      <w:r w:rsidR="00136579">
        <w:rPr>
          <w:lang w:eastAsia="zh-CN"/>
        </w:rPr>
        <w:t>al</w:t>
      </w:r>
      <w:r w:rsidRPr="002A6256">
        <w:rPr>
          <w:lang w:eastAsia="zh-CN"/>
        </w:rPr>
        <w:t xml:space="preserve"> issues </w:t>
      </w:r>
      <w:r w:rsidRPr="002A6256">
        <w:rPr>
          <w:color w:val="000000" w:themeColor="text1"/>
          <w:lang w:eastAsia="zh-CN"/>
        </w:rPr>
        <w:t>for determination are:</w:t>
      </w:r>
    </w:p>
    <w:p w14:paraId="42C47F01" w14:textId="40980A61" w:rsidR="000D1FE5" w:rsidRPr="002A6256" w:rsidRDefault="000D1FE5" w:rsidP="006D28AA">
      <w:pPr>
        <w:numPr>
          <w:ilvl w:val="0"/>
          <w:numId w:val="14"/>
        </w:numPr>
        <w:spacing w:before="240" w:after="240"/>
        <w:ind w:left="1701"/>
        <w:jc w:val="both"/>
        <w:rPr>
          <w:color w:val="000000" w:themeColor="text1"/>
          <w:lang w:eastAsia="en-GB"/>
        </w:rPr>
      </w:pPr>
      <w:r w:rsidRPr="002A6256">
        <w:rPr>
          <w:color w:val="000000" w:themeColor="text1"/>
          <w:lang w:eastAsia="zh-CN"/>
        </w:rPr>
        <w:t>W</w:t>
      </w:r>
      <w:r w:rsidR="00535F26">
        <w:rPr>
          <w:color w:val="000000" w:themeColor="text1"/>
          <w:lang w:eastAsia="zh-CN"/>
        </w:rPr>
        <w:t>hether</w:t>
      </w:r>
      <w:r w:rsidRPr="002A6256">
        <w:rPr>
          <w:color w:val="000000" w:themeColor="text1"/>
          <w:lang w:eastAsia="zh-CN"/>
        </w:rPr>
        <w:t xml:space="preserve"> the decision to provide MLA</w:t>
      </w:r>
      <w:r w:rsidR="00FF01A4">
        <w:rPr>
          <w:color w:val="000000" w:themeColor="text1"/>
          <w:lang w:eastAsia="zh-CN"/>
        </w:rPr>
        <w:t xml:space="preserve"> is</w:t>
      </w:r>
      <w:r w:rsidRPr="002A6256">
        <w:rPr>
          <w:color w:val="000000" w:themeColor="text1"/>
          <w:lang w:eastAsia="zh-CN"/>
        </w:rPr>
        <w:t xml:space="preserve"> compatible with the Dat</w:t>
      </w:r>
      <w:r w:rsidR="000301A0" w:rsidRPr="002A6256">
        <w:rPr>
          <w:color w:val="000000" w:themeColor="text1"/>
          <w:lang w:eastAsia="zh-CN"/>
        </w:rPr>
        <w:t>a</w:t>
      </w:r>
      <w:r w:rsidRPr="002A6256">
        <w:rPr>
          <w:color w:val="000000" w:themeColor="text1"/>
          <w:lang w:eastAsia="zh-CN"/>
        </w:rPr>
        <w:t xml:space="preserve"> Protection Act 2018 (</w:t>
      </w:r>
      <w:r w:rsidR="00EA603B" w:rsidRPr="002A6256">
        <w:rPr>
          <w:color w:val="000000" w:themeColor="text1"/>
          <w:lang w:eastAsia="zh-CN"/>
        </w:rPr>
        <w:t xml:space="preserve">the </w:t>
      </w:r>
      <w:r w:rsidRPr="002A6256">
        <w:rPr>
          <w:color w:val="000000" w:themeColor="text1"/>
          <w:lang w:eastAsia="zh-CN"/>
        </w:rPr>
        <w:t xml:space="preserve">DPA) and; </w:t>
      </w:r>
    </w:p>
    <w:p w14:paraId="0749187E" w14:textId="23D2F5A5" w:rsidR="000D1FE5" w:rsidRPr="002A6256" w:rsidRDefault="000D1FE5" w:rsidP="006D28AA">
      <w:pPr>
        <w:numPr>
          <w:ilvl w:val="0"/>
          <w:numId w:val="14"/>
        </w:numPr>
        <w:spacing w:before="240" w:after="240"/>
        <w:ind w:left="1701"/>
        <w:jc w:val="both"/>
        <w:rPr>
          <w:color w:val="000000" w:themeColor="text1"/>
          <w:lang w:eastAsia="en-GB"/>
        </w:rPr>
      </w:pPr>
      <w:r w:rsidRPr="002A6256">
        <w:rPr>
          <w:color w:val="000000" w:themeColor="text1"/>
          <w:lang w:eastAsia="zh-CN"/>
        </w:rPr>
        <w:t>W</w:t>
      </w:r>
      <w:r w:rsidR="00535F26">
        <w:rPr>
          <w:color w:val="000000" w:themeColor="text1"/>
          <w:lang w:eastAsia="zh-CN"/>
        </w:rPr>
        <w:t>hether</w:t>
      </w:r>
      <w:r w:rsidRPr="002A6256">
        <w:rPr>
          <w:color w:val="000000" w:themeColor="text1"/>
          <w:lang w:eastAsia="zh-CN"/>
        </w:rPr>
        <w:t xml:space="preserve"> t</w:t>
      </w:r>
      <w:r w:rsidR="00042D4C" w:rsidRPr="002A6256">
        <w:rPr>
          <w:color w:val="000000" w:themeColor="text1"/>
          <w:lang w:eastAsia="zh-CN"/>
        </w:rPr>
        <w:t>he</w:t>
      </w:r>
      <w:r w:rsidRPr="002A6256">
        <w:rPr>
          <w:color w:val="000000" w:themeColor="text1"/>
          <w:lang w:eastAsia="zh-CN"/>
        </w:rPr>
        <w:t xml:space="preserve"> decision </w:t>
      </w:r>
      <w:r w:rsidR="00535F26">
        <w:rPr>
          <w:color w:val="000000" w:themeColor="text1"/>
          <w:lang w:eastAsia="zh-CN"/>
        </w:rPr>
        <w:t xml:space="preserve">is </w:t>
      </w:r>
      <w:r w:rsidRPr="002A6256">
        <w:rPr>
          <w:color w:val="000000" w:themeColor="text1"/>
          <w:lang w:eastAsia="zh-CN"/>
        </w:rPr>
        <w:t xml:space="preserve">irrational. </w:t>
      </w:r>
    </w:p>
    <w:p w14:paraId="1A3D460F" w14:textId="790D8EB7" w:rsidR="000D1FE5" w:rsidRDefault="00D2165E" w:rsidP="006D28AA">
      <w:pPr>
        <w:numPr>
          <w:ilvl w:val="0"/>
          <w:numId w:val="1"/>
        </w:numPr>
        <w:suppressAutoHyphens/>
        <w:spacing w:before="240" w:after="240"/>
        <w:jc w:val="both"/>
        <w:outlineLvl w:val="0"/>
        <w:rPr>
          <w:color w:val="000000" w:themeColor="text1"/>
          <w:lang w:eastAsia="en-GB"/>
        </w:rPr>
      </w:pPr>
      <w:r>
        <w:rPr>
          <w:color w:val="000000" w:themeColor="text1"/>
          <w:lang w:eastAsia="zh-CN"/>
        </w:rPr>
        <w:t xml:space="preserve">Central to </w:t>
      </w:r>
      <w:r w:rsidR="007A2E0D">
        <w:rPr>
          <w:color w:val="000000" w:themeColor="text1"/>
          <w:lang w:eastAsia="zh-CN"/>
        </w:rPr>
        <w:t xml:space="preserve">both issues is </w:t>
      </w:r>
      <w:r w:rsidR="00167A3E">
        <w:rPr>
          <w:color w:val="000000" w:themeColor="text1"/>
          <w:lang w:eastAsia="zh-CN"/>
        </w:rPr>
        <w:t>the</w:t>
      </w:r>
      <w:r w:rsidR="000D1FE5" w:rsidRPr="002A6256">
        <w:rPr>
          <w:color w:val="000000" w:themeColor="text1"/>
          <w:lang w:eastAsia="zh-CN"/>
        </w:rPr>
        <w:t xml:space="preserve"> question whether the </w:t>
      </w:r>
      <w:r w:rsidR="007A2E0D">
        <w:rPr>
          <w:color w:val="000000" w:themeColor="text1"/>
          <w:lang w:eastAsia="zh-CN"/>
        </w:rPr>
        <w:t xml:space="preserve">provision of the material requested is </w:t>
      </w:r>
      <w:r w:rsidR="000D1FE5" w:rsidRPr="002A6256">
        <w:rPr>
          <w:color w:val="000000" w:themeColor="text1"/>
          <w:lang w:eastAsia="zh-CN"/>
        </w:rPr>
        <w:t>strictly necessary</w:t>
      </w:r>
      <w:r w:rsidR="00FF01A4">
        <w:rPr>
          <w:color w:val="000000" w:themeColor="text1"/>
          <w:lang w:eastAsia="zh-CN"/>
        </w:rPr>
        <w:t xml:space="preserve"> or proportionate</w:t>
      </w:r>
      <w:r w:rsidR="000D1FE5" w:rsidRPr="002A6256">
        <w:rPr>
          <w:color w:val="000000" w:themeColor="text1"/>
          <w:lang w:eastAsia="zh-CN"/>
        </w:rPr>
        <w:t xml:space="preserve"> </w:t>
      </w:r>
      <w:r w:rsidR="007A2E0D">
        <w:rPr>
          <w:color w:val="000000" w:themeColor="text1"/>
          <w:lang w:eastAsia="zh-CN"/>
        </w:rPr>
        <w:t xml:space="preserve">in circumstances where </w:t>
      </w:r>
      <w:r w:rsidR="00884063">
        <w:rPr>
          <w:color w:val="000000" w:themeColor="text1"/>
          <w:lang w:eastAsia="zh-CN"/>
        </w:rPr>
        <w:t xml:space="preserve">Mr El Sheikh may be prosecuted in this jurisdiction, and in particular, where </w:t>
      </w:r>
      <w:r w:rsidR="000D1FE5" w:rsidRPr="002A6256">
        <w:rPr>
          <w:color w:val="000000" w:themeColor="text1"/>
          <w:lang w:eastAsia="zh-CN"/>
        </w:rPr>
        <w:t>the Crown Prosecution Service</w:t>
      </w:r>
      <w:r w:rsidR="00035F15" w:rsidRPr="002A6256">
        <w:rPr>
          <w:color w:val="000000" w:themeColor="text1"/>
          <w:lang w:eastAsia="zh-CN"/>
        </w:rPr>
        <w:t xml:space="preserve"> (the CPS) </w:t>
      </w:r>
      <w:r w:rsidR="000D1FE5" w:rsidRPr="002A6256">
        <w:rPr>
          <w:color w:val="000000" w:themeColor="text1"/>
          <w:lang w:eastAsia="zh-CN"/>
        </w:rPr>
        <w:t xml:space="preserve">has recently sought the consent of the Attorney General to the commencement of criminal proceedings </w:t>
      </w:r>
      <w:r w:rsidR="0030134B">
        <w:rPr>
          <w:color w:val="000000" w:themeColor="text1"/>
          <w:lang w:eastAsia="zh-CN"/>
        </w:rPr>
        <w:t xml:space="preserve">(for serious terrorist offences) against </w:t>
      </w:r>
      <w:r w:rsidR="00884063">
        <w:rPr>
          <w:color w:val="000000" w:themeColor="text1"/>
          <w:lang w:eastAsia="zh-CN"/>
        </w:rPr>
        <w:t>him</w:t>
      </w:r>
      <w:r w:rsidR="0030134B">
        <w:rPr>
          <w:color w:val="000000" w:themeColor="text1"/>
          <w:lang w:eastAsia="zh-CN"/>
        </w:rPr>
        <w:t xml:space="preserve">. </w:t>
      </w:r>
    </w:p>
    <w:p w14:paraId="7D7DE619" w14:textId="75A8E9FC" w:rsidR="00FB042B" w:rsidRDefault="00FB042B" w:rsidP="006D28AA">
      <w:pPr>
        <w:numPr>
          <w:ilvl w:val="0"/>
          <w:numId w:val="1"/>
        </w:numPr>
        <w:suppressAutoHyphens/>
        <w:spacing w:before="240" w:after="240"/>
        <w:jc w:val="both"/>
        <w:outlineLvl w:val="0"/>
        <w:rPr>
          <w:color w:val="000000" w:themeColor="text1"/>
          <w:lang w:eastAsia="en-GB"/>
        </w:rPr>
      </w:pPr>
      <w:r>
        <w:rPr>
          <w:color w:val="000000" w:themeColor="text1"/>
          <w:lang w:eastAsia="zh-CN"/>
        </w:rPr>
        <w:t xml:space="preserve">Notwithstanding the length of this judgment, we have reached the clear view that </w:t>
      </w:r>
      <w:r w:rsidR="00134476">
        <w:rPr>
          <w:color w:val="000000" w:themeColor="text1"/>
          <w:lang w:eastAsia="zh-CN"/>
        </w:rPr>
        <w:t xml:space="preserve">this claim for judicial review is not arguable. </w:t>
      </w:r>
    </w:p>
    <w:p w14:paraId="56641A8B" w14:textId="77C90BC9" w:rsidR="0030134B" w:rsidRPr="00261FB4" w:rsidRDefault="000D1FE5" w:rsidP="006D28AA">
      <w:pPr>
        <w:suppressAutoHyphens/>
        <w:spacing w:before="240" w:after="240"/>
        <w:jc w:val="both"/>
        <w:outlineLvl w:val="0"/>
        <w:rPr>
          <w:color w:val="000000"/>
          <w:lang w:eastAsia="en-GB"/>
        </w:rPr>
      </w:pPr>
      <w:r w:rsidRPr="00261FB4">
        <w:rPr>
          <w:i/>
          <w:iCs/>
          <w:lang w:eastAsia="zh-CN"/>
        </w:rPr>
        <w:t>The Histor</w:t>
      </w:r>
      <w:r w:rsidR="00611697">
        <w:rPr>
          <w:i/>
          <w:iCs/>
          <w:color w:val="000000"/>
          <w:lang w:eastAsia="en-GB"/>
        </w:rPr>
        <w:t>y</w:t>
      </w:r>
    </w:p>
    <w:p w14:paraId="22763479" w14:textId="7DE89AEE" w:rsidR="00EA56EA" w:rsidRDefault="000D1FE5" w:rsidP="006D28AA">
      <w:pPr>
        <w:numPr>
          <w:ilvl w:val="0"/>
          <w:numId w:val="1"/>
        </w:numPr>
        <w:suppressAutoHyphens/>
        <w:spacing w:before="240" w:after="240"/>
        <w:jc w:val="both"/>
        <w:outlineLvl w:val="0"/>
        <w:rPr>
          <w:color w:val="000000"/>
          <w:lang w:eastAsia="zh-CN"/>
        </w:rPr>
      </w:pPr>
      <w:r w:rsidRPr="002A6256">
        <w:rPr>
          <w:lang w:eastAsia="zh-CN"/>
        </w:rPr>
        <w:t>On 25 March 2020, the Supreme Court handed down judgment in a previous case brought by Ms Elgizouli against the Secretary of State</w:t>
      </w:r>
      <w:r w:rsidR="00131A50">
        <w:rPr>
          <w:lang w:eastAsia="zh-CN"/>
        </w:rPr>
        <w:t xml:space="preserve">: see </w:t>
      </w:r>
      <w:r w:rsidRPr="002A6256">
        <w:rPr>
          <w:lang w:eastAsia="zh-CN"/>
        </w:rPr>
        <w:t xml:space="preserve"> </w:t>
      </w:r>
      <w:r w:rsidRPr="002A6256">
        <w:rPr>
          <w:i/>
          <w:lang w:eastAsia="zh-CN"/>
        </w:rPr>
        <w:t>Elgizouli v SSHD</w:t>
      </w:r>
      <w:r w:rsidRPr="002A6256">
        <w:rPr>
          <w:lang w:eastAsia="zh-CN"/>
        </w:rPr>
        <w:t xml:space="preserve"> </w:t>
      </w:r>
      <w:r w:rsidR="00092B0E" w:rsidRPr="002A6256">
        <w:rPr>
          <w:lang w:eastAsia="zh-CN"/>
        </w:rPr>
        <w:t>[</w:t>
      </w:r>
      <w:r w:rsidRPr="002A6256">
        <w:rPr>
          <w:lang w:eastAsia="zh-CN"/>
        </w:rPr>
        <w:t>2020</w:t>
      </w:r>
      <w:r w:rsidR="00092B0E" w:rsidRPr="002A6256">
        <w:rPr>
          <w:lang w:eastAsia="zh-CN"/>
        </w:rPr>
        <w:t>]</w:t>
      </w:r>
      <w:r w:rsidRPr="002A6256">
        <w:rPr>
          <w:lang w:eastAsia="zh-CN"/>
        </w:rPr>
        <w:t xml:space="preserve"> </w:t>
      </w:r>
      <w:r w:rsidR="0030134B">
        <w:rPr>
          <w:lang w:eastAsia="zh-CN"/>
        </w:rPr>
        <w:t>UK</w:t>
      </w:r>
      <w:r w:rsidRPr="002A6256">
        <w:rPr>
          <w:lang w:eastAsia="zh-CN"/>
        </w:rPr>
        <w:t>SC 10</w:t>
      </w:r>
      <w:r w:rsidR="00884063">
        <w:rPr>
          <w:lang w:eastAsia="zh-CN"/>
        </w:rPr>
        <w:t xml:space="preserve"> </w:t>
      </w:r>
      <w:r w:rsidRPr="002A6256">
        <w:rPr>
          <w:color w:val="FF0000"/>
          <w:lang w:eastAsia="zh-CN"/>
        </w:rPr>
        <w:t xml:space="preserve"> </w:t>
      </w:r>
      <w:r w:rsidR="00131A50">
        <w:rPr>
          <w:color w:val="000000" w:themeColor="text1"/>
          <w:lang w:eastAsia="zh-CN"/>
        </w:rPr>
        <w:t>allow</w:t>
      </w:r>
      <w:r w:rsidR="00884063">
        <w:rPr>
          <w:color w:val="000000" w:themeColor="text1"/>
          <w:lang w:eastAsia="zh-CN"/>
        </w:rPr>
        <w:t>ing her</w:t>
      </w:r>
      <w:r w:rsidR="00131A50">
        <w:rPr>
          <w:color w:val="000000" w:themeColor="text1"/>
          <w:lang w:eastAsia="zh-CN"/>
        </w:rPr>
        <w:t xml:space="preserve"> </w:t>
      </w:r>
      <w:r w:rsidRPr="002A6256">
        <w:rPr>
          <w:lang w:eastAsia="zh-CN"/>
        </w:rPr>
        <w:t xml:space="preserve"> appeal against a decision of this Court </w:t>
      </w:r>
      <w:r w:rsidR="00611697">
        <w:rPr>
          <w:lang w:eastAsia="zh-CN"/>
        </w:rPr>
        <w:t xml:space="preserve">(the Lord Burnett of </w:t>
      </w:r>
      <w:r w:rsidR="00611697">
        <w:rPr>
          <w:lang w:eastAsia="zh-CN"/>
        </w:rPr>
        <w:lastRenderedPageBreak/>
        <w:t xml:space="preserve">Malden </w:t>
      </w:r>
      <w:r w:rsidR="00131A50">
        <w:rPr>
          <w:lang w:eastAsia="zh-CN"/>
        </w:rPr>
        <w:t xml:space="preserve">CJ </w:t>
      </w:r>
      <w:r w:rsidR="00611697">
        <w:rPr>
          <w:lang w:eastAsia="zh-CN"/>
        </w:rPr>
        <w:t xml:space="preserve">and Garnham J) </w:t>
      </w:r>
      <w:r w:rsidRPr="002A6256">
        <w:rPr>
          <w:lang w:eastAsia="zh-CN"/>
        </w:rPr>
        <w:t xml:space="preserve">reported at </w:t>
      </w:r>
      <w:r w:rsidR="00092B0E" w:rsidRPr="002A6256">
        <w:rPr>
          <w:lang w:eastAsia="zh-CN"/>
        </w:rPr>
        <w:t>[</w:t>
      </w:r>
      <w:r w:rsidRPr="002A6256">
        <w:rPr>
          <w:color w:val="000000"/>
          <w:lang w:eastAsia="zh-CN"/>
        </w:rPr>
        <w:t>2019</w:t>
      </w:r>
      <w:r w:rsidR="00092B0E" w:rsidRPr="002A6256">
        <w:rPr>
          <w:color w:val="000000"/>
          <w:lang w:eastAsia="zh-CN"/>
        </w:rPr>
        <w:t>]</w:t>
      </w:r>
      <w:r w:rsidRPr="002A6256">
        <w:rPr>
          <w:color w:val="000000"/>
          <w:lang w:eastAsia="zh-CN"/>
        </w:rPr>
        <w:t xml:space="preserve"> EWHC 60 (Admin)</w:t>
      </w:r>
      <w:r w:rsidR="00131A50">
        <w:rPr>
          <w:color w:val="000000"/>
          <w:lang w:eastAsia="zh-CN"/>
        </w:rPr>
        <w:t xml:space="preserve"> which had rejected her claim for judicial review. </w:t>
      </w:r>
      <w:r w:rsidR="00065F88">
        <w:rPr>
          <w:color w:val="000000"/>
          <w:lang w:eastAsia="zh-CN"/>
        </w:rPr>
        <w:t>Th</w:t>
      </w:r>
      <w:r w:rsidR="00884063">
        <w:rPr>
          <w:color w:val="000000"/>
          <w:lang w:eastAsia="zh-CN"/>
        </w:rPr>
        <w:t>is earlier</w:t>
      </w:r>
      <w:r w:rsidR="00065F88">
        <w:rPr>
          <w:color w:val="000000"/>
          <w:lang w:eastAsia="zh-CN"/>
        </w:rPr>
        <w:t xml:space="preserve"> case had been heard by the Divisional Court </w:t>
      </w:r>
      <w:r w:rsidR="00FE35D7">
        <w:rPr>
          <w:color w:val="000000"/>
          <w:lang w:eastAsia="zh-CN"/>
        </w:rPr>
        <w:t xml:space="preserve">on 8/9 October </w:t>
      </w:r>
      <w:r w:rsidR="00065F88">
        <w:rPr>
          <w:color w:val="000000"/>
          <w:lang w:eastAsia="zh-CN"/>
        </w:rPr>
        <w:t>2018 and judgment was handed down on 18 Ja</w:t>
      </w:r>
      <w:r w:rsidR="00FE35D7">
        <w:rPr>
          <w:color w:val="000000"/>
          <w:lang w:eastAsia="zh-CN"/>
        </w:rPr>
        <w:t xml:space="preserve">nuary </w:t>
      </w:r>
      <w:r w:rsidR="00065F88">
        <w:rPr>
          <w:color w:val="000000"/>
          <w:lang w:eastAsia="zh-CN"/>
        </w:rPr>
        <w:t>201</w:t>
      </w:r>
      <w:r w:rsidR="00FE35D7">
        <w:rPr>
          <w:color w:val="000000"/>
          <w:lang w:eastAsia="zh-CN"/>
        </w:rPr>
        <w:t>9</w:t>
      </w:r>
      <w:r w:rsidR="00065F88">
        <w:rPr>
          <w:color w:val="000000"/>
          <w:lang w:eastAsia="zh-CN"/>
        </w:rPr>
        <w:t xml:space="preserve">. The argument before the Supreme Court </w:t>
      </w:r>
      <w:r w:rsidR="00FE35D7">
        <w:rPr>
          <w:color w:val="000000"/>
          <w:lang w:eastAsia="zh-CN"/>
        </w:rPr>
        <w:t xml:space="preserve">had taken </w:t>
      </w:r>
      <w:r w:rsidR="00065F88">
        <w:rPr>
          <w:color w:val="000000"/>
          <w:lang w:eastAsia="zh-CN"/>
        </w:rPr>
        <w:t xml:space="preserve">place </w:t>
      </w:r>
      <w:r w:rsidR="00FE35D7">
        <w:rPr>
          <w:color w:val="000000"/>
          <w:lang w:eastAsia="zh-CN"/>
        </w:rPr>
        <w:t xml:space="preserve">on 30/31 July </w:t>
      </w:r>
      <w:r w:rsidR="00065F88">
        <w:rPr>
          <w:color w:val="000000"/>
          <w:lang w:eastAsia="zh-CN"/>
        </w:rPr>
        <w:t xml:space="preserve">2019.  </w:t>
      </w:r>
    </w:p>
    <w:p w14:paraId="2A617050" w14:textId="447AA13C" w:rsidR="00FE35D7" w:rsidRPr="00167A3E" w:rsidRDefault="009B72E1" w:rsidP="006D28AA">
      <w:pPr>
        <w:numPr>
          <w:ilvl w:val="0"/>
          <w:numId w:val="1"/>
        </w:numPr>
        <w:suppressAutoHyphens/>
        <w:spacing w:before="240" w:after="240"/>
        <w:jc w:val="both"/>
        <w:outlineLvl w:val="0"/>
        <w:rPr>
          <w:color w:val="000000"/>
          <w:lang w:eastAsia="zh-CN"/>
        </w:rPr>
      </w:pPr>
      <w:r>
        <w:rPr>
          <w:color w:val="000000"/>
          <w:lang w:eastAsia="zh-CN"/>
        </w:rPr>
        <w:t xml:space="preserve">The </w:t>
      </w:r>
      <w:r w:rsidR="00D2165E">
        <w:rPr>
          <w:color w:val="000000"/>
          <w:lang w:eastAsia="zh-CN"/>
        </w:rPr>
        <w:t xml:space="preserve">decision under challenge before </w:t>
      </w:r>
      <w:r>
        <w:rPr>
          <w:color w:val="000000"/>
          <w:lang w:eastAsia="zh-CN"/>
        </w:rPr>
        <w:t xml:space="preserve">the Divisional Court and the Supreme Court  </w:t>
      </w:r>
      <w:r w:rsidR="00535F26">
        <w:rPr>
          <w:color w:val="000000"/>
          <w:lang w:eastAsia="zh-CN"/>
        </w:rPr>
        <w:t xml:space="preserve">on that occasion </w:t>
      </w:r>
      <w:r>
        <w:rPr>
          <w:color w:val="000000"/>
          <w:lang w:eastAsia="zh-CN"/>
        </w:rPr>
        <w:t xml:space="preserve">was </w:t>
      </w:r>
      <w:r w:rsidR="00D2165E">
        <w:rPr>
          <w:color w:val="000000"/>
          <w:lang w:eastAsia="zh-CN"/>
        </w:rPr>
        <w:t xml:space="preserve">one made </w:t>
      </w:r>
      <w:r w:rsidR="00052528">
        <w:rPr>
          <w:color w:val="000000"/>
          <w:lang w:eastAsia="zh-CN"/>
        </w:rPr>
        <w:t>on 22</w:t>
      </w:r>
      <w:r w:rsidR="00D2165E">
        <w:rPr>
          <w:color w:val="000000"/>
          <w:lang w:eastAsia="zh-CN"/>
        </w:rPr>
        <w:t xml:space="preserve"> </w:t>
      </w:r>
      <w:r w:rsidR="00EA56EA">
        <w:rPr>
          <w:color w:val="000000"/>
          <w:lang w:eastAsia="zh-CN"/>
        </w:rPr>
        <w:t>June 2018</w:t>
      </w:r>
      <w:r w:rsidR="00D2165E">
        <w:rPr>
          <w:color w:val="000000"/>
          <w:lang w:eastAsia="zh-CN"/>
        </w:rPr>
        <w:t xml:space="preserve"> by</w:t>
      </w:r>
      <w:r w:rsidR="00EA56EA">
        <w:rPr>
          <w:color w:val="000000"/>
          <w:lang w:eastAsia="zh-CN"/>
        </w:rPr>
        <w:t xml:space="preserve"> </w:t>
      </w:r>
      <w:r>
        <w:rPr>
          <w:color w:val="000000"/>
          <w:lang w:eastAsia="zh-CN"/>
        </w:rPr>
        <w:t>the then Secretary of State for the Home Department</w:t>
      </w:r>
      <w:r w:rsidR="00D2165E">
        <w:rPr>
          <w:color w:val="000000"/>
          <w:lang w:eastAsia="zh-CN"/>
        </w:rPr>
        <w:t xml:space="preserve"> </w:t>
      </w:r>
      <w:r>
        <w:rPr>
          <w:color w:val="000000"/>
          <w:lang w:eastAsia="zh-CN"/>
        </w:rPr>
        <w:t xml:space="preserve">to accede to the request for MLA from the United States in respect of Mr El Sheikh </w:t>
      </w:r>
      <w:r w:rsidR="00EA56EA">
        <w:rPr>
          <w:color w:val="000000"/>
          <w:lang w:eastAsia="zh-CN"/>
        </w:rPr>
        <w:t xml:space="preserve">and others, </w:t>
      </w:r>
      <w:r w:rsidR="00EA56EA" w:rsidRPr="00261FB4">
        <w:rPr>
          <w:i/>
          <w:iCs/>
          <w:color w:val="000000"/>
          <w:lang w:eastAsia="zh-CN"/>
        </w:rPr>
        <w:t>without seeking a full death penalty assurance</w:t>
      </w:r>
      <w:r w:rsidR="00EA56EA">
        <w:rPr>
          <w:color w:val="000000"/>
          <w:lang w:eastAsia="zh-CN"/>
        </w:rPr>
        <w:t xml:space="preserve">. The </w:t>
      </w:r>
      <w:r w:rsidR="00D2165E">
        <w:rPr>
          <w:color w:val="000000"/>
          <w:lang w:eastAsia="zh-CN"/>
        </w:rPr>
        <w:t xml:space="preserve">relevant </w:t>
      </w:r>
      <w:r w:rsidR="00EA56EA">
        <w:rPr>
          <w:color w:val="000000"/>
          <w:lang w:eastAsia="zh-CN"/>
        </w:rPr>
        <w:t xml:space="preserve">request for MLA had been made </w:t>
      </w:r>
      <w:r w:rsidR="00BC6C93">
        <w:rPr>
          <w:color w:val="000000"/>
          <w:lang w:eastAsia="zh-CN"/>
        </w:rPr>
        <w:t xml:space="preserve">in </w:t>
      </w:r>
      <w:r w:rsidR="00EA56EA">
        <w:rPr>
          <w:color w:val="000000"/>
          <w:lang w:eastAsia="zh-CN"/>
        </w:rPr>
        <w:t xml:space="preserve">June 2015 </w:t>
      </w:r>
      <w:r w:rsidR="00D2165E">
        <w:rPr>
          <w:color w:val="000000"/>
          <w:lang w:eastAsia="zh-CN"/>
        </w:rPr>
        <w:t xml:space="preserve">by the United States in connection with its ongoing criminal investigation into the commission by Mr El Sheikh and others of the offences of murder, conspiracy to murder and hostage-taking resulting in death. </w:t>
      </w:r>
      <w:r w:rsidR="006C59CD">
        <w:rPr>
          <w:color w:val="000000"/>
          <w:lang w:eastAsia="zh-CN"/>
        </w:rPr>
        <w:t xml:space="preserve">The request </w:t>
      </w:r>
      <w:r w:rsidR="00D2165E">
        <w:rPr>
          <w:color w:val="000000"/>
          <w:lang w:eastAsia="zh-CN"/>
        </w:rPr>
        <w:t xml:space="preserve">had been made </w:t>
      </w:r>
      <w:r w:rsidR="00EA56EA">
        <w:rPr>
          <w:color w:val="000000"/>
          <w:lang w:eastAsia="zh-CN"/>
        </w:rPr>
        <w:t xml:space="preserve">under the </w:t>
      </w:r>
      <w:r w:rsidR="00883F38">
        <w:rPr>
          <w:color w:val="000000"/>
          <w:lang w:eastAsia="zh-CN"/>
        </w:rPr>
        <w:t>Treaty between the Government of the United States of America and the Government of the United Kingdom of Great Britain and Northern Ireland on Mutual Legal Assistance in Criminal Matters</w:t>
      </w:r>
      <w:r w:rsidR="00274755">
        <w:rPr>
          <w:rStyle w:val="FootnoteReference"/>
          <w:color w:val="000000"/>
          <w:lang w:eastAsia="zh-CN"/>
        </w:rPr>
        <w:footnoteReference w:id="1"/>
      </w:r>
      <w:r w:rsidR="00274755">
        <w:rPr>
          <w:color w:val="000000"/>
          <w:lang w:eastAsia="zh-CN"/>
        </w:rPr>
        <w:t xml:space="preserve"> </w:t>
      </w:r>
      <w:r w:rsidR="00883F38">
        <w:rPr>
          <w:color w:val="000000"/>
          <w:lang w:eastAsia="zh-CN"/>
        </w:rPr>
        <w:t>(the UK</w:t>
      </w:r>
      <w:r w:rsidR="00EA56EA">
        <w:rPr>
          <w:color w:val="000000"/>
          <w:lang w:eastAsia="zh-CN"/>
        </w:rPr>
        <w:t>-US MLA Treaty</w:t>
      </w:r>
      <w:r w:rsidR="00883F38">
        <w:rPr>
          <w:color w:val="000000"/>
          <w:lang w:eastAsia="zh-CN"/>
        </w:rPr>
        <w:t>)</w:t>
      </w:r>
      <w:r w:rsidR="00D2165E">
        <w:rPr>
          <w:color w:val="000000"/>
          <w:lang w:eastAsia="zh-CN"/>
        </w:rPr>
        <w:t>.</w:t>
      </w:r>
      <w:r w:rsidR="00EA56EA">
        <w:rPr>
          <w:color w:val="000000"/>
          <w:lang w:eastAsia="zh-CN"/>
        </w:rPr>
        <w:t xml:space="preserve"> </w:t>
      </w:r>
    </w:p>
    <w:p w14:paraId="35C8F9B6" w14:textId="123E9108" w:rsidR="00664734" w:rsidRPr="002A6256" w:rsidRDefault="00131A50" w:rsidP="006D28AA">
      <w:pPr>
        <w:numPr>
          <w:ilvl w:val="0"/>
          <w:numId w:val="1"/>
        </w:numPr>
        <w:suppressAutoHyphens/>
        <w:spacing w:before="240" w:after="240"/>
        <w:jc w:val="both"/>
        <w:outlineLvl w:val="0"/>
        <w:rPr>
          <w:color w:val="000000"/>
          <w:lang w:eastAsia="en-GB"/>
        </w:rPr>
      </w:pPr>
      <w:r>
        <w:rPr>
          <w:color w:val="000000"/>
          <w:lang w:eastAsia="zh-CN"/>
        </w:rPr>
        <w:t xml:space="preserve">In agreement with the Divisional Court, </w:t>
      </w:r>
      <w:r>
        <w:rPr>
          <w:lang w:eastAsia="zh-CN"/>
        </w:rPr>
        <w:t>t</w:t>
      </w:r>
      <w:r w:rsidR="000D1FE5" w:rsidRPr="002A6256">
        <w:rPr>
          <w:lang w:eastAsia="zh-CN"/>
        </w:rPr>
        <w:t xml:space="preserve">he Supreme Court held </w:t>
      </w:r>
      <w:r>
        <w:rPr>
          <w:lang w:eastAsia="zh-CN"/>
        </w:rPr>
        <w:t xml:space="preserve">by a majority </w:t>
      </w:r>
      <w:r w:rsidR="00535F26">
        <w:rPr>
          <w:lang w:eastAsia="zh-CN"/>
        </w:rPr>
        <w:t>(</w:t>
      </w:r>
      <w:r w:rsidR="00535F26" w:rsidRPr="00FE35D7">
        <w:rPr>
          <w:color w:val="000000"/>
          <w:lang w:eastAsia="zh-CN"/>
        </w:rPr>
        <w:t>Lady Hale</w:t>
      </w:r>
      <w:r w:rsidR="00535F26">
        <w:rPr>
          <w:color w:val="000000"/>
          <w:lang w:eastAsia="zh-CN"/>
        </w:rPr>
        <w:t>,</w:t>
      </w:r>
      <w:r w:rsidR="00535F26" w:rsidRPr="00FE35D7">
        <w:rPr>
          <w:color w:val="000000"/>
          <w:lang w:eastAsia="zh-CN"/>
        </w:rPr>
        <w:t xml:space="preserve"> Lord Reed</w:t>
      </w:r>
      <w:r w:rsidR="001939D3">
        <w:rPr>
          <w:color w:val="000000"/>
          <w:lang w:eastAsia="zh-CN"/>
        </w:rPr>
        <w:t>,</w:t>
      </w:r>
      <w:r w:rsidR="00535F26" w:rsidRPr="00FE35D7">
        <w:rPr>
          <w:color w:val="000000"/>
          <w:lang w:eastAsia="zh-CN"/>
        </w:rPr>
        <w:t xml:space="preserve"> Lord Carnwath</w:t>
      </w:r>
      <w:r w:rsidR="00535F26">
        <w:rPr>
          <w:color w:val="000000"/>
          <w:lang w:eastAsia="zh-CN"/>
        </w:rPr>
        <w:t>,</w:t>
      </w:r>
      <w:r w:rsidR="00535F26" w:rsidRPr="00FE35D7">
        <w:rPr>
          <w:color w:val="000000"/>
          <w:lang w:eastAsia="zh-CN"/>
        </w:rPr>
        <w:t xml:space="preserve"> Lord Hodge</w:t>
      </w:r>
      <w:r w:rsidR="00535F26">
        <w:rPr>
          <w:color w:val="000000"/>
          <w:lang w:eastAsia="zh-CN"/>
        </w:rPr>
        <w:t>,</w:t>
      </w:r>
      <w:r w:rsidR="00535F26" w:rsidRPr="00FE35D7">
        <w:rPr>
          <w:color w:val="000000"/>
          <w:lang w:eastAsia="zh-CN"/>
        </w:rPr>
        <w:t xml:space="preserve"> Lady Black</w:t>
      </w:r>
      <w:r w:rsidR="00535F26">
        <w:rPr>
          <w:color w:val="000000"/>
          <w:lang w:eastAsia="zh-CN"/>
        </w:rPr>
        <w:t xml:space="preserve"> and</w:t>
      </w:r>
      <w:r w:rsidR="00535F26" w:rsidRPr="00FE35D7">
        <w:rPr>
          <w:color w:val="000000"/>
          <w:lang w:eastAsia="zh-CN"/>
        </w:rPr>
        <w:t xml:space="preserve"> Lord Lloyd-Jones</w:t>
      </w:r>
      <w:r w:rsidR="00535F26">
        <w:rPr>
          <w:lang w:eastAsia="zh-CN"/>
        </w:rPr>
        <w:t xml:space="preserve">; </w:t>
      </w:r>
      <w:r w:rsidR="00065F88">
        <w:rPr>
          <w:lang w:eastAsia="zh-CN"/>
        </w:rPr>
        <w:t xml:space="preserve">Lord Kerr dissenting) </w:t>
      </w:r>
      <w:r w:rsidR="000D1FE5" w:rsidRPr="002A6256">
        <w:rPr>
          <w:lang w:eastAsia="zh-CN"/>
        </w:rPr>
        <w:t xml:space="preserve">that it had not been unlawful </w:t>
      </w:r>
      <w:r w:rsidR="0040176B" w:rsidRPr="002A6256">
        <w:rPr>
          <w:lang w:eastAsia="zh-CN"/>
        </w:rPr>
        <w:t xml:space="preserve">in principle </w:t>
      </w:r>
      <w:r w:rsidR="000D1FE5" w:rsidRPr="002A6256">
        <w:rPr>
          <w:lang w:eastAsia="zh-CN"/>
        </w:rPr>
        <w:t xml:space="preserve">for the Secretary of State to authorise disclosure of material to the US Government to assist </w:t>
      </w:r>
      <w:r w:rsidR="0024105A" w:rsidRPr="002A6256">
        <w:rPr>
          <w:lang w:eastAsia="zh-CN"/>
        </w:rPr>
        <w:t xml:space="preserve">a United States </w:t>
      </w:r>
      <w:r w:rsidR="000D1FE5" w:rsidRPr="002A6256">
        <w:rPr>
          <w:lang w:eastAsia="zh-CN"/>
        </w:rPr>
        <w:t xml:space="preserve">criminal investigation </w:t>
      </w:r>
      <w:r w:rsidR="00DE0500" w:rsidRPr="002A6256">
        <w:rPr>
          <w:lang w:eastAsia="zh-CN"/>
        </w:rPr>
        <w:t xml:space="preserve">and </w:t>
      </w:r>
      <w:r w:rsidR="000D1FE5" w:rsidRPr="002A6256">
        <w:rPr>
          <w:lang w:eastAsia="zh-CN"/>
        </w:rPr>
        <w:t>prosecution</w:t>
      </w:r>
      <w:r w:rsidR="003B3B51" w:rsidRPr="002A6256">
        <w:rPr>
          <w:lang w:eastAsia="zh-CN"/>
        </w:rPr>
        <w:t xml:space="preserve"> </w:t>
      </w:r>
      <w:r w:rsidR="000D1FE5" w:rsidRPr="002A6256">
        <w:rPr>
          <w:lang w:eastAsia="zh-CN"/>
        </w:rPr>
        <w:t xml:space="preserve">of Mr El Sheikh for terrorist offences </w:t>
      </w:r>
      <w:r w:rsidR="004D3D54" w:rsidRPr="002A6256">
        <w:rPr>
          <w:lang w:eastAsia="zh-CN"/>
        </w:rPr>
        <w:t xml:space="preserve">committed </w:t>
      </w:r>
      <w:r w:rsidR="000D1FE5" w:rsidRPr="002A6256">
        <w:rPr>
          <w:lang w:eastAsia="zh-CN"/>
        </w:rPr>
        <w:t xml:space="preserve">in </w:t>
      </w:r>
      <w:r w:rsidR="002821DB">
        <w:rPr>
          <w:lang w:eastAsia="zh-CN"/>
        </w:rPr>
        <w:t xml:space="preserve">Syria </w:t>
      </w:r>
      <w:r w:rsidR="000D1FE5" w:rsidRPr="002A6256">
        <w:rPr>
          <w:lang w:eastAsia="zh-CN"/>
        </w:rPr>
        <w:t xml:space="preserve">which could carry the death penalty in the United States.  However, </w:t>
      </w:r>
      <w:r w:rsidR="00065F88">
        <w:rPr>
          <w:lang w:eastAsia="zh-CN"/>
        </w:rPr>
        <w:t xml:space="preserve">in disagreement with the Divisional Court, </w:t>
      </w:r>
      <w:r w:rsidR="000D1FE5" w:rsidRPr="002A6256">
        <w:rPr>
          <w:lang w:eastAsia="zh-CN"/>
        </w:rPr>
        <w:t xml:space="preserve">the </w:t>
      </w:r>
      <w:r w:rsidR="00D2165E">
        <w:rPr>
          <w:lang w:eastAsia="zh-CN"/>
        </w:rPr>
        <w:t xml:space="preserve">Supreme </w:t>
      </w:r>
      <w:r w:rsidR="000D1FE5" w:rsidRPr="002A6256">
        <w:rPr>
          <w:lang w:eastAsia="zh-CN"/>
        </w:rPr>
        <w:t xml:space="preserve">Court held </w:t>
      </w:r>
      <w:r w:rsidR="00065F88">
        <w:rPr>
          <w:lang w:eastAsia="zh-CN"/>
        </w:rPr>
        <w:t xml:space="preserve">unanimously </w:t>
      </w:r>
      <w:r w:rsidR="000D1FE5" w:rsidRPr="002A6256">
        <w:rPr>
          <w:lang w:eastAsia="zh-CN"/>
        </w:rPr>
        <w:t>that the Secretary of State</w:t>
      </w:r>
      <w:r w:rsidR="00B033CF" w:rsidRPr="002A6256">
        <w:rPr>
          <w:lang w:eastAsia="zh-CN"/>
        </w:rPr>
        <w:t xml:space="preserve">’s decision </w:t>
      </w:r>
      <w:r w:rsidR="000D1FE5" w:rsidRPr="002A6256">
        <w:rPr>
          <w:lang w:eastAsia="zh-CN"/>
        </w:rPr>
        <w:t>did not me</w:t>
      </w:r>
      <w:r w:rsidR="00611697">
        <w:rPr>
          <w:lang w:eastAsia="zh-CN"/>
        </w:rPr>
        <w:t>e</w:t>
      </w:r>
      <w:r w:rsidR="000D1FE5" w:rsidRPr="002A6256">
        <w:rPr>
          <w:lang w:eastAsia="zh-CN"/>
        </w:rPr>
        <w:t xml:space="preserve">t the requirements for the transfer of personal data to a third country set out in section 73 of the DPA.  </w:t>
      </w:r>
    </w:p>
    <w:p w14:paraId="3A56BE9F" w14:textId="7476DECD" w:rsidR="000D1FE5" w:rsidRPr="002A6256" w:rsidRDefault="000D1FE5" w:rsidP="006D28AA">
      <w:pPr>
        <w:numPr>
          <w:ilvl w:val="0"/>
          <w:numId w:val="1"/>
        </w:numPr>
        <w:suppressAutoHyphens/>
        <w:spacing w:before="240" w:after="240"/>
        <w:jc w:val="both"/>
        <w:outlineLvl w:val="0"/>
        <w:rPr>
          <w:color w:val="000000"/>
          <w:lang w:eastAsia="en-GB"/>
        </w:rPr>
      </w:pPr>
      <w:r w:rsidRPr="002A6256">
        <w:rPr>
          <w:lang w:eastAsia="zh-CN"/>
        </w:rPr>
        <w:t xml:space="preserve">The historical context to the present </w:t>
      </w:r>
      <w:r w:rsidR="00167A3E">
        <w:rPr>
          <w:lang w:eastAsia="zh-CN"/>
        </w:rPr>
        <w:t xml:space="preserve">claim </w:t>
      </w:r>
      <w:r w:rsidRPr="002A6256">
        <w:rPr>
          <w:lang w:eastAsia="zh-CN"/>
        </w:rPr>
        <w:t xml:space="preserve">is provided in the judgments of the Supreme Court and it is not necessary to repeat that detail here.  It is, however, necessary to set out </w:t>
      </w:r>
      <w:r w:rsidR="00167A3E">
        <w:rPr>
          <w:lang w:eastAsia="zh-CN"/>
        </w:rPr>
        <w:t xml:space="preserve">some of </w:t>
      </w:r>
      <w:r w:rsidRPr="002A6256">
        <w:rPr>
          <w:lang w:eastAsia="zh-CN"/>
        </w:rPr>
        <w:t xml:space="preserve">what happened </w:t>
      </w:r>
      <w:r w:rsidR="00167A3E">
        <w:rPr>
          <w:lang w:eastAsia="zh-CN"/>
        </w:rPr>
        <w:t xml:space="preserve">during </w:t>
      </w:r>
      <w:r w:rsidR="00535F26">
        <w:rPr>
          <w:lang w:eastAsia="zh-CN"/>
        </w:rPr>
        <w:t>the course of</w:t>
      </w:r>
      <w:r w:rsidR="00884063">
        <w:rPr>
          <w:lang w:eastAsia="zh-CN"/>
        </w:rPr>
        <w:t xml:space="preserve">, </w:t>
      </w:r>
      <w:r w:rsidR="00167A3E">
        <w:rPr>
          <w:lang w:eastAsia="zh-CN"/>
        </w:rPr>
        <w:t>and after</w:t>
      </w:r>
      <w:r w:rsidR="002A020C">
        <w:rPr>
          <w:lang w:eastAsia="zh-CN"/>
        </w:rPr>
        <w:t>,</w:t>
      </w:r>
      <w:r w:rsidR="00167A3E">
        <w:rPr>
          <w:lang w:eastAsia="zh-CN"/>
        </w:rPr>
        <w:t xml:space="preserve"> </w:t>
      </w:r>
      <w:r w:rsidR="00C5078D" w:rsidRPr="002A6256">
        <w:rPr>
          <w:lang w:eastAsia="zh-CN"/>
        </w:rPr>
        <w:t xml:space="preserve">that </w:t>
      </w:r>
      <w:r w:rsidR="00167A3E">
        <w:rPr>
          <w:lang w:eastAsia="zh-CN"/>
        </w:rPr>
        <w:t xml:space="preserve">earlier </w:t>
      </w:r>
      <w:r w:rsidRPr="002A6256">
        <w:rPr>
          <w:lang w:eastAsia="zh-CN"/>
        </w:rPr>
        <w:t xml:space="preserve">litigation.  </w:t>
      </w:r>
    </w:p>
    <w:p w14:paraId="2CDBAA63" w14:textId="5497CBBC" w:rsidR="000D1FE5" w:rsidRPr="002A6256" w:rsidRDefault="000D1FE5" w:rsidP="006D28AA">
      <w:pPr>
        <w:numPr>
          <w:ilvl w:val="0"/>
          <w:numId w:val="1"/>
        </w:numPr>
        <w:suppressAutoHyphens/>
        <w:spacing w:before="240" w:after="240"/>
        <w:jc w:val="both"/>
        <w:outlineLvl w:val="0"/>
        <w:rPr>
          <w:color w:val="000000"/>
          <w:lang w:eastAsia="en-GB"/>
        </w:rPr>
      </w:pPr>
      <w:r w:rsidRPr="002A6256">
        <w:rPr>
          <w:lang w:eastAsia="zh-CN"/>
        </w:rPr>
        <w:t xml:space="preserve">At the time the case was last before this Court, Mr El Sheikh was being held by Kurdish forces in </w:t>
      </w:r>
      <w:r w:rsidR="002A23A3">
        <w:rPr>
          <w:lang w:eastAsia="zh-CN"/>
        </w:rPr>
        <w:t>Syria</w:t>
      </w:r>
      <w:r w:rsidR="00884063">
        <w:rPr>
          <w:lang w:eastAsia="zh-CN"/>
        </w:rPr>
        <w:t xml:space="preserve"> </w:t>
      </w:r>
      <w:r w:rsidR="00274755">
        <w:rPr>
          <w:lang w:eastAsia="zh-CN"/>
        </w:rPr>
        <w:t xml:space="preserve">together with </w:t>
      </w:r>
      <w:r w:rsidR="00B30E92">
        <w:rPr>
          <w:lang w:eastAsia="zh-CN"/>
        </w:rPr>
        <w:t xml:space="preserve">Alexanda </w:t>
      </w:r>
      <w:r w:rsidR="00884063">
        <w:rPr>
          <w:lang w:eastAsia="zh-CN"/>
        </w:rPr>
        <w:t xml:space="preserve">Kotey, </w:t>
      </w:r>
      <w:r w:rsidR="00274755">
        <w:rPr>
          <w:lang w:eastAsia="zh-CN"/>
        </w:rPr>
        <w:t xml:space="preserve">another member of the </w:t>
      </w:r>
      <w:r w:rsidR="00F05C9C">
        <w:rPr>
          <w:lang w:eastAsia="zh-CN"/>
        </w:rPr>
        <w:t>‘</w:t>
      </w:r>
      <w:r w:rsidR="00274755">
        <w:rPr>
          <w:lang w:eastAsia="zh-CN"/>
        </w:rPr>
        <w:t>Beatles</w:t>
      </w:r>
      <w:r w:rsidR="00F05C9C">
        <w:rPr>
          <w:lang w:eastAsia="zh-CN"/>
        </w:rPr>
        <w:t>’.</w:t>
      </w:r>
      <w:r w:rsidRPr="002A6256">
        <w:rPr>
          <w:lang w:eastAsia="zh-CN"/>
        </w:rPr>
        <w:t xml:space="preserve">  It was the</w:t>
      </w:r>
      <w:r w:rsidR="007416EE" w:rsidRPr="002A6256">
        <w:rPr>
          <w:lang w:eastAsia="zh-CN"/>
        </w:rPr>
        <w:t xml:space="preserve"> </w:t>
      </w:r>
      <w:r w:rsidRPr="002A6256">
        <w:rPr>
          <w:lang w:eastAsia="zh-CN"/>
        </w:rPr>
        <w:t xml:space="preserve">view of the </w:t>
      </w:r>
      <w:r w:rsidR="000E0EDE">
        <w:rPr>
          <w:lang w:eastAsia="zh-CN"/>
        </w:rPr>
        <w:t xml:space="preserve">CPS </w:t>
      </w:r>
      <w:r w:rsidRPr="002A6256">
        <w:rPr>
          <w:lang w:eastAsia="zh-CN"/>
        </w:rPr>
        <w:t xml:space="preserve">at that time that </w:t>
      </w:r>
      <w:r w:rsidR="002821DB" w:rsidRPr="002D1644">
        <w:rPr>
          <w:lang w:val="en-US"/>
        </w:rPr>
        <w:t>there was insufficient evidence to prosecute Mr El Sheikh in the United Kingdom and</w:t>
      </w:r>
      <w:r w:rsidR="002821DB" w:rsidRPr="002D1644">
        <w:t xml:space="preserve"> </w:t>
      </w:r>
      <w:r w:rsidRPr="002D1644">
        <w:rPr>
          <w:lang w:eastAsia="zh-CN"/>
        </w:rPr>
        <w:t xml:space="preserve">it would not be possible lawfully for the British </w:t>
      </w:r>
      <w:r w:rsidR="00664734" w:rsidRPr="002D1644">
        <w:rPr>
          <w:lang w:eastAsia="zh-CN"/>
        </w:rPr>
        <w:t>au</w:t>
      </w:r>
      <w:r w:rsidRPr="002D1644">
        <w:rPr>
          <w:lang w:eastAsia="zh-CN"/>
        </w:rPr>
        <w:t>thorities to secure Mr El She</w:t>
      </w:r>
      <w:r w:rsidRPr="002A6256">
        <w:rPr>
          <w:lang w:eastAsia="zh-CN"/>
        </w:rPr>
        <w:t xml:space="preserve">ikh’s return to the United Kingdom to face prosecution.  However, </w:t>
      </w:r>
      <w:r w:rsidR="00745647" w:rsidRPr="002A6256">
        <w:rPr>
          <w:lang w:eastAsia="en-GB"/>
        </w:rPr>
        <w:t>on 15 October 2019</w:t>
      </w:r>
      <w:r w:rsidRPr="002A6256">
        <w:rPr>
          <w:lang w:eastAsia="zh-CN"/>
        </w:rPr>
        <w:t>, the US authorities obtained custody of Mr El Sheikh</w:t>
      </w:r>
      <w:r w:rsidR="000A12E2">
        <w:rPr>
          <w:lang w:eastAsia="zh-CN"/>
        </w:rPr>
        <w:t xml:space="preserve">.  </w:t>
      </w:r>
      <w:r w:rsidR="006C59CD">
        <w:rPr>
          <w:lang w:eastAsia="zh-CN"/>
        </w:rPr>
        <w:t>H</w:t>
      </w:r>
      <w:r w:rsidR="000A12E2">
        <w:rPr>
          <w:lang w:eastAsia="zh-CN"/>
        </w:rPr>
        <w:t>e</w:t>
      </w:r>
      <w:r w:rsidRPr="002A6256">
        <w:rPr>
          <w:lang w:eastAsia="zh-CN"/>
        </w:rPr>
        <w:t xml:space="preserve"> remains in their custody</w:t>
      </w:r>
      <w:r w:rsidR="00884063">
        <w:rPr>
          <w:lang w:eastAsia="zh-CN"/>
        </w:rPr>
        <w:t xml:space="preserve"> to this day</w:t>
      </w:r>
      <w:r w:rsidR="006C59CD">
        <w:rPr>
          <w:lang w:eastAsia="zh-CN"/>
        </w:rPr>
        <w:t>.</w:t>
      </w:r>
    </w:p>
    <w:p w14:paraId="02245C87" w14:textId="62CC2311" w:rsidR="000D1FE5" w:rsidRPr="002A6256" w:rsidRDefault="000D1FE5" w:rsidP="006D28AA">
      <w:pPr>
        <w:numPr>
          <w:ilvl w:val="0"/>
          <w:numId w:val="1"/>
        </w:numPr>
        <w:suppressAutoHyphens/>
        <w:spacing w:before="240" w:after="240"/>
        <w:jc w:val="both"/>
        <w:outlineLvl w:val="0"/>
        <w:rPr>
          <w:color w:val="000000"/>
          <w:lang w:eastAsia="en-GB"/>
        </w:rPr>
      </w:pPr>
      <w:r w:rsidRPr="002A6256">
        <w:rPr>
          <w:lang w:eastAsia="zh-CN"/>
        </w:rPr>
        <w:t xml:space="preserve">On 3 June 2019, Ms Elgizouli commenced proceedings </w:t>
      </w:r>
      <w:r w:rsidRPr="000A12E2">
        <w:rPr>
          <w:color w:val="000000" w:themeColor="text1"/>
          <w:lang w:eastAsia="zh-CN"/>
        </w:rPr>
        <w:t>against the Director of Public Prosecutions (</w:t>
      </w:r>
      <w:r w:rsidR="0064601E" w:rsidRPr="000A12E2">
        <w:rPr>
          <w:color w:val="000000" w:themeColor="text1"/>
          <w:lang w:eastAsia="zh-CN"/>
        </w:rPr>
        <w:t xml:space="preserve">the </w:t>
      </w:r>
      <w:r w:rsidRPr="000A12E2">
        <w:rPr>
          <w:color w:val="000000" w:themeColor="text1"/>
          <w:lang w:eastAsia="zh-CN"/>
        </w:rPr>
        <w:t xml:space="preserve">DPP) by which she sought judicial review of his refusal to conduct what is called a “Full Code Test review” </w:t>
      </w:r>
      <w:r w:rsidR="00EC1CDF" w:rsidRPr="000A12E2">
        <w:rPr>
          <w:color w:val="000000" w:themeColor="text1"/>
          <w:lang w:eastAsia="zh-CN"/>
        </w:rPr>
        <w:t>in respect of</w:t>
      </w:r>
      <w:r w:rsidRPr="000A12E2">
        <w:rPr>
          <w:color w:val="000000" w:themeColor="text1"/>
          <w:lang w:eastAsia="zh-CN"/>
        </w:rPr>
        <w:t xml:space="preserve"> Mr El </w:t>
      </w:r>
      <w:r w:rsidRPr="002A6256">
        <w:rPr>
          <w:lang w:eastAsia="zh-CN"/>
        </w:rPr>
        <w:t>Sheikh.  On 18 November 2019, those judicial review proceedings were compromised.  The recitals to the order that followed</w:t>
      </w:r>
      <w:r w:rsidR="006F09FC" w:rsidRPr="002A6256">
        <w:rPr>
          <w:lang w:eastAsia="zh-CN"/>
        </w:rPr>
        <w:t xml:space="preserve"> </w:t>
      </w:r>
      <w:r w:rsidRPr="002A6256">
        <w:rPr>
          <w:lang w:eastAsia="zh-CN"/>
        </w:rPr>
        <w:t xml:space="preserve">recorded that it was made “upon the Defendant undertaking a Full Code Test review of whether there was sufficient evidence to prosecute Shafee El Sheikh in </w:t>
      </w:r>
      <w:r w:rsidRPr="002A6256">
        <w:rPr>
          <w:lang w:eastAsia="zh-CN"/>
        </w:rPr>
        <w:lastRenderedPageBreak/>
        <w:t xml:space="preserve">England”.  It was agreed that in those circumstances, the proceedings against the DPP </w:t>
      </w:r>
      <w:r w:rsidR="004F67C1" w:rsidRPr="002A6256">
        <w:rPr>
          <w:lang w:eastAsia="zh-CN"/>
        </w:rPr>
        <w:t>were</w:t>
      </w:r>
      <w:r w:rsidRPr="002A6256">
        <w:rPr>
          <w:lang w:eastAsia="zh-CN"/>
        </w:rPr>
        <w:t xml:space="preserve"> academic.  </w:t>
      </w:r>
    </w:p>
    <w:p w14:paraId="47FE623C" w14:textId="36F270DA" w:rsidR="000D1FE5" w:rsidRPr="002A6256" w:rsidRDefault="000D1FE5" w:rsidP="006D28AA">
      <w:pPr>
        <w:numPr>
          <w:ilvl w:val="0"/>
          <w:numId w:val="1"/>
        </w:numPr>
        <w:suppressAutoHyphens/>
        <w:spacing w:before="240" w:after="240"/>
        <w:jc w:val="both"/>
        <w:outlineLvl w:val="0"/>
        <w:rPr>
          <w:color w:val="000000"/>
          <w:lang w:eastAsia="en-GB"/>
        </w:rPr>
      </w:pPr>
      <w:r w:rsidRPr="002A6256">
        <w:rPr>
          <w:lang w:eastAsia="zh-CN"/>
        </w:rPr>
        <w:t xml:space="preserve">On 18 August 2020, the US Attorney General, Mr William Barr, wrote to the </w:t>
      </w:r>
      <w:r w:rsidR="002A3527" w:rsidRPr="002A6256">
        <w:rPr>
          <w:lang w:eastAsia="zh-CN"/>
        </w:rPr>
        <w:t>Secretary of State</w:t>
      </w:r>
      <w:r w:rsidRPr="002A6256">
        <w:rPr>
          <w:lang w:eastAsia="zh-CN"/>
        </w:rPr>
        <w:t>.  That letter included the following:</w:t>
      </w:r>
    </w:p>
    <w:p w14:paraId="23A2A562" w14:textId="1F6DC145" w:rsidR="000D1FE5" w:rsidRPr="000A12E2" w:rsidRDefault="00FE35D7" w:rsidP="006D28AA">
      <w:pPr>
        <w:spacing w:after="240"/>
        <w:ind w:left="1440" w:right="1440"/>
        <w:jc w:val="both"/>
        <w:rPr>
          <w:color w:val="000000" w:themeColor="text1"/>
          <w:lang w:eastAsia="en-GB"/>
        </w:rPr>
      </w:pPr>
      <w:r>
        <w:rPr>
          <w:color w:val="000000" w:themeColor="text1"/>
          <w:lang w:eastAsia="zh-CN"/>
        </w:rPr>
        <w:t>“</w:t>
      </w:r>
      <w:r w:rsidR="000D1FE5" w:rsidRPr="000A12E2">
        <w:rPr>
          <w:color w:val="000000" w:themeColor="text1"/>
          <w:lang w:eastAsia="zh-CN"/>
        </w:rPr>
        <w:t xml:space="preserve">On behalf </w:t>
      </w:r>
      <w:r w:rsidR="000D1FE5" w:rsidRPr="000A12E2">
        <w:rPr>
          <w:color w:val="000000" w:themeColor="text1"/>
          <w:lang w:eastAsia="en-GB"/>
        </w:rPr>
        <w:t>of the United States Department of Justice, I am writing to provide an assurance</w:t>
      </w:r>
      <w:r w:rsidR="003361BB" w:rsidRPr="000A12E2">
        <w:rPr>
          <w:color w:val="000000" w:themeColor="text1"/>
          <w:lang w:eastAsia="en-GB"/>
        </w:rPr>
        <w:t xml:space="preserve"> </w:t>
      </w:r>
      <w:r w:rsidR="000D1FE5" w:rsidRPr="000A12E2">
        <w:rPr>
          <w:color w:val="000000" w:themeColor="text1"/>
          <w:lang w:eastAsia="en-GB"/>
        </w:rPr>
        <w:t>that, if the United Kingdom grants our mutual legal assistance request, the United States</w:t>
      </w:r>
      <w:r w:rsidR="003361BB" w:rsidRPr="000A12E2">
        <w:rPr>
          <w:color w:val="000000" w:themeColor="text1"/>
          <w:lang w:eastAsia="en-GB"/>
        </w:rPr>
        <w:t xml:space="preserve"> </w:t>
      </w:r>
      <w:r w:rsidR="000D1FE5" w:rsidRPr="000A12E2">
        <w:rPr>
          <w:color w:val="000000" w:themeColor="text1"/>
          <w:lang w:eastAsia="en-GB"/>
        </w:rPr>
        <w:t>will not seek the death penalty in any prosecutions it might bring against Alexanda Kotey</w:t>
      </w:r>
      <w:r w:rsidR="00C855BB" w:rsidRPr="000A12E2">
        <w:rPr>
          <w:color w:val="000000" w:themeColor="text1"/>
          <w:lang w:eastAsia="en-GB"/>
        </w:rPr>
        <w:t>…or</w:t>
      </w:r>
      <w:r w:rsidR="000D1FE5" w:rsidRPr="000A12E2">
        <w:rPr>
          <w:color w:val="000000" w:themeColor="text1"/>
          <w:lang w:eastAsia="en-GB"/>
        </w:rPr>
        <w:t xml:space="preserve"> Shafee Elsheikh</w:t>
      </w:r>
      <w:r w:rsidR="00635360" w:rsidRPr="000A12E2">
        <w:rPr>
          <w:color w:val="000000" w:themeColor="text1"/>
          <w:lang w:eastAsia="en-GB"/>
        </w:rPr>
        <w:t>, and</w:t>
      </w:r>
      <w:r w:rsidR="000D1FE5" w:rsidRPr="000A12E2">
        <w:rPr>
          <w:color w:val="000000" w:themeColor="text1"/>
          <w:lang w:eastAsia="en-GB"/>
        </w:rPr>
        <w:t xml:space="preserve"> if imposed, the death penalty will not be carried out…</w:t>
      </w:r>
    </w:p>
    <w:p w14:paraId="31AF5BB9" w14:textId="49737B6E" w:rsidR="000D1FE5" w:rsidRPr="000A12E2" w:rsidRDefault="009447F2" w:rsidP="006D28AA">
      <w:pPr>
        <w:spacing w:after="240"/>
        <w:ind w:left="1440" w:right="1440"/>
        <w:jc w:val="both"/>
        <w:rPr>
          <w:color w:val="000000" w:themeColor="text1"/>
          <w:lang w:eastAsia="en-GB"/>
        </w:rPr>
      </w:pPr>
      <w:r w:rsidRPr="000A12E2">
        <w:rPr>
          <w:color w:val="000000" w:themeColor="text1"/>
          <w:lang w:eastAsia="en-GB"/>
        </w:rPr>
        <w:t>I</w:t>
      </w:r>
      <w:r w:rsidR="000D1FE5" w:rsidRPr="000A12E2">
        <w:rPr>
          <w:color w:val="000000" w:themeColor="text1"/>
          <w:lang w:eastAsia="en-GB"/>
        </w:rPr>
        <w:t>f a new prosecution is to go forward in the United States, our prosecutors should have the important evidence we have requested from the United Kingdom available to them in their efforts to hold Kotey and E</w:t>
      </w:r>
      <w:r w:rsidRPr="000A12E2">
        <w:rPr>
          <w:color w:val="000000" w:themeColor="text1"/>
          <w:lang w:eastAsia="en-GB"/>
        </w:rPr>
        <w:t>ls</w:t>
      </w:r>
      <w:r w:rsidR="000D1FE5" w:rsidRPr="000A12E2">
        <w:rPr>
          <w:color w:val="000000" w:themeColor="text1"/>
          <w:lang w:eastAsia="en-GB"/>
        </w:rPr>
        <w:t xml:space="preserve">heikh responsible for their terrorist crimes.  If we receive the requested evidence and attendant cooperation from the United Kingdom, we intend to proceed with the United States prosecution.  Indeed, it is these unique circumstances that have led me to provide the assurance offered in this letter.  We would hope and expect that, in light of this assurance, the evidence can and will now be provided promptly.  </w:t>
      </w:r>
    </w:p>
    <w:p w14:paraId="2F5E87BF" w14:textId="5F29957A" w:rsidR="000D1FE5" w:rsidRPr="000A12E2" w:rsidRDefault="000D1FE5" w:rsidP="006D28AA">
      <w:pPr>
        <w:spacing w:after="240"/>
        <w:ind w:left="1440" w:right="1440"/>
        <w:jc w:val="both"/>
        <w:rPr>
          <w:color w:val="000000" w:themeColor="text1"/>
          <w:lang w:eastAsia="en-GB"/>
        </w:rPr>
      </w:pPr>
      <w:r w:rsidRPr="000A12E2">
        <w:rPr>
          <w:color w:val="000000" w:themeColor="text1"/>
          <w:lang w:eastAsia="en-GB"/>
        </w:rPr>
        <w:t>However, time is of the essence.  Further delay is no longer possible if Kotey and Elsheikh are to be tried in the United States, and further delay is an injustice to the families of the victims.  Kotey and Elsheikh are currently held by United State military authorities in an overseas theat</w:t>
      </w:r>
      <w:r w:rsidR="001939D3">
        <w:rPr>
          <w:color w:val="000000" w:themeColor="text1"/>
          <w:lang w:eastAsia="en-GB"/>
        </w:rPr>
        <w:t>er</w:t>
      </w:r>
      <w:r w:rsidRPr="000A12E2">
        <w:rPr>
          <w:color w:val="000000" w:themeColor="text1"/>
          <w:lang w:eastAsia="en-GB"/>
        </w:rPr>
        <w:t xml:space="preserve"> of military operations, and it is not tenable to continue holding them there for an extended period.  Final decisions must be made about this matter.  Accordingly, given these circumstances, it should be clearly understood that the United States will move forward with plans to transfer Kotey and Elsheikh to Iraq for prosecution in the Iraqi justice system unless, by October 15</w:t>
      </w:r>
      <w:r w:rsidR="00EE5C5C" w:rsidRPr="000A12E2">
        <w:rPr>
          <w:color w:val="000000" w:themeColor="text1"/>
          <w:lang w:eastAsia="en-GB"/>
        </w:rPr>
        <w:t xml:space="preserve">, </w:t>
      </w:r>
      <w:r w:rsidRPr="000A12E2">
        <w:rPr>
          <w:color w:val="000000" w:themeColor="text1"/>
          <w:lang w:eastAsia="en-GB"/>
        </w:rPr>
        <w:t xml:space="preserve"> 2020, all litigation in the United Kingdom seeking to prevent the use of United Kingdom evidence in a United States prosecution has been fully and finally resolved, and the United Kingdom has transferred the requested evidence to us, along with a commitment to provide ongoing cooperation with respect to such evidence for the duration of any legal proceedings. </w:t>
      </w:r>
    </w:p>
    <w:p w14:paraId="69ADABA8" w14:textId="5E6FC7FB" w:rsidR="0090213F" w:rsidRPr="000A12E2" w:rsidRDefault="000D1FE5" w:rsidP="006D28AA">
      <w:pPr>
        <w:spacing w:after="240"/>
        <w:ind w:left="1440" w:right="1440"/>
        <w:jc w:val="both"/>
        <w:rPr>
          <w:color w:val="000000" w:themeColor="text1"/>
          <w:lang w:eastAsia="en-GB"/>
        </w:rPr>
      </w:pPr>
      <w:r w:rsidRPr="000A12E2">
        <w:rPr>
          <w:color w:val="000000" w:themeColor="text1"/>
          <w:lang w:eastAsia="en-GB"/>
        </w:rPr>
        <w:t>We also confirm th</w:t>
      </w:r>
      <w:r w:rsidR="00B77C34" w:rsidRPr="000A12E2">
        <w:rPr>
          <w:color w:val="000000" w:themeColor="text1"/>
          <w:lang w:eastAsia="en-GB"/>
        </w:rPr>
        <w:t>at</w:t>
      </w:r>
      <w:r w:rsidRPr="000A12E2">
        <w:rPr>
          <w:color w:val="000000" w:themeColor="text1"/>
          <w:lang w:eastAsia="en-GB"/>
        </w:rPr>
        <w:t xml:space="preserve"> the material already provided by the United Kingdom in response to the mutual legal assistance request will not be used to seek the death penalty in any prosecutions the Un</w:t>
      </w:r>
      <w:r w:rsidR="00BF7E59" w:rsidRPr="000A12E2">
        <w:rPr>
          <w:color w:val="000000" w:themeColor="text1"/>
          <w:lang w:eastAsia="en-GB"/>
        </w:rPr>
        <w:t>it</w:t>
      </w:r>
      <w:r w:rsidRPr="000A12E2">
        <w:rPr>
          <w:color w:val="000000" w:themeColor="text1"/>
          <w:lang w:eastAsia="en-GB"/>
        </w:rPr>
        <w:t>ed States might bring against Kotey or Elsheikh, and if imposed, the death penalty will not be carried out.  Moreover, we will not transfer any evidence already or subsequently provided to us by the United Kingdom to third countries that might impose the dea</w:t>
      </w:r>
      <w:r w:rsidR="000E1C1C" w:rsidRPr="000A12E2">
        <w:rPr>
          <w:color w:val="000000" w:themeColor="text1"/>
          <w:lang w:eastAsia="en-GB"/>
        </w:rPr>
        <w:t>th</w:t>
      </w:r>
      <w:r w:rsidRPr="000A12E2">
        <w:rPr>
          <w:color w:val="000000" w:themeColor="text1"/>
          <w:lang w:eastAsia="en-GB"/>
        </w:rPr>
        <w:t xml:space="preserve"> penalty upon Kotey or Elsheik (and in </w:t>
      </w:r>
      <w:r w:rsidRPr="000A12E2">
        <w:rPr>
          <w:color w:val="000000" w:themeColor="text1"/>
          <w:lang w:eastAsia="en-GB"/>
        </w:rPr>
        <w:lastRenderedPageBreak/>
        <w:t>any event will not transfer any such evidence to any third country without the express permission of the United Kingdom).”</w:t>
      </w:r>
    </w:p>
    <w:p w14:paraId="16429EB3" w14:textId="3CB3F189" w:rsidR="00BD128D" w:rsidRPr="00261FB4" w:rsidRDefault="00BD128D" w:rsidP="006D28AA">
      <w:pPr>
        <w:pStyle w:val="ParaLevel1"/>
        <w:rPr>
          <w:color w:val="000000" w:themeColor="text1"/>
          <w:szCs w:val="24"/>
          <w:lang w:eastAsia="en-GB"/>
        </w:rPr>
      </w:pPr>
      <w:r>
        <w:rPr>
          <w:szCs w:val="24"/>
          <w:lang w:eastAsia="en-GB"/>
        </w:rPr>
        <w:t xml:space="preserve">The US was aware of the nature of the material requested as in February 2018 FBI agents had inspected </w:t>
      </w:r>
      <w:r w:rsidR="00B30E92">
        <w:rPr>
          <w:szCs w:val="24"/>
          <w:lang w:eastAsia="en-GB"/>
        </w:rPr>
        <w:t xml:space="preserve">here </w:t>
      </w:r>
      <w:r>
        <w:rPr>
          <w:szCs w:val="24"/>
          <w:lang w:eastAsia="en-GB"/>
        </w:rPr>
        <w:t xml:space="preserve">the evidence gathered by UK Investigators: see </w:t>
      </w:r>
      <w:r w:rsidRPr="00F9576D">
        <w:rPr>
          <w:i/>
          <w:iCs/>
          <w:szCs w:val="24"/>
          <w:lang w:eastAsia="en-GB"/>
        </w:rPr>
        <w:t>Elg</w:t>
      </w:r>
      <w:r w:rsidR="00754487">
        <w:rPr>
          <w:i/>
          <w:iCs/>
          <w:szCs w:val="24"/>
          <w:lang w:eastAsia="en-GB"/>
        </w:rPr>
        <w:t>i</w:t>
      </w:r>
      <w:r w:rsidRPr="00F9576D">
        <w:rPr>
          <w:i/>
          <w:iCs/>
          <w:szCs w:val="24"/>
          <w:lang w:eastAsia="en-GB"/>
        </w:rPr>
        <w:t>zouli</w:t>
      </w:r>
      <w:r>
        <w:rPr>
          <w:szCs w:val="24"/>
          <w:lang w:eastAsia="en-GB"/>
        </w:rPr>
        <w:t xml:space="preserve"> (HC) para 12. </w:t>
      </w:r>
    </w:p>
    <w:p w14:paraId="30C223FA" w14:textId="3BBE698C" w:rsidR="000D1FE5" w:rsidRPr="00BC6C93" w:rsidRDefault="000D1FE5" w:rsidP="006D28AA">
      <w:pPr>
        <w:pStyle w:val="ParaLevel1"/>
        <w:rPr>
          <w:color w:val="000000" w:themeColor="text1"/>
          <w:szCs w:val="24"/>
          <w:lang w:eastAsia="en-GB"/>
        </w:rPr>
      </w:pPr>
      <w:r w:rsidRPr="00BC6C93">
        <w:rPr>
          <w:szCs w:val="24"/>
          <w:lang w:eastAsia="en-GB"/>
        </w:rPr>
        <w:t xml:space="preserve">On </w:t>
      </w:r>
      <w:r w:rsidRPr="00261FB4">
        <w:rPr>
          <w:szCs w:val="24"/>
          <w:lang w:eastAsia="en-GB"/>
        </w:rPr>
        <w:t>24 August 2020,</w:t>
      </w:r>
      <w:r w:rsidRPr="00BC6C93">
        <w:rPr>
          <w:szCs w:val="24"/>
          <w:lang w:eastAsia="en-GB"/>
        </w:rPr>
        <w:t xml:space="preserve"> the United Kingdom Central Authority, International Directorate (</w:t>
      </w:r>
      <w:r w:rsidR="005D6930" w:rsidRPr="00BC6C93">
        <w:rPr>
          <w:szCs w:val="24"/>
          <w:lang w:eastAsia="en-GB"/>
        </w:rPr>
        <w:t xml:space="preserve">the </w:t>
      </w:r>
      <w:r w:rsidRPr="00BC6C93">
        <w:rPr>
          <w:szCs w:val="24"/>
          <w:lang w:eastAsia="en-GB"/>
        </w:rPr>
        <w:t>UKCA) pre</w:t>
      </w:r>
      <w:r w:rsidR="00884063" w:rsidRPr="00BC6C93">
        <w:rPr>
          <w:szCs w:val="24"/>
          <w:lang w:eastAsia="en-GB"/>
        </w:rPr>
        <w:t>sented</w:t>
      </w:r>
      <w:r w:rsidRPr="00BC6C93">
        <w:rPr>
          <w:szCs w:val="24"/>
          <w:lang w:eastAsia="en-GB"/>
        </w:rPr>
        <w:t xml:space="preserve"> a </w:t>
      </w:r>
      <w:r w:rsidR="00CD238F">
        <w:rPr>
          <w:szCs w:val="24"/>
          <w:lang w:eastAsia="en-GB"/>
        </w:rPr>
        <w:t xml:space="preserve">detailed </w:t>
      </w:r>
      <w:r w:rsidR="00104DC4">
        <w:rPr>
          <w:szCs w:val="24"/>
          <w:lang w:eastAsia="en-GB"/>
        </w:rPr>
        <w:t xml:space="preserve">ministerial </w:t>
      </w:r>
      <w:r w:rsidRPr="00BC6C93">
        <w:rPr>
          <w:szCs w:val="24"/>
          <w:lang w:eastAsia="en-GB"/>
        </w:rPr>
        <w:t>submission to the Secretary of State and the Security Minister</w:t>
      </w:r>
      <w:r w:rsidR="00063005" w:rsidRPr="00BC6C93">
        <w:rPr>
          <w:szCs w:val="24"/>
          <w:lang w:eastAsia="en-GB"/>
        </w:rPr>
        <w:t xml:space="preserve"> (the UKCA </w:t>
      </w:r>
      <w:r w:rsidR="00BD128D">
        <w:rPr>
          <w:szCs w:val="24"/>
          <w:lang w:eastAsia="en-GB"/>
        </w:rPr>
        <w:t>S</w:t>
      </w:r>
      <w:r w:rsidR="00063005" w:rsidRPr="00BC6C93">
        <w:rPr>
          <w:szCs w:val="24"/>
          <w:lang w:eastAsia="en-GB"/>
        </w:rPr>
        <w:t>ubmission)</w:t>
      </w:r>
      <w:r w:rsidRPr="00BC6C93">
        <w:rPr>
          <w:szCs w:val="24"/>
          <w:lang w:eastAsia="en-GB"/>
        </w:rPr>
        <w:t xml:space="preserve"> concerning the provision of </w:t>
      </w:r>
      <w:r w:rsidR="0023409A" w:rsidRPr="00BC6C93">
        <w:rPr>
          <w:szCs w:val="24"/>
          <w:lang w:eastAsia="en-GB"/>
        </w:rPr>
        <w:t>MLA</w:t>
      </w:r>
      <w:r w:rsidRPr="00BC6C93">
        <w:rPr>
          <w:szCs w:val="24"/>
          <w:lang w:eastAsia="en-GB"/>
        </w:rPr>
        <w:t xml:space="preserve"> to the U</w:t>
      </w:r>
      <w:r w:rsidR="00FE35D7" w:rsidRPr="00BC6C93">
        <w:rPr>
          <w:szCs w:val="24"/>
          <w:lang w:eastAsia="en-GB"/>
        </w:rPr>
        <w:t xml:space="preserve">nited </w:t>
      </w:r>
      <w:r w:rsidRPr="00BC6C93">
        <w:rPr>
          <w:szCs w:val="24"/>
          <w:lang w:eastAsia="en-GB"/>
        </w:rPr>
        <w:t>S</w:t>
      </w:r>
      <w:r w:rsidR="00FE35D7" w:rsidRPr="00BC6C93">
        <w:rPr>
          <w:szCs w:val="24"/>
          <w:lang w:eastAsia="en-GB"/>
        </w:rPr>
        <w:t>tates</w:t>
      </w:r>
      <w:r w:rsidRPr="00BC6C93">
        <w:rPr>
          <w:szCs w:val="24"/>
          <w:lang w:eastAsia="en-GB"/>
        </w:rPr>
        <w:t xml:space="preserve"> in respect of Mr El</w:t>
      </w:r>
      <w:r w:rsidR="00A25A2F" w:rsidRPr="00BC6C93">
        <w:rPr>
          <w:szCs w:val="24"/>
          <w:lang w:eastAsia="en-GB"/>
        </w:rPr>
        <w:t xml:space="preserve"> S</w:t>
      </w:r>
      <w:r w:rsidRPr="00BC6C93">
        <w:rPr>
          <w:szCs w:val="24"/>
          <w:lang w:eastAsia="en-GB"/>
        </w:rPr>
        <w:t xml:space="preserve">heikh.  The UKCA </w:t>
      </w:r>
      <w:r w:rsidR="00BD128D">
        <w:rPr>
          <w:szCs w:val="24"/>
          <w:lang w:eastAsia="en-GB"/>
        </w:rPr>
        <w:t>S</w:t>
      </w:r>
      <w:r w:rsidR="00884063" w:rsidRPr="00BC6C93">
        <w:rPr>
          <w:szCs w:val="24"/>
          <w:lang w:eastAsia="en-GB"/>
        </w:rPr>
        <w:t xml:space="preserve">ubmission </w:t>
      </w:r>
      <w:r w:rsidRPr="00BC6C93">
        <w:rPr>
          <w:szCs w:val="24"/>
          <w:lang w:eastAsia="en-GB"/>
        </w:rPr>
        <w:t xml:space="preserve">recommended </w:t>
      </w:r>
      <w:r w:rsidR="00151080" w:rsidRPr="00BC6C93">
        <w:rPr>
          <w:szCs w:val="24"/>
          <w:lang w:eastAsia="en-GB"/>
        </w:rPr>
        <w:t xml:space="preserve">that </w:t>
      </w:r>
      <w:r w:rsidRPr="00BC6C93">
        <w:rPr>
          <w:szCs w:val="24"/>
          <w:lang w:eastAsia="en-GB"/>
        </w:rPr>
        <w:t xml:space="preserve">the </w:t>
      </w:r>
      <w:r w:rsidR="00151080" w:rsidRPr="00BC6C93">
        <w:rPr>
          <w:szCs w:val="24"/>
          <w:lang w:eastAsia="en-GB"/>
        </w:rPr>
        <w:t xml:space="preserve">Secretary of </w:t>
      </w:r>
      <w:r w:rsidRPr="00BC6C93">
        <w:rPr>
          <w:szCs w:val="24"/>
          <w:lang w:eastAsia="en-GB"/>
        </w:rPr>
        <w:t>State should accede to the request for MLA subject to acknowledgement of the death penalty assurance and limitation on any further use of the material</w:t>
      </w:r>
      <w:r w:rsidR="00C746F6" w:rsidRPr="00BC6C93">
        <w:rPr>
          <w:szCs w:val="24"/>
          <w:lang w:eastAsia="en-GB"/>
        </w:rPr>
        <w:t>.</w:t>
      </w:r>
    </w:p>
    <w:p w14:paraId="22EB0DF5" w14:textId="12E3E9F7" w:rsidR="000D1FE5" w:rsidRPr="002A6256" w:rsidRDefault="000D1FE5" w:rsidP="006D28AA">
      <w:pPr>
        <w:numPr>
          <w:ilvl w:val="0"/>
          <w:numId w:val="1"/>
        </w:numPr>
        <w:suppressAutoHyphens/>
        <w:spacing w:before="240" w:after="240"/>
        <w:jc w:val="both"/>
        <w:outlineLvl w:val="0"/>
        <w:rPr>
          <w:iCs/>
          <w:color w:val="FF0000"/>
          <w:lang w:eastAsia="en-GB"/>
        </w:rPr>
      </w:pPr>
      <w:r w:rsidRPr="002A6256">
        <w:rPr>
          <w:iCs/>
          <w:lang w:eastAsia="en-GB"/>
        </w:rPr>
        <w:t xml:space="preserve">The UKCA </w:t>
      </w:r>
      <w:r w:rsidR="00BD128D">
        <w:rPr>
          <w:iCs/>
          <w:lang w:eastAsia="en-GB"/>
        </w:rPr>
        <w:t>S</w:t>
      </w:r>
      <w:r w:rsidRPr="002A6256">
        <w:rPr>
          <w:iCs/>
          <w:lang w:eastAsia="en-GB"/>
        </w:rPr>
        <w:t xml:space="preserve">ubmission </w:t>
      </w:r>
      <w:r w:rsidR="005B59F3" w:rsidRPr="002A6256">
        <w:rPr>
          <w:iCs/>
          <w:lang w:eastAsia="en-GB"/>
        </w:rPr>
        <w:t xml:space="preserve">was </w:t>
      </w:r>
      <w:r w:rsidRPr="002A6256">
        <w:rPr>
          <w:iCs/>
          <w:lang w:eastAsia="en-GB"/>
        </w:rPr>
        <w:t xml:space="preserve">accompanied by an annex </w:t>
      </w:r>
      <w:r w:rsidR="005B59F3" w:rsidRPr="002A6256">
        <w:rPr>
          <w:iCs/>
          <w:lang w:eastAsia="en-GB"/>
        </w:rPr>
        <w:t>addressing “</w:t>
      </w:r>
      <w:r w:rsidRPr="002A6256">
        <w:rPr>
          <w:iCs/>
          <w:lang w:eastAsia="en-GB"/>
        </w:rPr>
        <w:t>Data Protection Act considerations”.  That annex included the following observations:</w:t>
      </w:r>
    </w:p>
    <w:p w14:paraId="08348703" w14:textId="2E39E886" w:rsidR="008D2261" w:rsidRPr="001171FB" w:rsidRDefault="00B81EF1" w:rsidP="006D28AA">
      <w:pPr>
        <w:suppressAutoHyphens/>
        <w:spacing w:before="240" w:after="240"/>
        <w:ind w:left="1985" w:right="1372" w:hanging="567"/>
        <w:jc w:val="both"/>
        <w:outlineLvl w:val="0"/>
        <w:rPr>
          <w:iCs/>
          <w:color w:val="000000" w:themeColor="text1"/>
          <w:lang w:eastAsia="en-GB"/>
        </w:rPr>
      </w:pPr>
      <w:r w:rsidRPr="001171FB">
        <w:rPr>
          <w:iCs/>
          <w:noProof/>
          <w:color w:val="000000" w:themeColor="text1"/>
          <w:lang w:eastAsia="en-GB"/>
        </w:rPr>
        <w:t>“</w:t>
      </w:r>
      <w:r w:rsidR="00265398" w:rsidRPr="001171FB">
        <w:rPr>
          <w:iCs/>
          <w:noProof/>
          <w:color w:val="000000" w:themeColor="text1"/>
          <w:lang w:eastAsia="en-GB"/>
        </w:rPr>
        <w:t xml:space="preserve">4.  </w:t>
      </w:r>
      <w:r w:rsidR="000D1FE5" w:rsidRPr="001171FB">
        <w:rPr>
          <w:iCs/>
          <w:noProof/>
          <w:color w:val="000000" w:themeColor="text1"/>
          <w:lang w:eastAsia="en-GB"/>
        </w:rPr>
        <w:t xml:space="preserve">The six data protection principles set out in Chapter 2 of </w:t>
      </w:r>
      <w:r w:rsidR="00265398" w:rsidRPr="001171FB">
        <w:rPr>
          <w:iCs/>
          <w:noProof/>
          <w:color w:val="000000" w:themeColor="text1"/>
          <w:lang w:eastAsia="en-GB"/>
        </w:rPr>
        <w:t xml:space="preserve"> </w:t>
      </w:r>
      <w:r w:rsidRPr="001171FB">
        <w:rPr>
          <w:iCs/>
          <w:noProof/>
          <w:color w:val="000000" w:themeColor="text1"/>
          <w:lang w:eastAsia="en-GB"/>
        </w:rPr>
        <w:t xml:space="preserve">      </w:t>
      </w:r>
      <w:r w:rsidR="000D1FE5" w:rsidRPr="001171FB">
        <w:rPr>
          <w:iCs/>
          <w:noProof/>
          <w:color w:val="000000" w:themeColor="text1"/>
          <w:lang w:eastAsia="en-GB"/>
        </w:rPr>
        <w:t>Part 3 apply to the pro</w:t>
      </w:r>
      <w:r w:rsidRPr="001171FB">
        <w:rPr>
          <w:iCs/>
          <w:noProof/>
          <w:color w:val="000000" w:themeColor="text1"/>
          <w:lang w:eastAsia="en-GB"/>
        </w:rPr>
        <w:t>cessing.</w:t>
      </w:r>
    </w:p>
    <w:p w14:paraId="78CCA504" w14:textId="4D7D22B5" w:rsidR="00A96539" w:rsidRPr="001171FB" w:rsidRDefault="000D1FE5" w:rsidP="006D28AA">
      <w:pPr>
        <w:pStyle w:val="Quote"/>
        <w:numPr>
          <w:ilvl w:val="0"/>
          <w:numId w:val="25"/>
        </w:numPr>
        <w:ind w:left="1985" w:right="1372" w:hanging="567"/>
        <w:rPr>
          <w:color w:val="000000" w:themeColor="text1"/>
          <w:szCs w:val="24"/>
        </w:rPr>
      </w:pPr>
      <w:r w:rsidRPr="001171FB">
        <w:rPr>
          <w:color w:val="000000" w:themeColor="text1"/>
          <w:szCs w:val="24"/>
        </w:rPr>
        <w:t>The first data protection principle is that the processing of</w:t>
      </w:r>
      <w:r w:rsidR="00D635B5" w:rsidRPr="001171FB">
        <w:rPr>
          <w:color w:val="000000" w:themeColor="text1"/>
          <w:szCs w:val="24"/>
        </w:rPr>
        <w:t xml:space="preserve"> </w:t>
      </w:r>
      <w:r w:rsidRPr="001171FB">
        <w:rPr>
          <w:color w:val="000000" w:themeColor="text1"/>
          <w:szCs w:val="24"/>
        </w:rPr>
        <w:t>personal data for any of the law enforcement</w:t>
      </w:r>
      <w:r w:rsidRPr="001171FB">
        <w:rPr>
          <w:noProof/>
          <w:color w:val="000000" w:themeColor="text1"/>
          <w:szCs w:val="24"/>
          <w:lang w:eastAsia="en-GB"/>
        </w:rPr>
        <w:t xml:space="preserve"> purposes must be lawful and fair.</w:t>
      </w:r>
    </w:p>
    <w:p w14:paraId="0A4E0EB0" w14:textId="021F7426" w:rsidR="00A96539" w:rsidRPr="001171FB" w:rsidRDefault="000D1FE5" w:rsidP="006D28AA">
      <w:pPr>
        <w:pStyle w:val="Quote"/>
        <w:numPr>
          <w:ilvl w:val="0"/>
          <w:numId w:val="25"/>
        </w:numPr>
        <w:ind w:left="1985" w:right="1372" w:hanging="567"/>
        <w:rPr>
          <w:color w:val="000000" w:themeColor="text1"/>
          <w:szCs w:val="24"/>
        </w:rPr>
      </w:pPr>
      <w:r w:rsidRPr="001171FB">
        <w:rPr>
          <w:noProof/>
          <w:color w:val="000000" w:themeColor="text1"/>
          <w:szCs w:val="24"/>
          <w:lang w:eastAsia="en-GB"/>
        </w:rPr>
        <w:t xml:space="preserve">Firstly, in order to be lawful, the processing must be based on law.  In the present case, the processing is based on law in particular the UK/US MLA Treaty. </w:t>
      </w:r>
    </w:p>
    <w:p w14:paraId="29FE1CAE" w14:textId="713C3D6C" w:rsidR="000D1FE5" w:rsidRPr="001171FB" w:rsidRDefault="000D1FE5" w:rsidP="006D28AA">
      <w:pPr>
        <w:pStyle w:val="Quote"/>
        <w:numPr>
          <w:ilvl w:val="0"/>
          <w:numId w:val="25"/>
        </w:numPr>
        <w:ind w:left="1985" w:right="1372" w:hanging="567"/>
        <w:rPr>
          <w:color w:val="000000" w:themeColor="text1"/>
          <w:szCs w:val="24"/>
        </w:rPr>
      </w:pPr>
      <w:r w:rsidRPr="001171FB">
        <w:rPr>
          <w:noProof/>
          <w:color w:val="000000" w:themeColor="text1"/>
          <w:szCs w:val="24"/>
          <w:lang w:eastAsia="en-GB"/>
        </w:rPr>
        <w:t>Secondly, the processing must be necessary for the performance of a tas</w:t>
      </w:r>
      <w:r w:rsidR="00FB367F" w:rsidRPr="001171FB">
        <w:rPr>
          <w:noProof/>
          <w:color w:val="000000" w:themeColor="text1"/>
          <w:szCs w:val="24"/>
          <w:lang w:eastAsia="en-GB"/>
        </w:rPr>
        <w:t>k</w:t>
      </w:r>
      <w:r w:rsidRPr="001171FB">
        <w:rPr>
          <w:noProof/>
          <w:color w:val="000000" w:themeColor="text1"/>
          <w:szCs w:val="24"/>
          <w:lang w:eastAsia="en-GB"/>
        </w:rPr>
        <w:t xml:space="preserve"> carred out for a law enforcement purpose by a competent </w:t>
      </w:r>
      <w:r w:rsidR="00FB367F" w:rsidRPr="001171FB">
        <w:rPr>
          <w:noProof/>
          <w:color w:val="000000" w:themeColor="text1"/>
          <w:szCs w:val="24"/>
          <w:lang w:eastAsia="en-GB"/>
        </w:rPr>
        <w:t>a</w:t>
      </w:r>
      <w:r w:rsidRPr="001171FB">
        <w:rPr>
          <w:noProof/>
          <w:color w:val="000000" w:themeColor="text1"/>
          <w:szCs w:val="24"/>
          <w:lang w:eastAsia="en-GB"/>
        </w:rPr>
        <w:t xml:space="preserve">uthority. </w:t>
      </w:r>
      <w:r w:rsidRPr="001171FB">
        <w:rPr>
          <w:color w:val="000000" w:themeColor="text1"/>
          <w:szCs w:val="24"/>
          <w:lang w:eastAsia="en-GB"/>
        </w:rPr>
        <w:t xml:space="preserve">                                                                                      </w:t>
      </w:r>
    </w:p>
    <w:p w14:paraId="149F0499" w14:textId="259A9068" w:rsidR="000D1FE5" w:rsidRPr="001171FB" w:rsidRDefault="00AC2B11" w:rsidP="006D28AA">
      <w:pPr>
        <w:pStyle w:val="Quote"/>
        <w:ind w:left="1985" w:right="1372" w:hanging="567"/>
        <w:rPr>
          <w:color w:val="000000" w:themeColor="text1"/>
          <w:szCs w:val="24"/>
          <w:lang w:eastAsia="en-GB"/>
        </w:rPr>
      </w:pPr>
      <w:r w:rsidRPr="001171FB">
        <w:rPr>
          <w:noProof/>
          <w:color w:val="000000" w:themeColor="text1"/>
          <w:szCs w:val="24"/>
          <w:lang w:eastAsia="en-GB"/>
        </w:rPr>
        <w:t xml:space="preserve">            </w:t>
      </w:r>
      <w:r w:rsidR="000D1FE5" w:rsidRPr="001171FB">
        <w:rPr>
          <w:noProof/>
          <w:color w:val="000000" w:themeColor="text1"/>
          <w:szCs w:val="24"/>
          <w:lang w:eastAsia="en-GB"/>
        </w:rPr>
        <w:t>As to this:</w:t>
      </w:r>
    </w:p>
    <w:p w14:paraId="33802834" w14:textId="4C9374DB" w:rsidR="000D1FE5" w:rsidRPr="001171FB" w:rsidRDefault="000D1FE5" w:rsidP="006D28AA">
      <w:pPr>
        <w:pStyle w:val="Quote"/>
        <w:numPr>
          <w:ilvl w:val="1"/>
          <w:numId w:val="26"/>
        </w:numPr>
        <w:ind w:right="1372"/>
        <w:rPr>
          <w:color w:val="000000" w:themeColor="text1"/>
          <w:szCs w:val="24"/>
          <w:lang w:eastAsia="en-GB"/>
        </w:rPr>
      </w:pPr>
      <w:r w:rsidRPr="001171FB">
        <w:rPr>
          <w:noProof/>
          <w:color w:val="000000" w:themeColor="text1"/>
          <w:szCs w:val="24"/>
          <w:lang w:eastAsia="en-GB"/>
        </w:rPr>
        <w:t>“Law enfor</w:t>
      </w:r>
      <w:r w:rsidR="00865494" w:rsidRPr="001171FB">
        <w:rPr>
          <w:noProof/>
          <w:color w:val="000000" w:themeColor="text1"/>
          <w:szCs w:val="24"/>
          <w:lang w:eastAsia="en-GB"/>
        </w:rPr>
        <w:t>c</w:t>
      </w:r>
      <w:r w:rsidRPr="001171FB">
        <w:rPr>
          <w:noProof/>
          <w:color w:val="000000" w:themeColor="text1"/>
          <w:szCs w:val="24"/>
          <w:lang w:eastAsia="en-GB"/>
        </w:rPr>
        <w:t>ement p</w:t>
      </w:r>
      <w:r w:rsidR="00865494" w:rsidRPr="001171FB">
        <w:rPr>
          <w:noProof/>
          <w:color w:val="000000" w:themeColor="text1"/>
          <w:szCs w:val="24"/>
          <w:lang w:eastAsia="en-GB"/>
        </w:rPr>
        <w:t>u</w:t>
      </w:r>
      <w:r w:rsidRPr="001171FB">
        <w:rPr>
          <w:noProof/>
          <w:color w:val="000000" w:themeColor="text1"/>
          <w:szCs w:val="24"/>
          <w:lang w:eastAsia="en-GB"/>
        </w:rPr>
        <w:t>rposes” is definined in the DPA as me</w:t>
      </w:r>
      <w:r w:rsidR="00865494" w:rsidRPr="001171FB">
        <w:rPr>
          <w:noProof/>
          <w:color w:val="000000" w:themeColor="text1"/>
          <w:szCs w:val="24"/>
          <w:lang w:eastAsia="en-GB"/>
        </w:rPr>
        <w:t>an</w:t>
      </w:r>
      <w:r w:rsidRPr="001171FB">
        <w:rPr>
          <w:noProof/>
          <w:color w:val="000000" w:themeColor="text1"/>
          <w:szCs w:val="24"/>
          <w:lang w:eastAsia="en-GB"/>
        </w:rPr>
        <w:t>ing “the purposes of the prevention, investigat</w:t>
      </w:r>
      <w:r w:rsidR="00865494" w:rsidRPr="001171FB">
        <w:rPr>
          <w:noProof/>
          <w:color w:val="000000" w:themeColor="text1"/>
          <w:szCs w:val="24"/>
          <w:lang w:eastAsia="en-GB"/>
        </w:rPr>
        <w:t>i</w:t>
      </w:r>
      <w:r w:rsidRPr="001171FB">
        <w:rPr>
          <w:noProof/>
          <w:color w:val="000000" w:themeColor="text1"/>
          <w:szCs w:val="24"/>
          <w:lang w:eastAsia="en-GB"/>
        </w:rPr>
        <w:t>on, detection or prosec</w:t>
      </w:r>
      <w:r w:rsidR="009E79E1" w:rsidRPr="001171FB">
        <w:rPr>
          <w:noProof/>
          <w:color w:val="000000" w:themeColor="text1"/>
          <w:szCs w:val="24"/>
          <w:lang w:eastAsia="en-GB"/>
        </w:rPr>
        <w:t>u</w:t>
      </w:r>
      <w:r w:rsidRPr="001171FB">
        <w:rPr>
          <w:noProof/>
          <w:color w:val="000000" w:themeColor="text1"/>
          <w:szCs w:val="24"/>
          <w:lang w:eastAsia="en-GB"/>
        </w:rPr>
        <w:t>tion of criminal offences or the execution of criminal penalties, including the safeguarding against and the prevention of threats to public secur</w:t>
      </w:r>
      <w:r w:rsidR="009E79E1" w:rsidRPr="001171FB">
        <w:rPr>
          <w:noProof/>
          <w:color w:val="000000" w:themeColor="text1"/>
          <w:szCs w:val="24"/>
          <w:lang w:eastAsia="en-GB"/>
        </w:rPr>
        <w:t>i</w:t>
      </w:r>
      <w:r w:rsidRPr="001171FB">
        <w:rPr>
          <w:noProof/>
          <w:color w:val="000000" w:themeColor="text1"/>
          <w:szCs w:val="24"/>
          <w:lang w:eastAsia="en-GB"/>
        </w:rPr>
        <w:t>ty”.</w:t>
      </w:r>
    </w:p>
    <w:p w14:paraId="56932114" w14:textId="77777777" w:rsidR="000D1FE5" w:rsidRPr="001171FB" w:rsidRDefault="000D1FE5" w:rsidP="006D28AA">
      <w:pPr>
        <w:pStyle w:val="Quote"/>
        <w:numPr>
          <w:ilvl w:val="1"/>
          <w:numId w:val="26"/>
        </w:numPr>
        <w:ind w:right="1372"/>
        <w:rPr>
          <w:color w:val="000000" w:themeColor="text1"/>
          <w:szCs w:val="24"/>
          <w:lang w:eastAsia="en-GB"/>
        </w:rPr>
      </w:pPr>
      <w:r w:rsidRPr="001171FB">
        <w:rPr>
          <w:noProof/>
          <w:color w:val="000000" w:themeColor="text1"/>
          <w:szCs w:val="24"/>
          <w:lang w:eastAsia="en-GB"/>
        </w:rPr>
        <w:t>As set out in the main Submission, and as you know:</w:t>
      </w:r>
    </w:p>
    <w:p w14:paraId="6568D7B7" w14:textId="6865BCBF" w:rsidR="000D1FE5" w:rsidRPr="001171FB" w:rsidRDefault="000D1FE5" w:rsidP="006D28AA">
      <w:pPr>
        <w:pStyle w:val="Quote"/>
        <w:numPr>
          <w:ilvl w:val="8"/>
          <w:numId w:val="28"/>
        </w:numPr>
        <w:ind w:right="1372"/>
        <w:rPr>
          <w:color w:val="000000" w:themeColor="text1"/>
          <w:szCs w:val="24"/>
          <w:lang w:eastAsia="en-GB"/>
        </w:rPr>
      </w:pPr>
      <w:r w:rsidRPr="001171FB">
        <w:rPr>
          <w:noProof/>
          <w:color w:val="000000" w:themeColor="text1"/>
          <w:szCs w:val="24"/>
          <w:lang w:eastAsia="en-GB"/>
        </w:rPr>
        <w:t>The 2015 MLA request fr</w:t>
      </w:r>
      <w:r w:rsidR="00F05C9C">
        <w:rPr>
          <w:noProof/>
          <w:color w:val="000000" w:themeColor="text1"/>
          <w:szCs w:val="24"/>
          <w:lang w:eastAsia="en-GB"/>
        </w:rPr>
        <w:t>o</w:t>
      </w:r>
      <w:r w:rsidRPr="001171FB">
        <w:rPr>
          <w:noProof/>
          <w:color w:val="000000" w:themeColor="text1"/>
          <w:szCs w:val="24"/>
          <w:lang w:eastAsia="en-GB"/>
        </w:rPr>
        <w:t>m the US relates to</w:t>
      </w:r>
      <w:r w:rsidR="00F76616" w:rsidRPr="001171FB">
        <w:rPr>
          <w:noProof/>
          <w:color w:val="000000" w:themeColor="text1"/>
          <w:szCs w:val="24"/>
          <w:lang w:eastAsia="en-GB"/>
        </w:rPr>
        <w:t xml:space="preserve"> an </w:t>
      </w:r>
      <w:r w:rsidRPr="001171FB">
        <w:rPr>
          <w:noProof/>
          <w:color w:val="000000" w:themeColor="text1"/>
          <w:szCs w:val="24"/>
          <w:lang w:eastAsia="en-GB"/>
        </w:rPr>
        <w:t xml:space="preserve">investigation and potential prosecution of El Sheikh and Kotey. </w:t>
      </w:r>
    </w:p>
    <w:p w14:paraId="5D3541FD" w14:textId="2206E87C" w:rsidR="00BD128D" w:rsidRPr="00261FB4" w:rsidRDefault="000D1FE5" w:rsidP="006D28AA">
      <w:pPr>
        <w:pStyle w:val="Quote"/>
        <w:numPr>
          <w:ilvl w:val="8"/>
          <w:numId w:val="28"/>
        </w:numPr>
        <w:ind w:right="1372"/>
        <w:rPr>
          <w:noProof/>
          <w:color w:val="000000" w:themeColor="text1"/>
          <w:szCs w:val="24"/>
          <w:lang w:eastAsia="en-GB"/>
        </w:rPr>
      </w:pPr>
      <w:r w:rsidRPr="001171FB">
        <w:rPr>
          <w:noProof/>
          <w:color w:val="000000" w:themeColor="text1"/>
          <w:szCs w:val="24"/>
          <w:lang w:eastAsia="en-GB"/>
        </w:rPr>
        <w:t xml:space="preserve">The assurances letter of 18 August 2020 makes it clear that (i) there will be no prosecution of those individuals by the US </w:t>
      </w:r>
      <w:r w:rsidRPr="001171FB">
        <w:rPr>
          <w:noProof/>
          <w:color w:val="000000" w:themeColor="text1"/>
          <w:szCs w:val="24"/>
          <w:lang w:eastAsia="en-GB"/>
        </w:rPr>
        <w:lastRenderedPageBreak/>
        <w:t>without the material and (ii) if the material is provided, there will be such a prosecution.</w:t>
      </w:r>
    </w:p>
    <w:p w14:paraId="6346EBA8" w14:textId="5CBADBAE" w:rsidR="000D1FE5" w:rsidRPr="001171FB" w:rsidRDefault="000D1FE5" w:rsidP="006D28AA">
      <w:pPr>
        <w:pStyle w:val="Quote"/>
        <w:numPr>
          <w:ilvl w:val="0"/>
          <w:numId w:val="25"/>
        </w:numPr>
        <w:ind w:left="1985" w:right="1372" w:hanging="567"/>
        <w:rPr>
          <w:color w:val="000000" w:themeColor="text1"/>
          <w:szCs w:val="24"/>
          <w:lang w:eastAsia="en-GB"/>
        </w:rPr>
      </w:pPr>
      <w:r w:rsidRPr="001171FB">
        <w:rPr>
          <w:noProof/>
          <w:color w:val="000000" w:themeColor="text1"/>
          <w:szCs w:val="24"/>
          <w:lang w:eastAsia="en-GB"/>
        </w:rPr>
        <w:t>Accordingly, and subject to paragraph 10 below, you may take the view that the transfer of material is necessary for the law enforcement purpose.</w:t>
      </w:r>
    </w:p>
    <w:p w14:paraId="40084BED" w14:textId="2DD98359" w:rsidR="003A700F" w:rsidRPr="001171FB" w:rsidRDefault="000D1FE5" w:rsidP="006D28AA">
      <w:pPr>
        <w:pStyle w:val="Quote"/>
        <w:numPr>
          <w:ilvl w:val="0"/>
          <w:numId w:val="25"/>
        </w:numPr>
        <w:ind w:left="1985" w:right="1372" w:hanging="567"/>
        <w:rPr>
          <w:color w:val="000000" w:themeColor="text1"/>
          <w:szCs w:val="24"/>
          <w:lang w:eastAsia="en-GB"/>
        </w:rPr>
      </w:pPr>
      <w:r w:rsidRPr="001171FB">
        <w:rPr>
          <w:noProof/>
          <w:color w:val="000000" w:themeColor="text1"/>
          <w:szCs w:val="24"/>
          <w:lang w:eastAsia="en-GB"/>
        </w:rPr>
        <w:t>You should also consider whether the transfer would be proportionate.  It is open to you to take the</w:t>
      </w:r>
      <w:r w:rsidR="00146472" w:rsidRPr="001171FB">
        <w:rPr>
          <w:noProof/>
          <w:color w:val="000000" w:themeColor="text1"/>
          <w:szCs w:val="24"/>
          <w:lang w:eastAsia="en-GB"/>
        </w:rPr>
        <w:t xml:space="preserve"> view</w:t>
      </w:r>
      <w:r w:rsidRPr="001171FB">
        <w:rPr>
          <w:noProof/>
          <w:color w:val="000000" w:themeColor="text1"/>
          <w:szCs w:val="24"/>
          <w:lang w:eastAsia="en-GB"/>
        </w:rPr>
        <w:t xml:space="preserve"> that it is proportionate, bearing in mind all the considerations set out in the main Submission, in particular (i) the greatl</w:t>
      </w:r>
      <w:r w:rsidR="00092258" w:rsidRPr="001171FB">
        <w:rPr>
          <w:noProof/>
          <w:color w:val="000000" w:themeColor="text1"/>
          <w:szCs w:val="24"/>
          <w:lang w:eastAsia="en-GB"/>
        </w:rPr>
        <w:t>y</w:t>
      </w:r>
      <w:r w:rsidRPr="001171FB">
        <w:rPr>
          <w:noProof/>
          <w:color w:val="000000" w:themeColor="text1"/>
          <w:szCs w:val="24"/>
          <w:lang w:eastAsia="en-GB"/>
        </w:rPr>
        <w:t xml:space="preserve"> reduced h</w:t>
      </w:r>
      <w:r w:rsidR="00884063">
        <w:rPr>
          <w:noProof/>
          <w:color w:val="000000" w:themeColor="text1"/>
          <w:szCs w:val="24"/>
          <w:lang w:eastAsia="en-GB"/>
        </w:rPr>
        <w:t>u</w:t>
      </w:r>
      <w:r w:rsidRPr="001171FB">
        <w:rPr>
          <w:noProof/>
          <w:color w:val="000000" w:themeColor="text1"/>
          <w:szCs w:val="24"/>
          <w:lang w:eastAsia="en-GB"/>
        </w:rPr>
        <w:t>man rights concerns, now that a death penalty assurance has been provided, (ii) the severity of the crimes which the data subjects allegedly committed, and (iii) the available alternatives to US prosecution, particulary transfer to Iraq.</w:t>
      </w:r>
    </w:p>
    <w:p w14:paraId="77A71C9C" w14:textId="25F13A4B" w:rsidR="003A700F" w:rsidRPr="001171FB" w:rsidRDefault="000D1FE5" w:rsidP="006D28AA">
      <w:pPr>
        <w:pStyle w:val="Quote"/>
        <w:numPr>
          <w:ilvl w:val="0"/>
          <w:numId w:val="25"/>
        </w:numPr>
        <w:ind w:left="1985" w:right="1372" w:hanging="567"/>
        <w:rPr>
          <w:color w:val="000000" w:themeColor="text1"/>
          <w:szCs w:val="24"/>
          <w:lang w:eastAsia="en-GB"/>
        </w:rPr>
      </w:pPr>
      <w:r w:rsidRPr="001171FB">
        <w:rPr>
          <w:noProof/>
          <w:color w:val="000000" w:themeColor="text1"/>
          <w:szCs w:val="24"/>
          <w:lang w:eastAsia="en-GB"/>
        </w:rPr>
        <w:t>In the context of assessing necessity and proportional</w:t>
      </w:r>
      <w:r w:rsidR="00D4016C">
        <w:rPr>
          <w:noProof/>
          <w:color w:val="000000" w:themeColor="text1"/>
          <w:szCs w:val="24"/>
          <w:lang w:eastAsia="en-GB"/>
        </w:rPr>
        <w:t>it</w:t>
      </w:r>
      <w:r w:rsidRPr="001171FB">
        <w:rPr>
          <w:noProof/>
          <w:color w:val="000000" w:themeColor="text1"/>
          <w:szCs w:val="24"/>
          <w:lang w:eastAsia="en-GB"/>
        </w:rPr>
        <w:t xml:space="preserve">y, you should be aware that Lord Carnwath held that the ability to prosecute in the UK is relevant to the necessity of transfer when there are no death penalty assurances in place.  We do not consider that the same applies where there are such assurances.  However, even if it is relevant to </w:t>
      </w:r>
      <w:r w:rsidR="00DF5095" w:rsidRPr="001171FB">
        <w:rPr>
          <w:noProof/>
          <w:color w:val="000000" w:themeColor="text1"/>
          <w:szCs w:val="24"/>
          <w:lang w:eastAsia="en-GB"/>
        </w:rPr>
        <w:t>c</w:t>
      </w:r>
      <w:r w:rsidRPr="001171FB">
        <w:rPr>
          <w:noProof/>
          <w:color w:val="000000" w:themeColor="text1"/>
          <w:szCs w:val="24"/>
          <w:lang w:eastAsia="en-GB"/>
        </w:rPr>
        <w:t>on</w:t>
      </w:r>
      <w:r w:rsidR="00DF5095" w:rsidRPr="001171FB">
        <w:rPr>
          <w:noProof/>
          <w:color w:val="000000" w:themeColor="text1"/>
          <w:szCs w:val="24"/>
          <w:lang w:eastAsia="en-GB"/>
        </w:rPr>
        <w:t>s</w:t>
      </w:r>
      <w:r w:rsidRPr="001171FB">
        <w:rPr>
          <w:noProof/>
          <w:color w:val="000000" w:themeColor="text1"/>
          <w:szCs w:val="24"/>
          <w:lang w:eastAsia="en-GB"/>
        </w:rPr>
        <w:t>ider the possiblity of domestic prosecution now that we have assuran</w:t>
      </w:r>
      <w:r w:rsidR="006B1CC3" w:rsidRPr="001171FB">
        <w:rPr>
          <w:noProof/>
          <w:color w:val="000000" w:themeColor="text1"/>
          <w:szCs w:val="24"/>
          <w:lang w:eastAsia="en-GB"/>
        </w:rPr>
        <w:t>c</w:t>
      </w:r>
      <w:r w:rsidRPr="001171FB">
        <w:rPr>
          <w:noProof/>
          <w:color w:val="000000" w:themeColor="text1"/>
          <w:szCs w:val="24"/>
          <w:lang w:eastAsia="en-GB"/>
        </w:rPr>
        <w:t xml:space="preserve">es, there is no general preference for a domestic prosecution inherent either generally or in our data protection obligations.  So even if it were possible to say </w:t>
      </w:r>
      <w:r w:rsidRPr="001171FB">
        <w:rPr>
          <w:noProof/>
          <w:color w:val="000000" w:themeColor="text1"/>
          <w:szCs w:val="24"/>
          <w:u w:val="single"/>
          <w:lang w:eastAsia="en-GB"/>
        </w:rPr>
        <w:t>now</w:t>
      </w:r>
      <w:r w:rsidRPr="001171FB">
        <w:rPr>
          <w:noProof/>
          <w:color w:val="000000" w:themeColor="text1"/>
          <w:szCs w:val="24"/>
          <w:lang w:eastAsia="en-GB"/>
        </w:rPr>
        <w:t xml:space="preserve"> that El Sheikh could be prosecuted in the UK, as Kotey himself could be, it would</w:t>
      </w:r>
      <w:r w:rsidR="006B1CC3" w:rsidRPr="001171FB">
        <w:rPr>
          <w:noProof/>
          <w:color w:val="000000" w:themeColor="text1"/>
          <w:szCs w:val="24"/>
          <w:lang w:eastAsia="en-GB"/>
        </w:rPr>
        <w:t xml:space="preserve"> </w:t>
      </w:r>
      <w:r w:rsidRPr="001171FB">
        <w:rPr>
          <w:noProof/>
          <w:color w:val="000000" w:themeColor="text1"/>
          <w:szCs w:val="24"/>
          <w:lang w:eastAsia="en-GB"/>
        </w:rPr>
        <w:t xml:space="preserve">be still be possible, consistently with a necessity and proportionality test, to transfer the evidence.    In this regard, you will want to take into account all the considerations set out in the main submission and in this Annex, including the UK’s obligations under the US/UK MLA Treaty.  As already noted in the submission, there is particular urgency to transfer the evidence in this case given the 15 October deadline that the US have set. </w:t>
      </w:r>
    </w:p>
    <w:p w14:paraId="39598279" w14:textId="438659DD" w:rsidR="000D1FE5" w:rsidRPr="001171FB" w:rsidRDefault="003A700F" w:rsidP="006D28AA">
      <w:pPr>
        <w:pStyle w:val="Quote"/>
        <w:numPr>
          <w:ilvl w:val="0"/>
          <w:numId w:val="25"/>
        </w:numPr>
        <w:ind w:left="1985" w:right="1372" w:hanging="567"/>
        <w:rPr>
          <w:color w:val="000000" w:themeColor="text1"/>
          <w:szCs w:val="24"/>
          <w:lang w:eastAsia="en-GB"/>
        </w:rPr>
      </w:pPr>
      <w:r w:rsidRPr="001171FB">
        <w:rPr>
          <w:color w:val="000000" w:themeColor="text1"/>
          <w:szCs w:val="24"/>
          <w:lang w:eastAsia="en-GB"/>
        </w:rPr>
        <w:t xml:space="preserve"> </w:t>
      </w:r>
      <w:r w:rsidR="000D1FE5" w:rsidRPr="001171FB">
        <w:rPr>
          <w:noProof/>
          <w:color w:val="000000" w:themeColor="text1"/>
          <w:szCs w:val="24"/>
          <w:lang w:eastAsia="en-GB"/>
        </w:rPr>
        <w:t>Thirdly, on the basis that this might be “sensitive processing” (which applies if the data reveals certain information, such as political opinions or religio</w:t>
      </w:r>
      <w:r w:rsidR="001939D3">
        <w:rPr>
          <w:noProof/>
          <w:color w:val="000000" w:themeColor="text1"/>
          <w:szCs w:val="24"/>
          <w:lang w:eastAsia="en-GB"/>
        </w:rPr>
        <w:t>u</w:t>
      </w:r>
      <w:r w:rsidR="000D1FE5" w:rsidRPr="001171FB">
        <w:rPr>
          <w:noProof/>
          <w:color w:val="000000" w:themeColor="text1"/>
          <w:szCs w:val="24"/>
          <w:lang w:eastAsia="en-GB"/>
        </w:rPr>
        <w:t>s beliefs), you should also ask yourself:</w:t>
      </w:r>
    </w:p>
    <w:p w14:paraId="0DDBB173" w14:textId="6BE45D74" w:rsidR="00BD128D" w:rsidRPr="00261FB4" w:rsidRDefault="00BD128D" w:rsidP="006D28AA">
      <w:pPr>
        <w:pStyle w:val="Quote"/>
        <w:numPr>
          <w:ilvl w:val="7"/>
          <w:numId w:val="30"/>
        </w:numPr>
        <w:ind w:right="1372"/>
        <w:rPr>
          <w:noProof/>
          <w:color w:val="000000" w:themeColor="text1"/>
          <w:szCs w:val="24"/>
          <w:lang w:eastAsia="en-GB"/>
        </w:rPr>
      </w:pPr>
      <w:r>
        <w:rPr>
          <w:noProof/>
          <w:color w:val="000000" w:themeColor="text1"/>
          <w:szCs w:val="24"/>
          <w:lang w:eastAsia="en-GB"/>
        </w:rPr>
        <w:t>w</w:t>
      </w:r>
      <w:r w:rsidRPr="001171FB">
        <w:rPr>
          <w:noProof/>
          <w:color w:val="000000" w:themeColor="text1"/>
          <w:szCs w:val="24"/>
          <w:lang w:eastAsia="en-GB"/>
        </w:rPr>
        <w:t>hether the transfer is “strictly necessary” for the law enforcement purpose.  You may decide that the processing meets this test, for the reasons set out above (not least since the US cannot prosecute without it, and will prosecute with it).</w:t>
      </w:r>
    </w:p>
    <w:p w14:paraId="25FBA6CC" w14:textId="5A2280DD" w:rsidR="000D1FE5" w:rsidRDefault="00D4016C" w:rsidP="006D28AA">
      <w:pPr>
        <w:pStyle w:val="Quote"/>
        <w:numPr>
          <w:ilvl w:val="7"/>
          <w:numId w:val="30"/>
        </w:numPr>
        <w:ind w:right="1372"/>
        <w:rPr>
          <w:noProof/>
          <w:color w:val="000000" w:themeColor="text1"/>
          <w:szCs w:val="24"/>
          <w:lang w:eastAsia="en-GB"/>
        </w:rPr>
      </w:pPr>
      <w:r w:rsidRPr="0018297D">
        <w:rPr>
          <w:noProof/>
          <w:color w:val="000000" w:themeColor="text1"/>
          <w:szCs w:val="24"/>
          <w:lang w:eastAsia="en-GB"/>
        </w:rPr>
        <w:t>w</w:t>
      </w:r>
      <w:r w:rsidR="000D1FE5" w:rsidRPr="0018297D">
        <w:rPr>
          <w:noProof/>
          <w:color w:val="000000" w:themeColor="text1"/>
          <w:szCs w:val="24"/>
          <w:lang w:eastAsia="en-GB"/>
        </w:rPr>
        <w:t>hether on</w:t>
      </w:r>
      <w:r w:rsidRPr="0018297D">
        <w:rPr>
          <w:noProof/>
          <w:color w:val="000000" w:themeColor="text1"/>
          <w:szCs w:val="24"/>
          <w:lang w:eastAsia="en-GB"/>
        </w:rPr>
        <w:t>e</w:t>
      </w:r>
      <w:r w:rsidR="000D1FE5" w:rsidRPr="0018297D">
        <w:rPr>
          <w:noProof/>
          <w:color w:val="000000" w:themeColor="text1"/>
          <w:szCs w:val="24"/>
          <w:lang w:eastAsia="en-GB"/>
        </w:rPr>
        <w:t xml:space="preserve"> of the “conditions for sensitive processing in Schedule 8” applies.  Both Condition 2 (“the processing is </w:t>
      </w:r>
      <w:r w:rsidR="00CC7F1E" w:rsidRPr="0018297D">
        <w:rPr>
          <w:noProof/>
          <w:color w:val="000000" w:themeColor="text1"/>
          <w:szCs w:val="24"/>
          <w:lang w:eastAsia="en-GB"/>
        </w:rPr>
        <w:t xml:space="preserve">necessary for </w:t>
      </w:r>
      <w:r w:rsidR="000D1FE5" w:rsidRPr="0018297D">
        <w:rPr>
          <w:noProof/>
          <w:color w:val="000000" w:themeColor="text1"/>
          <w:szCs w:val="24"/>
          <w:lang w:eastAsia="en-GB"/>
        </w:rPr>
        <w:t xml:space="preserve">the </w:t>
      </w:r>
      <w:r w:rsidR="000D1FE5" w:rsidRPr="0018297D">
        <w:rPr>
          <w:noProof/>
          <w:color w:val="000000" w:themeColor="text1"/>
          <w:szCs w:val="24"/>
          <w:lang w:eastAsia="en-GB"/>
        </w:rPr>
        <w:lastRenderedPageBreak/>
        <w:t>administration of justice”) and Condition 6(a) (“the processing is necessary for the purpose of, or in connection with, any legal proceedings (including propective legal proceedings)”) apply here.”</w:t>
      </w:r>
    </w:p>
    <w:p w14:paraId="423A9CCD" w14:textId="5DD7EFED" w:rsidR="000D1FE5" w:rsidRPr="002A6256" w:rsidRDefault="000D1FE5" w:rsidP="006D28AA">
      <w:pPr>
        <w:numPr>
          <w:ilvl w:val="0"/>
          <w:numId w:val="1"/>
        </w:numPr>
        <w:suppressAutoHyphens/>
        <w:spacing w:before="240" w:after="240"/>
        <w:jc w:val="both"/>
        <w:outlineLvl w:val="0"/>
        <w:rPr>
          <w:iCs/>
          <w:lang w:eastAsia="en-GB"/>
        </w:rPr>
      </w:pPr>
      <w:r w:rsidRPr="002A6256">
        <w:rPr>
          <w:iCs/>
          <w:noProof/>
          <w:lang w:eastAsia="en-GB"/>
        </w:rPr>
        <w:t>On 24 August 2020, the Secretary of State decided to transfer</w:t>
      </w:r>
      <w:r w:rsidR="001171FB">
        <w:rPr>
          <w:iCs/>
          <w:noProof/>
          <w:lang w:eastAsia="en-GB"/>
        </w:rPr>
        <w:t xml:space="preserve"> the</w:t>
      </w:r>
      <w:r w:rsidRPr="002A6256">
        <w:rPr>
          <w:iCs/>
          <w:noProof/>
          <w:lang w:eastAsia="en-GB"/>
        </w:rPr>
        <w:t xml:space="preserve"> material </w:t>
      </w:r>
      <w:r w:rsidR="006C59CD">
        <w:rPr>
          <w:iCs/>
          <w:noProof/>
          <w:lang w:eastAsia="en-GB"/>
        </w:rPr>
        <w:t xml:space="preserve">requested </w:t>
      </w:r>
      <w:r w:rsidRPr="002A6256">
        <w:rPr>
          <w:iCs/>
          <w:noProof/>
          <w:lang w:eastAsia="en-GB"/>
        </w:rPr>
        <w:t>to the U</w:t>
      </w:r>
      <w:r w:rsidR="00EA56EA">
        <w:rPr>
          <w:iCs/>
          <w:noProof/>
          <w:lang w:eastAsia="en-GB"/>
        </w:rPr>
        <w:t xml:space="preserve">nited </w:t>
      </w:r>
      <w:r w:rsidRPr="002A6256">
        <w:rPr>
          <w:iCs/>
          <w:noProof/>
          <w:lang w:eastAsia="en-GB"/>
        </w:rPr>
        <w:t>S</w:t>
      </w:r>
      <w:r w:rsidR="00EA56EA">
        <w:rPr>
          <w:iCs/>
          <w:noProof/>
          <w:lang w:eastAsia="en-GB"/>
        </w:rPr>
        <w:t>tates</w:t>
      </w:r>
      <w:r w:rsidRPr="002A6256">
        <w:rPr>
          <w:iCs/>
          <w:noProof/>
          <w:lang w:eastAsia="en-GB"/>
        </w:rPr>
        <w:t xml:space="preserve">.  </w:t>
      </w:r>
      <w:r w:rsidR="00167A3E">
        <w:rPr>
          <w:iCs/>
          <w:noProof/>
          <w:lang w:eastAsia="en-GB"/>
        </w:rPr>
        <w:t xml:space="preserve">She also imposed under Article 7(3)(a) of the UK-US MLA Treaty a condition requiring that the material could only be used for the purposes of a federal prosecution of Mr Kotey and Mr El Sheikh and Attorney General Barr was informed accordingly. </w:t>
      </w:r>
      <w:r w:rsidRPr="002A6256">
        <w:rPr>
          <w:iCs/>
          <w:noProof/>
          <w:lang w:eastAsia="en-GB"/>
        </w:rPr>
        <w:t xml:space="preserve">An email from </w:t>
      </w:r>
      <w:r w:rsidR="00905202" w:rsidRPr="002A6256">
        <w:rPr>
          <w:iCs/>
          <w:noProof/>
          <w:lang w:eastAsia="en-GB"/>
        </w:rPr>
        <w:t>her</w:t>
      </w:r>
      <w:r w:rsidRPr="002A6256">
        <w:rPr>
          <w:iCs/>
          <w:noProof/>
          <w:lang w:eastAsia="en-GB"/>
        </w:rPr>
        <w:t xml:space="preserve"> Private Secretary (National Security) </w:t>
      </w:r>
      <w:r w:rsidR="006C59CD">
        <w:rPr>
          <w:iCs/>
          <w:noProof/>
          <w:lang w:eastAsia="en-GB"/>
        </w:rPr>
        <w:t xml:space="preserve">of 24 August 2020 </w:t>
      </w:r>
      <w:r w:rsidR="00BE7552" w:rsidRPr="002A6256">
        <w:rPr>
          <w:iCs/>
          <w:noProof/>
          <w:lang w:eastAsia="en-GB"/>
        </w:rPr>
        <w:t>set out</w:t>
      </w:r>
      <w:r w:rsidRPr="002A6256">
        <w:rPr>
          <w:iCs/>
          <w:noProof/>
          <w:lang w:eastAsia="en-GB"/>
        </w:rPr>
        <w:t xml:space="preserve"> the Secretary of State’s conclusions.  </w:t>
      </w:r>
      <w:r w:rsidR="00845A2D">
        <w:rPr>
          <w:iCs/>
          <w:noProof/>
          <w:lang w:eastAsia="en-GB"/>
        </w:rPr>
        <w:t xml:space="preserve">The reasons for that decision were set out in the UKCA </w:t>
      </w:r>
      <w:r w:rsidR="0018297D">
        <w:rPr>
          <w:iCs/>
          <w:noProof/>
          <w:lang w:eastAsia="en-GB"/>
        </w:rPr>
        <w:t>S</w:t>
      </w:r>
      <w:r w:rsidR="00845A2D">
        <w:rPr>
          <w:iCs/>
          <w:noProof/>
          <w:lang w:eastAsia="en-GB"/>
        </w:rPr>
        <w:t>ubmission and in the ‘memo of decision’ which, in summary, adopted the reasoning of the</w:t>
      </w:r>
      <w:r w:rsidR="00A334AA">
        <w:rPr>
          <w:iCs/>
          <w:noProof/>
          <w:lang w:eastAsia="en-GB"/>
        </w:rPr>
        <w:t xml:space="preserve"> UKCA </w:t>
      </w:r>
      <w:r w:rsidR="00845A2D">
        <w:rPr>
          <w:iCs/>
          <w:noProof/>
          <w:lang w:eastAsia="en-GB"/>
        </w:rPr>
        <w:t xml:space="preserve"> </w:t>
      </w:r>
      <w:r w:rsidR="0018297D">
        <w:rPr>
          <w:iCs/>
          <w:noProof/>
          <w:lang w:eastAsia="en-GB"/>
        </w:rPr>
        <w:t>S</w:t>
      </w:r>
      <w:r w:rsidR="00845A2D">
        <w:rPr>
          <w:iCs/>
          <w:noProof/>
          <w:lang w:eastAsia="en-GB"/>
        </w:rPr>
        <w:t xml:space="preserve">ubmission. The memo of decision </w:t>
      </w:r>
      <w:r w:rsidRPr="002A6256">
        <w:rPr>
          <w:iCs/>
          <w:noProof/>
          <w:lang w:eastAsia="en-GB"/>
        </w:rPr>
        <w:t xml:space="preserve">included the following: </w:t>
      </w:r>
    </w:p>
    <w:p w14:paraId="1B870C34" w14:textId="44FF6F4D" w:rsidR="000D1FE5" w:rsidRPr="001171FB" w:rsidRDefault="001136F2" w:rsidP="006D28AA">
      <w:pPr>
        <w:spacing w:after="240"/>
        <w:ind w:left="1418" w:right="1440"/>
        <w:jc w:val="both"/>
        <w:rPr>
          <w:color w:val="000000" w:themeColor="text1"/>
          <w:lang w:eastAsia="en-GB"/>
        </w:rPr>
      </w:pPr>
      <w:r>
        <w:rPr>
          <w:color w:val="000000" w:themeColor="text1"/>
          <w:lang w:eastAsia="zh-CN"/>
        </w:rPr>
        <w:t>“</w:t>
      </w:r>
      <w:r w:rsidR="000D1FE5" w:rsidRPr="001171FB">
        <w:rPr>
          <w:color w:val="000000" w:themeColor="text1"/>
          <w:lang w:eastAsia="zh-CN"/>
        </w:rPr>
        <w:t>The decision to transfer was strictly necessary, proportionate and fair, for the reasons set out in the Annex to the submission dealing with the Data Protection Act. In particular, the US cannot prosecute without the material and will prosecute with the material. She also took into account the greatly reduced human rights concerns now that a death penalty assurance has been provided, the severity of the crimes, and the alternatives to a US prosecution (in particular transfer to Iraq). Even if the CPS had concluded their review and a prosecution of El Sheikh was possible in the UK, it does not mean that a UK prosecution must be pursued over the US prosecution, even if feasible</w:t>
      </w:r>
      <w:r w:rsidR="008E3124" w:rsidRPr="001171FB">
        <w:rPr>
          <w:color w:val="000000" w:themeColor="text1"/>
          <w:lang w:eastAsia="zh-CN"/>
        </w:rPr>
        <w:t>.</w:t>
      </w:r>
    </w:p>
    <w:p w14:paraId="408FA08C" w14:textId="4A455F91" w:rsidR="000D1FE5" w:rsidRPr="001171FB" w:rsidRDefault="000D1FE5" w:rsidP="006D28AA">
      <w:pPr>
        <w:spacing w:after="240"/>
        <w:ind w:left="1418" w:right="1440"/>
        <w:jc w:val="both"/>
        <w:rPr>
          <w:color w:val="000000" w:themeColor="text1"/>
          <w:lang w:eastAsia="zh-CN"/>
        </w:rPr>
      </w:pPr>
      <w:r w:rsidRPr="001171FB">
        <w:rPr>
          <w:color w:val="000000" w:themeColor="text1"/>
          <w:lang w:eastAsia="zh-CN"/>
        </w:rPr>
        <w:t>The other requirements of the various data protection principles were made out, for the reasons set out in the Annex. </w:t>
      </w:r>
    </w:p>
    <w:p w14:paraId="3DD1A841" w14:textId="5A2A6D04" w:rsidR="000D1FE5" w:rsidRDefault="000D1FE5" w:rsidP="006D28AA">
      <w:pPr>
        <w:spacing w:after="240"/>
        <w:ind w:left="1418" w:right="1440"/>
        <w:jc w:val="both"/>
        <w:rPr>
          <w:color w:val="000000" w:themeColor="text1"/>
          <w:lang w:eastAsia="zh-CN"/>
        </w:rPr>
      </w:pPr>
      <w:r w:rsidRPr="001171FB">
        <w:rPr>
          <w:color w:val="000000" w:themeColor="text1"/>
          <w:lang w:eastAsia="zh-CN"/>
        </w:rPr>
        <w:t>As to the conditions which apply to an international transfer, and in particular condition 2, each of the gateways identified in the Annex were open to her. In particular, for the reasons set out in the Annex, there are “appropriate safeguards” in the meaning of s75(1)(a) or, in the alternative, s75(1)(b). In this regard, she took into account that she has agreed to move forward with making the</w:t>
      </w:r>
      <w:r w:rsidRPr="00261FB4">
        <w:rPr>
          <w:b/>
          <w:bCs/>
          <w:color w:val="000000" w:themeColor="text1"/>
          <w:lang w:eastAsia="zh-CN"/>
        </w:rPr>
        <w:t xml:space="preserve"> </w:t>
      </w:r>
      <w:r w:rsidRPr="00261FB4">
        <w:rPr>
          <w:color w:val="000000" w:themeColor="text1"/>
          <w:lang w:eastAsia="zh-CN"/>
        </w:rPr>
        <w:t>DPPA</w:t>
      </w:r>
      <w:r w:rsidR="00CD238F">
        <w:rPr>
          <w:rStyle w:val="FootnoteReference"/>
          <w:color w:val="000000" w:themeColor="text1"/>
          <w:lang w:eastAsia="zh-CN"/>
        </w:rPr>
        <w:footnoteReference w:id="2"/>
      </w:r>
      <w:r w:rsidRPr="001171FB">
        <w:rPr>
          <w:color w:val="000000" w:themeColor="text1"/>
          <w:lang w:eastAsia="zh-CN"/>
        </w:rPr>
        <w:t xml:space="preserve"> binding for MLA matters and this may therefore be in place at the point of transfer. In any event, and alternatively, the “special circumstances” gateway would be available in this case. In particular, the transfer was strictly necessary for the law enforcement purpose of prosecuting the data subjects in the USA and/or for the same legal purpose. In all the circumstances set out in the Submission as a whole, including the Annex, the data </w:t>
      </w:r>
      <w:r w:rsidRPr="001171FB">
        <w:rPr>
          <w:color w:val="000000" w:themeColor="text1"/>
          <w:lang w:eastAsia="zh-CN"/>
        </w:rPr>
        <w:lastRenderedPageBreak/>
        <w:t>subjects’ fundamental rights and freedoms (including the possible Article 3 argument) did not outweigh the very significant public interest in the transfer. Accordingly, Condition 2 was fulfilled.”</w:t>
      </w:r>
    </w:p>
    <w:p w14:paraId="2F308EE5" w14:textId="17D59319" w:rsidR="000D1FE5" w:rsidRDefault="000D1FE5" w:rsidP="006D28AA">
      <w:pPr>
        <w:numPr>
          <w:ilvl w:val="0"/>
          <w:numId w:val="1"/>
        </w:numPr>
        <w:suppressAutoHyphens/>
        <w:spacing w:before="240" w:after="240"/>
        <w:jc w:val="both"/>
        <w:outlineLvl w:val="0"/>
        <w:rPr>
          <w:iCs/>
          <w:lang w:eastAsia="en-GB"/>
        </w:rPr>
      </w:pPr>
      <w:r w:rsidRPr="002A6256">
        <w:rPr>
          <w:iCs/>
          <w:noProof/>
          <w:lang w:eastAsia="en-GB"/>
        </w:rPr>
        <w:t xml:space="preserve">On 26 August 2020, the Supreme Court </w:t>
      </w:r>
      <w:r w:rsidR="00EA56EA">
        <w:rPr>
          <w:iCs/>
          <w:noProof/>
          <w:lang w:eastAsia="en-GB"/>
        </w:rPr>
        <w:t xml:space="preserve">formally </w:t>
      </w:r>
      <w:r w:rsidRPr="002A6256">
        <w:rPr>
          <w:iCs/>
          <w:noProof/>
          <w:lang w:eastAsia="en-GB"/>
        </w:rPr>
        <w:t xml:space="preserve">issued a declaration that the </w:t>
      </w:r>
      <w:r w:rsidR="00845A2D">
        <w:rPr>
          <w:iCs/>
          <w:noProof/>
          <w:lang w:eastAsia="en-GB"/>
        </w:rPr>
        <w:t xml:space="preserve">then </w:t>
      </w:r>
      <w:r w:rsidRPr="002A6256">
        <w:rPr>
          <w:iCs/>
          <w:noProof/>
          <w:lang w:eastAsia="en-GB"/>
        </w:rPr>
        <w:t>Secretary</w:t>
      </w:r>
      <w:r w:rsidR="004468FE" w:rsidRPr="002A6256">
        <w:rPr>
          <w:iCs/>
          <w:noProof/>
          <w:lang w:eastAsia="en-GB"/>
        </w:rPr>
        <w:t xml:space="preserve"> of State</w:t>
      </w:r>
      <w:r w:rsidRPr="002A6256">
        <w:rPr>
          <w:iCs/>
          <w:noProof/>
          <w:lang w:eastAsia="en-GB"/>
        </w:rPr>
        <w:t xml:space="preserve">’s decision </w:t>
      </w:r>
      <w:r w:rsidR="00845A2D">
        <w:rPr>
          <w:iCs/>
          <w:noProof/>
          <w:lang w:eastAsia="en-GB"/>
        </w:rPr>
        <w:t xml:space="preserve">of </w:t>
      </w:r>
      <w:r w:rsidRPr="002A6256">
        <w:rPr>
          <w:iCs/>
          <w:noProof/>
          <w:lang w:eastAsia="en-GB"/>
        </w:rPr>
        <w:t>22 June 2018 to authorise the transmission to the United State</w:t>
      </w:r>
      <w:r w:rsidR="00937B48" w:rsidRPr="002A6256">
        <w:rPr>
          <w:iCs/>
          <w:noProof/>
          <w:lang w:eastAsia="en-GB"/>
        </w:rPr>
        <w:t>s</w:t>
      </w:r>
      <w:r w:rsidRPr="002A6256">
        <w:rPr>
          <w:iCs/>
          <w:noProof/>
          <w:lang w:eastAsia="en-GB"/>
        </w:rPr>
        <w:t xml:space="preserve"> of material had been unlawful under Part 3 of the DPA.  The Supreme Court declined to make any order relating to </w:t>
      </w:r>
      <w:r w:rsidR="004B06AE" w:rsidRPr="002A6256">
        <w:rPr>
          <w:iCs/>
          <w:noProof/>
          <w:lang w:eastAsia="en-GB"/>
        </w:rPr>
        <w:t xml:space="preserve">the </w:t>
      </w:r>
      <w:r w:rsidRPr="002A6256">
        <w:rPr>
          <w:iCs/>
          <w:noProof/>
          <w:lang w:eastAsia="en-GB"/>
        </w:rPr>
        <w:t xml:space="preserve">return of the material that had already been transmitted and it lifted the stay on the transmission of any further material.  </w:t>
      </w:r>
    </w:p>
    <w:p w14:paraId="3A8E86F1" w14:textId="2FED3392" w:rsidR="00104DC4" w:rsidRDefault="00104DC4" w:rsidP="006D28AA">
      <w:pPr>
        <w:numPr>
          <w:ilvl w:val="0"/>
          <w:numId w:val="1"/>
        </w:numPr>
        <w:suppressAutoHyphens/>
        <w:spacing w:before="240" w:after="240"/>
        <w:jc w:val="both"/>
        <w:outlineLvl w:val="0"/>
        <w:rPr>
          <w:iCs/>
          <w:lang w:eastAsia="en-GB"/>
        </w:rPr>
      </w:pPr>
      <w:r>
        <w:rPr>
          <w:iCs/>
          <w:noProof/>
          <w:lang w:eastAsia="en-GB"/>
        </w:rPr>
        <w:t>The Information Commissioner</w:t>
      </w:r>
      <w:r w:rsidR="009F4103">
        <w:rPr>
          <w:iCs/>
          <w:noProof/>
          <w:lang w:eastAsia="en-GB"/>
        </w:rPr>
        <w:t>’s Office (ICO)</w:t>
      </w:r>
      <w:r>
        <w:rPr>
          <w:iCs/>
          <w:noProof/>
          <w:lang w:eastAsia="en-GB"/>
        </w:rPr>
        <w:t xml:space="preserve"> </w:t>
      </w:r>
      <w:r w:rsidR="009F4103">
        <w:rPr>
          <w:iCs/>
          <w:noProof/>
          <w:lang w:eastAsia="en-GB"/>
        </w:rPr>
        <w:t xml:space="preserve">had </w:t>
      </w:r>
      <w:r>
        <w:rPr>
          <w:iCs/>
          <w:noProof/>
          <w:lang w:eastAsia="en-GB"/>
        </w:rPr>
        <w:t>intervened before the Supreme Court in Ms Elgizouli’s first application for judicial review. Following the Secretary of State’s decision of 24 August 2020</w:t>
      </w:r>
      <w:r w:rsidR="009F4103">
        <w:rPr>
          <w:iCs/>
          <w:noProof/>
          <w:lang w:eastAsia="en-GB"/>
        </w:rPr>
        <w:t>, the ICO</w:t>
      </w:r>
      <w:r>
        <w:rPr>
          <w:iCs/>
          <w:noProof/>
          <w:lang w:eastAsia="en-GB"/>
        </w:rPr>
        <w:t xml:space="preserve"> </w:t>
      </w:r>
      <w:r w:rsidR="009F4103">
        <w:rPr>
          <w:iCs/>
          <w:noProof/>
          <w:lang w:eastAsia="en-GB"/>
        </w:rPr>
        <w:t xml:space="preserve">indicated it wanted to assure itself the decision complied with the DPA. The GLD sent the decision and the UKCA Submission to the ICO on 27 August 2020. On the same date, the ICO’s Acting General Counsel sent an email in response indicating it  had now had an opportunity to consider the detailed information provided and had no further questions in the light of its consideration of that information. </w:t>
      </w:r>
    </w:p>
    <w:p w14:paraId="2F3C816B" w14:textId="747E7A61" w:rsidR="006D5FF3" w:rsidRPr="002A6256" w:rsidRDefault="000D1FE5" w:rsidP="006D28AA">
      <w:pPr>
        <w:numPr>
          <w:ilvl w:val="0"/>
          <w:numId w:val="1"/>
        </w:numPr>
        <w:suppressAutoHyphens/>
        <w:spacing w:before="240" w:after="240"/>
        <w:jc w:val="both"/>
        <w:outlineLvl w:val="0"/>
        <w:rPr>
          <w:iCs/>
          <w:lang w:eastAsia="en-GB"/>
        </w:rPr>
      </w:pPr>
      <w:r w:rsidRPr="002A6256">
        <w:rPr>
          <w:iCs/>
          <w:noProof/>
          <w:lang w:eastAsia="en-GB"/>
        </w:rPr>
        <w:t xml:space="preserve">Following an indication that the </w:t>
      </w:r>
      <w:r w:rsidR="00165E5F">
        <w:rPr>
          <w:iCs/>
          <w:noProof/>
          <w:lang w:eastAsia="en-GB"/>
        </w:rPr>
        <w:t>c</w:t>
      </w:r>
      <w:r w:rsidRPr="002A6256">
        <w:rPr>
          <w:iCs/>
          <w:noProof/>
          <w:lang w:eastAsia="en-GB"/>
        </w:rPr>
        <w:t>laimant intended to apply for urgent interim relief the Secretary</w:t>
      </w:r>
      <w:r w:rsidR="004468FE" w:rsidRPr="002A6256">
        <w:rPr>
          <w:iCs/>
          <w:noProof/>
          <w:lang w:eastAsia="en-GB"/>
        </w:rPr>
        <w:t xml:space="preserve"> of State</w:t>
      </w:r>
      <w:r w:rsidRPr="002A6256">
        <w:rPr>
          <w:iCs/>
          <w:noProof/>
          <w:lang w:eastAsia="en-GB"/>
        </w:rPr>
        <w:t xml:space="preserve"> undertook not to provide further material to the U</w:t>
      </w:r>
      <w:r w:rsidR="00FE35D7">
        <w:rPr>
          <w:iCs/>
          <w:noProof/>
          <w:lang w:eastAsia="en-GB"/>
        </w:rPr>
        <w:t xml:space="preserve">nited </w:t>
      </w:r>
      <w:r w:rsidRPr="002A6256">
        <w:rPr>
          <w:iCs/>
          <w:noProof/>
          <w:lang w:eastAsia="en-GB"/>
        </w:rPr>
        <w:t>S</w:t>
      </w:r>
      <w:r w:rsidR="00FE35D7">
        <w:rPr>
          <w:iCs/>
          <w:noProof/>
          <w:lang w:eastAsia="en-GB"/>
        </w:rPr>
        <w:t>tates</w:t>
      </w:r>
      <w:r w:rsidRPr="002A6256">
        <w:rPr>
          <w:iCs/>
          <w:noProof/>
          <w:lang w:eastAsia="en-GB"/>
        </w:rPr>
        <w:t xml:space="preserve"> Government pursuant to any request for MLA in relation to Mr El Sheikh until 4</w:t>
      </w:r>
      <w:r w:rsidR="00FE35D7">
        <w:rPr>
          <w:iCs/>
          <w:noProof/>
          <w:lang w:eastAsia="en-GB"/>
        </w:rPr>
        <w:t xml:space="preserve"> </w:t>
      </w:r>
      <w:r w:rsidRPr="002A6256">
        <w:rPr>
          <w:iCs/>
          <w:noProof/>
          <w:lang w:eastAsia="en-GB"/>
        </w:rPr>
        <w:t>p</w:t>
      </w:r>
      <w:r w:rsidR="001136F2">
        <w:rPr>
          <w:iCs/>
          <w:noProof/>
          <w:lang w:eastAsia="en-GB"/>
        </w:rPr>
        <w:t>.</w:t>
      </w:r>
      <w:r w:rsidRPr="002A6256">
        <w:rPr>
          <w:iCs/>
          <w:noProof/>
          <w:lang w:eastAsia="en-GB"/>
        </w:rPr>
        <w:t>m</w:t>
      </w:r>
      <w:r w:rsidR="001136F2">
        <w:rPr>
          <w:iCs/>
          <w:noProof/>
          <w:lang w:eastAsia="en-GB"/>
        </w:rPr>
        <w:t>.</w:t>
      </w:r>
      <w:r w:rsidRPr="002A6256">
        <w:rPr>
          <w:iCs/>
          <w:noProof/>
          <w:lang w:eastAsia="en-GB"/>
        </w:rPr>
        <w:t xml:space="preserve"> on 11 September 2020.  </w:t>
      </w:r>
    </w:p>
    <w:p w14:paraId="21B7C8C8" w14:textId="0A30B677" w:rsidR="006D5FF3" w:rsidRPr="006D5FF3" w:rsidRDefault="000D1FE5" w:rsidP="006D28AA">
      <w:pPr>
        <w:numPr>
          <w:ilvl w:val="0"/>
          <w:numId w:val="1"/>
        </w:numPr>
        <w:suppressAutoHyphens/>
        <w:spacing w:before="240" w:after="240"/>
        <w:jc w:val="both"/>
        <w:outlineLvl w:val="0"/>
        <w:rPr>
          <w:iCs/>
          <w:lang w:eastAsia="en-GB"/>
        </w:rPr>
      </w:pPr>
      <w:r w:rsidRPr="006D5FF3">
        <w:rPr>
          <w:iCs/>
          <w:noProof/>
          <w:lang w:eastAsia="en-GB"/>
        </w:rPr>
        <w:t>On 27 August 2020, the CPS decided there was sufficient evidence to provide a realistic pro</w:t>
      </w:r>
      <w:r w:rsidR="00AF0084" w:rsidRPr="006D5FF3">
        <w:rPr>
          <w:iCs/>
          <w:noProof/>
          <w:lang w:eastAsia="en-GB"/>
        </w:rPr>
        <w:t>spect</w:t>
      </w:r>
      <w:r w:rsidRPr="006D5FF3">
        <w:rPr>
          <w:iCs/>
          <w:noProof/>
          <w:lang w:eastAsia="en-GB"/>
        </w:rPr>
        <w:t xml:space="preserve"> of conviction and </w:t>
      </w:r>
      <w:r w:rsidR="006C59CD" w:rsidRPr="006D5FF3">
        <w:rPr>
          <w:iCs/>
          <w:noProof/>
          <w:lang w:eastAsia="en-GB"/>
        </w:rPr>
        <w:t xml:space="preserve">that </w:t>
      </w:r>
      <w:r w:rsidRPr="006D5FF3">
        <w:rPr>
          <w:iCs/>
          <w:noProof/>
          <w:lang w:eastAsia="en-GB"/>
        </w:rPr>
        <w:t>it was in the public inter</w:t>
      </w:r>
      <w:r w:rsidR="007108FF" w:rsidRPr="006D5FF3">
        <w:rPr>
          <w:iCs/>
          <w:noProof/>
          <w:lang w:eastAsia="en-GB"/>
        </w:rPr>
        <w:t>e</w:t>
      </w:r>
      <w:r w:rsidRPr="006D5FF3">
        <w:rPr>
          <w:iCs/>
          <w:noProof/>
          <w:lang w:eastAsia="en-GB"/>
        </w:rPr>
        <w:t>st to prosecute Mr El Sheikh for several serious, terro</w:t>
      </w:r>
      <w:r w:rsidR="00024077" w:rsidRPr="006D5FF3">
        <w:rPr>
          <w:iCs/>
          <w:noProof/>
          <w:lang w:eastAsia="en-GB"/>
        </w:rPr>
        <w:t>r</w:t>
      </w:r>
      <w:r w:rsidRPr="006D5FF3">
        <w:rPr>
          <w:iCs/>
          <w:noProof/>
          <w:lang w:eastAsia="en-GB"/>
        </w:rPr>
        <w:t>ism</w:t>
      </w:r>
      <w:r w:rsidR="001939D3">
        <w:rPr>
          <w:iCs/>
          <w:noProof/>
          <w:lang w:eastAsia="en-GB"/>
        </w:rPr>
        <w:t>-</w:t>
      </w:r>
      <w:r w:rsidRPr="006D5FF3">
        <w:rPr>
          <w:iCs/>
          <w:noProof/>
          <w:lang w:eastAsia="en-GB"/>
        </w:rPr>
        <w:t xml:space="preserve">related offences reflecting his criminality in Syria from 2013 onwards.  The </w:t>
      </w:r>
      <w:r w:rsidR="000E0EDE" w:rsidRPr="006D5FF3">
        <w:rPr>
          <w:iCs/>
          <w:noProof/>
          <w:lang w:eastAsia="en-GB"/>
        </w:rPr>
        <w:t>CPS</w:t>
      </w:r>
      <w:r w:rsidRPr="006D5FF3">
        <w:rPr>
          <w:iCs/>
          <w:noProof/>
          <w:lang w:eastAsia="en-GB"/>
        </w:rPr>
        <w:t xml:space="preserve"> concluded </w:t>
      </w:r>
      <w:r w:rsidR="00AF0084" w:rsidRPr="006D5FF3">
        <w:rPr>
          <w:iCs/>
          <w:noProof/>
          <w:lang w:eastAsia="en-GB"/>
        </w:rPr>
        <w:t xml:space="preserve">that </w:t>
      </w:r>
      <w:r w:rsidRPr="006D5FF3">
        <w:rPr>
          <w:iCs/>
          <w:noProof/>
          <w:lang w:eastAsia="en-GB"/>
        </w:rPr>
        <w:t>the relevant offences</w:t>
      </w:r>
      <w:r w:rsidR="00AF0084" w:rsidRPr="006D5FF3">
        <w:rPr>
          <w:iCs/>
          <w:noProof/>
          <w:lang w:eastAsia="en-GB"/>
        </w:rPr>
        <w:t xml:space="preserve"> required </w:t>
      </w:r>
      <w:r w:rsidRPr="006D5FF3">
        <w:rPr>
          <w:iCs/>
          <w:noProof/>
          <w:lang w:eastAsia="en-GB"/>
        </w:rPr>
        <w:t xml:space="preserve">either the consent of the Attorney General or the permission </w:t>
      </w:r>
      <w:r w:rsidR="00FE35D7" w:rsidRPr="006D5FF3">
        <w:rPr>
          <w:iCs/>
          <w:noProof/>
          <w:lang w:eastAsia="en-GB"/>
        </w:rPr>
        <w:t>of</w:t>
      </w:r>
      <w:r w:rsidRPr="006D5FF3">
        <w:rPr>
          <w:iCs/>
          <w:noProof/>
          <w:lang w:eastAsia="en-GB"/>
        </w:rPr>
        <w:t xml:space="preserve"> the Attorney General for the DPP to consent to prosecution.  On 1 September 2020, an application for consent, and permission to consent, </w:t>
      </w:r>
      <w:r w:rsidR="002821DB">
        <w:rPr>
          <w:iCs/>
          <w:noProof/>
          <w:lang w:eastAsia="en-GB"/>
        </w:rPr>
        <w:t>was</w:t>
      </w:r>
      <w:r w:rsidR="002821DB" w:rsidRPr="006D5FF3">
        <w:rPr>
          <w:iCs/>
          <w:noProof/>
          <w:lang w:eastAsia="en-GB"/>
        </w:rPr>
        <w:t xml:space="preserve"> </w:t>
      </w:r>
      <w:r w:rsidRPr="006D5FF3">
        <w:rPr>
          <w:iCs/>
          <w:noProof/>
          <w:lang w:eastAsia="en-GB"/>
        </w:rPr>
        <w:t xml:space="preserve">submitted to the Attorney General’s office.  On 10 September 2020,  the Attorney General indicated </w:t>
      </w:r>
      <w:r w:rsidR="00FE35D7" w:rsidRPr="006D5FF3">
        <w:rPr>
          <w:iCs/>
          <w:noProof/>
          <w:lang w:eastAsia="en-GB"/>
        </w:rPr>
        <w:t xml:space="preserve">in answer to a request made by the claimant’s solicitors, </w:t>
      </w:r>
      <w:r w:rsidRPr="006D5FF3">
        <w:rPr>
          <w:iCs/>
          <w:noProof/>
          <w:lang w:eastAsia="en-GB"/>
        </w:rPr>
        <w:t>that the case had recently been received by her office “and it is simply not possible to give an indication of time scale”.</w:t>
      </w:r>
      <w:r w:rsidR="006D5FF3" w:rsidRPr="006D5FF3">
        <w:rPr>
          <w:iCs/>
          <w:noProof/>
          <w:lang w:eastAsia="en-GB"/>
        </w:rPr>
        <w:t xml:space="preserve"> </w:t>
      </w:r>
    </w:p>
    <w:p w14:paraId="3968607F" w14:textId="4384C867" w:rsidR="00A61824" w:rsidRPr="00261FB4" w:rsidRDefault="00A629FB" w:rsidP="006D28AA">
      <w:pPr>
        <w:pStyle w:val="ParaLevel1"/>
        <w:rPr>
          <w:lang w:eastAsia="en-GB"/>
        </w:rPr>
      </w:pPr>
      <w:r w:rsidRPr="00261FB4">
        <w:rPr>
          <w:noProof/>
          <w:lang w:eastAsia="en-GB"/>
        </w:rPr>
        <w:t>At the conclusion of the hearing in the present application, shortly before 4</w:t>
      </w:r>
      <w:r w:rsidR="00FE35D7" w:rsidRPr="00261FB4">
        <w:rPr>
          <w:noProof/>
          <w:lang w:eastAsia="en-GB"/>
        </w:rPr>
        <w:t xml:space="preserve"> </w:t>
      </w:r>
      <w:r w:rsidRPr="00261FB4">
        <w:rPr>
          <w:noProof/>
          <w:lang w:eastAsia="en-GB"/>
        </w:rPr>
        <w:t>p</w:t>
      </w:r>
      <w:r w:rsidR="007D18DF" w:rsidRPr="00261FB4">
        <w:rPr>
          <w:noProof/>
          <w:lang w:eastAsia="en-GB"/>
        </w:rPr>
        <w:t>.</w:t>
      </w:r>
      <w:r w:rsidRPr="00261FB4">
        <w:rPr>
          <w:noProof/>
          <w:lang w:eastAsia="en-GB"/>
        </w:rPr>
        <w:t>m</w:t>
      </w:r>
      <w:r w:rsidR="007D18DF" w:rsidRPr="00261FB4">
        <w:rPr>
          <w:noProof/>
          <w:lang w:eastAsia="en-GB"/>
        </w:rPr>
        <w:t>.</w:t>
      </w:r>
      <w:r w:rsidRPr="00261FB4">
        <w:rPr>
          <w:noProof/>
          <w:lang w:eastAsia="en-GB"/>
        </w:rPr>
        <w:t xml:space="preserve"> on 11 September, we made an order prohibiting the Secretary of State </w:t>
      </w:r>
      <w:r w:rsidR="00063005" w:rsidRPr="00261FB4">
        <w:rPr>
          <w:noProof/>
          <w:lang w:eastAsia="en-GB"/>
        </w:rPr>
        <w:t xml:space="preserve">from </w:t>
      </w:r>
      <w:r w:rsidRPr="00261FB4">
        <w:rPr>
          <w:noProof/>
          <w:lang w:eastAsia="en-GB"/>
        </w:rPr>
        <w:t>providing any further material to the U</w:t>
      </w:r>
      <w:r w:rsidR="00063005" w:rsidRPr="00261FB4">
        <w:rPr>
          <w:noProof/>
          <w:lang w:eastAsia="en-GB"/>
        </w:rPr>
        <w:t xml:space="preserve">nited </w:t>
      </w:r>
      <w:r w:rsidRPr="00261FB4">
        <w:rPr>
          <w:noProof/>
          <w:lang w:eastAsia="en-GB"/>
        </w:rPr>
        <w:t>S</w:t>
      </w:r>
      <w:r w:rsidR="00063005" w:rsidRPr="00261FB4">
        <w:rPr>
          <w:noProof/>
          <w:lang w:eastAsia="en-GB"/>
        </w:rPr>
        <w:t>tates</w:t>
      </w:r>
      <w:r w:rsidRPr="00261FB4">
        <w:rPr>
          <w:noProof/>
          <w:lang w:eastAsia="en-GB"/>
        </w:rPr>
        <w:t xml:space="preserve"> Government until the handing down of this judgment</w:t>
      </w:r>
      <w:r w:rsidR="00063005" w:rsidRPr="00261FB4">
        <w:rPr>
          <w:noProof/>
          <w:lang w:eastAsia="en-GB"/>
        </w:rPr>
        <w:t xml:space="preserve"> or further order</w:t>
      </w:r>
      <w:r w:rsidRPr="00261FB4">
        <w:rPr>
          <w:noProof/>
          <w:lang w:eastAsia="en-GB"/>
        </w:rPr>
        <w:t xml:space="preserve">.  </w:t>
      </w:r>
    </w:p>
    <w:p w14:paraId="30EB8E12" w14:textId="0CEF4D6B" w:rsidR="006D5FF3" w:rsidRPr="00261FB4" w:rsidRDefault="000D1FE5" w:rsidP="006D28AA">
      <w:pPr>
        <w:suppressAutoHyphens/>
        <w:spacing w:before="240" w:after="240"/>
        <w:jc w:val="both"/>
        <w:outlineLvl w:val="0"/>
        <w:rPr>
          <w:iCs/>
          <w:lang w:eastAsia="en-GB"/>
        </w:rPr>
      </w:pPr>
      <w:r w:rsidRPr="00261FB4">
        <w:rPr>
          <w:i/>
          <w:noProof/>
          <w:lang w:eastAsia="en-GB"/>
        </w:rPr>
        <w:t xml:space="preserve">The </w:t>
      </w:r>
      <w:r w:rsidR="005B0632" w:rsidRPr="006D5FF3">
        <w:rPr>
          <w:i/>
          <w:noProof/>
          <w:lang w:eastAsia="en-GB"/>
        </w:rPr>
        <w:t xml:space="preserve">legal framework </w:t>
      </w:r>
    </w:p>
    <w:p w14:paraId="7668CA0A" w14:textId="586D50BC" w:rsidR="0056388C" w:rsidRPr="00261FB4" w:rsidRDefault="005B0632" w:rsidP="006D28AA">
      <w:pPr>
        <w:pStyle w:val="ParaLevel1"/>
      </w:pPr>
      <w:r w:rsidRPr="00BC6C93">
        <w:rPr>
          <w:lang w:eastAsia="en-GB"/>
        </w:rPr>
        <w:t>We are principally concerned with the UK-</w:t>
      </w:r>
      <w:r w:rsidR="001939D3">
        <w:rPr>
          <w:lang w:eastAsia="en-GB"/>
        </w:rPr>
        <w:t xml:space="preserve">US </w:t>
      </w:r>
      <w:r w:rsidRPr="00BC6C93">
        <w:rPr>
          <w:lang w:eastAsia="en-GB"/>
        </w:rPr>
        <w:t>MLA Treaty</w:t>
      </w:r>
      <w:r w:rsidR="00AF24CE" w:rsidRPr="00BC6C93">
        <w:rPr>
          <w:lang w:eastAsia="en-GB"/>
        </w:rPr>
        <w:t xml:space="preserve"> </w:t>
      </w:r>
      <w:r w:rsidR="005431FF" w:rsidRPr="00BC6C93">
        <w:rPr>
          <w:lang w:eastAsia="en-GB"/>
        </w:rPr>
        <w:t xml:space="preserve">as amended </w:t>
      </w:r>
      <w:r w:rsidRPr="00BC6C93">
        <w:rPr>
          <w:lang w:eastAsia="en-GB"/>
        </w:rPr>
        <w:t>and the DPA</w:t>
      </w:r>
      <w:r w:rsidR="0018297D">
        <w:rPr>
          <w:lang w:eastAsia="en-GB"/>
        </w:rPr>
        <w:t>.</w:t>
      </w:r>
    </w:p>
    <w:p w14:paraId="5B624E37" w14:textId="4EBE453A" w:rsidR="00974E6A" w:rsidRPr="00261FB4" w:rsidRDefault="00974E6A" w:rsidP="006D28AA">
      <w:pPr>
        <w:numPr>
          <w:ilvl w:val="0"/>
          <w:numId w:val="1"/>
        </w:numPr>
        <w:suppressAutoHyphens/>
        <w:spacing w:before="240" w:after="240"/>
        <w:jc w:val="both"/>
        <w:outlineLvl w:val="0"/>
        <w:rPr>
          <w:iCs/>
          <w:lang w:eastAsia="en-GB"/>
        </w:rPr>
      </w:pPr>
      <w:r w:rsidRPr="004C4443">
        <w:rPr>
          <w:lang w:eastAsia="en-GB"/>
        </w:rPr>
        <w:t>Article 1 of the UK-</w:t>
      </w:r>
      <w:r>
        <w:rPr>
          <w:lang w:eastAsia="en-GB"/>
        </w:rPr>
        <w:t xml:space="preserve">US </w:t>
      </w:r>
      <w:r w:rsidRPr="004C4443">
        <w:rPr>
          <w:lang w:eastAsia="en-GB"/>
        </w:rPr>
        <w:t>MLA Treaty as amended, obliges the parties to provide mutual assistance for the purpose of proceedings, which by Article 19</w:t>
      </w:r>
      <w:r w:rsidR="005A1234">
        <w:rPr>
          <w:lang w:eastAsia="en-GB"/>
        </w:rPr>
        <w:t>,</w:t>
      </w:r>
      <w:r w:rsidRPr="004C4443">
        <w:rPr>
          <w:lang w:eastAsia="en-GB"/>
        </w:rPr>
        <w:t xml:space="preserve">  means proceedings related to criminal matters and includes any measure or step taken in connection with the investigation or prosecution of criminal offences. </w:t>
      </w:r>
    </w:p>
    <w:p w14:paraId="06D43BDB" w14:textId="1DFD8F2A" w:rsidR="000D1FE5" w:rsidRPr="00050A9B" w:rsidRDefault="00050A9B" w:rsidP="006D28AA">
      <w:pPr>
        <w:numPr>
          <w:ilvl w:val="0"/>
          <w:numId w:val="1"/>
        </w:numPr>
        <w:suppressAutoHyphens/>
        <w:spacing w:before="240" w:after="240"/>
        <w:jc w:val="both"/>
        <w:outlineLvl w:val="0"/>
        <w:rPr>
          <w:iCs/>
          <w:lang w:eastAsia="en-GB"/>
        </w:rPr>
      </w:pPr>
      <w:r>
        <w:lastRenderedPageBreak/>
        <w:t>On 23 May 2018 the D</w:t>
      </w:r>
      <w:r w:rsidR="0090213F">
        <w:t xml:space="preserve">PA </w:t>
      </w:r>
      <w:r>
        <w:t>came into force.  I</w:t>
      </w:r>
      <w:r w:rsidR="000D1FE5" w:rsidRPr="00050A9B">
        <w:rPr>
          <w:iCs/>
          <w:noProof/>
          <w:lang w:eastAsia="en-GB"/>
        </w:rPr>
        <w:t>t is common ground between the partie</w:t>
      </w:r>
      <w:r w:rsidR="00CA01A3" w:rsidRPr="00050A9B">
        <w:rPr>
          <w:iCs/>
          <w:noProof/>
          <w:lang w:eastAsia="en-GB"/>
        </w:rPr>
        <w:t xml:space="preserve">s that the </w:t>
      </w:r>
      <w:r w:rsidR="008F7DCB" w:rsidRPr="00050A9B">
        <w:rPr>
          <w:iCs/>
          <w:noProof/>
          <w:lang w:eastAsia="en-GB"/>
        </w:rPr>
        <w:t xml:space="preserve">transmission of material </w:t>
      </w:r>
      <w:r w:rsidR="000D1FE5" w:rsidRPr="00050A9B">
        <w:rPr>
          <w:iCs/>
          <w:noProof/>
          <w:lang w:eastAsia="en-GB"/>
        </w:rPr>
        <w:t>from the U</w:t>
      </w:r>
      <w:r w:rsidR="0090213F">
        <w:rPr>
          <w:iCs/>
          <w:noProof/>
          <w:lang w:eastAsia="en-GB"/>
        </w:rPr>
        <w:t xml:space="preserve">nited </w:t>
      </w:r>
      <w:r w:rsidR="000D1FE5" w:rsidRPr="00050A9B">
        <w:rPr>
          <w:iCs/>
          <w:noProof/>
          <w:lang w:eastAsia="en-GB"/>
        </w:rPr>
        <w:t>K</w:t>
      </w:r>
      <w:r w:rsidR="0090213F">
        <w:rPr>
          <w:iCs/>
          <w:noProof/>
          <w:lang w:eastAsia="en-GB"/>
        </w:rPr>
        <w:t>ingdom</w:t>
      </w:r>
      <w:r w:rsidR="000D1FE5" w:rsidRPr="00050A9B">
        <w:rPr>
          <w:iCs/>
          <w:noProof/>
          <w:lang w:eastAsia="en-GB"/>
        </w:rPr>
        <w:t xml:space="preserve"> to the U</w:t>
      </w:r>
      <w:r w:rsidR="0090213F">
        <w:rPr>
          <w:iCs/>
          <w:noProof/>
          <w:lang w:eastAsia="en-GB"/>
        </w:rPr>
        <w:t xml:space="preserve">nited </w:t>
      </w:r>
      <w:r w:rsidR="000D1FE5" w:rsidRPr="00050A9B">
        <w:rPr>
          <w:iCs/>
          <w:noProof/>
          <w:lang w:eastAsia="en-GB"/>
        </w:rPr>
        <w:t>S</w:t>
      </w:r>
      <w:r w:rsidR="0090213F">
        <w:rPr>
          <w:iCs/>
          <w:noProof/>
          <w:lang w:eastAsia="en-GB"/>
        </w:rPr>
        <w:t>tates</w:t>
      </w:r>
      <w:r w:rsidR="000D1FE5" w:rsidRPr="00050A9B">
        <w:rPr>
          <w:iCs/>
          <w:noProof/>
          <w:lang w:eastAsia="en-GB"/>
        </w:rPr>
        <w:t xml:space="preserve"> involves “processing” of “personal data” for a “law enforcement purpose” by a “controller” which is a “competent authority” for the purposes of Part 3 of the DPA.  Any relevant processing must therefore be compatible with that part of the Act.  </w:t>
      </w:r>
    </w:p>
    <w:p w14:paraId="3E0D7408" w14:textId="35232BAC" w:rsidR="00E50087" w:rsidRDefault="000D1FE5" w:rsidP="006D28AA">
      <w:pPr>
        <w:pStyle w:val="ParaLevel1"/>
        <w:rPr>
          <w:rFonts w:eastAsiaTheme="minorHAnsi"/>
          <w:szCs w:val="24"/>
        </w:rPr>
      </w:pPr>
      <w:r w:rsidRPr="002A6256">
        <w:rPr>
          <w:iCs/>
          <w:noProof/>
          <w:lang w:eastAsia="en-GB"/>
        </w:rPr>
        <w:t xml:space="preserve">Part 3 of the DPA implements the European Union’s </w:t>
      </w:r>
      <w:r w:rsidR="00D00F94" w:rsidRPr="002A6256">
        <w:rPr>
          <w:iCs/>
          <w:noProof/>
          <w:lang w:eastAsia="en-GB"/>
        </w:rPr>
        <w:t>Law</w:t>
      </w:r>
      <w:r w:rsidRPr="002A6256">
        <w:rPr>
          <w:iCs/>
          <w:noProof/>
          <w:lang w:eastAsia="en-GB"/>
        </w:rPr>
        <w:t xml:space="preserve"> </w:t>
      </w:r>
      <w:r w:rsidR="00D00F94" w:rsidRPr="002A6256">
        <w:rPr>
          <w:iCs/>
          <w:noProof/>
          <w:lang w:eastAsia="en-GB"/>
        </w:rPr>
        <w:t>E</w:t>
      </w:r>
      <w:r w:rsidRPr="002A6256">
        <w:rPr>
          <w:iCs/>
          <w:noProof/>
          <w:lang w:eastAsia="en-GB"/>
        </w:rPr>
        <w:t xml:space="preserve">nforcement </w:t>
      </w:r>
      <w:r w:rsidR="00D23EB9" w:rsidRPr="002A6256">
        <w:rPr>
          <w:iCs/>
          <w:noProof/>
          <w:lang w:eastAsia="en-GB"/>
        </w:rPr>
        <w:t>Dir</w:t>
      </w:r>
      <w:r w:rsidRPr="002A6256">
        <w:rPr>
          <w:iCs/>
          <w:noProof/>
          <w:lang w:eastAsia="en-GB"/>
        </w:rPr>
        <w:t>ective (Directive EU 2016 /6</w:t>
      </w:r>
      <w:r w:rsidR="00E01F3E" w:rsidRPr="002A6256">
        <w:rPr>
          <w:iCs/>
          <w:noProof/>
          <w:lang w:eastAsia="en-GB"/>
        </w:rPr>
        <w:t>8</w:t>
      </w:r>
      <w:r w:rsidRPr="002A6256">
        <w:rPr>
          <w:iCs/>
          <w:noProof/>
          <w:lang w:eastAsia="en-GB"/>
        </w:rPr>
        <w:t>0) (the LED).</w:t>
      </w:r>
      <w:r w:rsidR="008F7DCB" w:rsidRPr="002A6256">
        <w:rPr>
          <w:iCs/>
          <w:lang w:eastAsia="en-GB"/>
        </w:rPr>
        <w:t xml:space="preserve">  </w:t>
      </w:r>
      <w:r w:rsidR="00E50087" w:rsidRPr="002A6256">
        <w:rPr>
          <w:rFonts w:eastAsiaTheme="minorHAnsi"/>
          <w:szCs w:val="24"/>
        </w:rPr>
        <w:t xml:space="preserve">The LED is directed to the “protection of natural persons with regard to the processing of personal data by competent authorities for the purpose of the prevention, investigation, detection or prosecution of criminal offences…”.  </w:t>
      </w:r>
    </w:p>
    <w:p w14:paraId="4AF63C93" w14:textId="2C3666AB" w:rsidR="00E50087" w:rsidRPr="002A6256" w:rsidRDefault="00E50087" w:rsidP="006D28AA">
      <w:pPr>
        <w:pStyle w:val="ParaLevel1"/>
        <w:rPr>
          <w:rFonts w:eastAsiaTheme="minorHAnsi"/>
          <w:szCs w:val="24"/>
        </w:rPr>
      </w:pPr>
      <w:r>
        <w:rPr>
          <w:iCs/>
          <w:lang w:eastAsia="en-GB"/>
        </w:rPr>
        <w:t xml:space="preserve">It is pertinent to set out two of the recitals to the LED.  </w:t>
      </w:r>
      <w:r w:rsidRPr="002A6256">
        <w:rPr>
          <w:rFonts w:eastAsiaTheme="minorHAnsi"/>
          <w:szCs w:val="24"/>
        </w:rPr>
        <w:t>Recital 4 provides:</w:t>
      </w:r>
    </w:p>
    <w:p w14:paraId="0C2B07D2" w14:textId="08244942" w:rsidR="00E50087" w:rsidRPr="002A6256" w:rsidRDefault="00E50087" w:rsidP="002D1644">
      <w:pPr>
        <w:spacing w:after="160"/>
        <w:ind w:left="1440" w:right="1374"/>
        <w:contextualSpacing/>
        <w:jc w:val="both"/>
        <w:rPr>
          <w:rFonts w:eastAsiaTheme="minorHAnsi"/>
        </w:rPr>
      </w:pPr>
      <w:r>
        <w:rPr>
          <w:rFonts w:eastAsiaTheme="minorHAnsi"/>
        </w:rPr>
        <w:t>“</w:t>
      </w:r>
      <w:r w:rsidRPr="002A6256">
        <w:rPr>
          <w:rFonts w:eastAsiaTheme="minorHAnsi"/>
        </w:rPr>
        <w:t>The free flow of personal data between competent authorities for the purposes of the prevention, investigation, detection or prosecution of criminal offences or the execution of criminal penalties, including the safeguarding against and the prevention of threats to public security within the Union and the transfer of such personal data to third countries and international organisations, should be facilitated while ensuring a high level of protection of personal data. Those developments require the building of a strong and more coherent framework for the protection of personal data in the Union, backed by strong enforcement.</w:t>
      </w:r>
      <w:r>
        <w:rPr>
          <w:rFonts w:eastAsiaTheme="minorHAnsi"/>
        </w:rPr>
        <w:t>”</w:t>
      </w:r>
    </w:p>
    <w:p w14:paraId="69D7C84C" w14:textId="77777777" w:rsidR="00E50087" w:rsidRPr="002A6256" w:rsidRDefault="00E50087" w:rsidP="006D28AA">
      <w:pPr>
        <w:pStyle w:val="ParaLevel1"/>
        <w:rPr>
          <w:rFonts w:eastAsiaTheme="minorHAnsi"/>
          <w:szCs w:val="24"/>
        </w:rPr>
      </w:pPr>
      <w:r w:rsidRPr="002A6256">
        <w:rPr>
          <w:rFonts w:eastAsiaTheme="minorHAnsi"/>
          <w:szCs w:val="24"/>
        </w:rPr>
        <w:t>Recital 7 provides:</w:t>
      </w:r>
    </w:p>
    <w:p w14:paraId="162BF09E" w14:textId="733CCDC5" w:rsidR="00E50087" w:rsidRDefault="00754487" w:rsidP="006D28AA">
      <w:pPr>
        <w:spacing w:after="160"/>
        <w:ind w:left="1440" w:right="1374"/>
        <w:contextualSpacing/>
        <w:jc w:val="both"/>
        <w:rPr>
          <w:rFonts w:eastAsiaTheme="minorHAnsi"/>
        </w:rPr>
      </w:pPr>
      <w:r>
        <w:rPr>
          <w:rFonts w:eastAsiaTheme="minorHAnsi"/>
        </w:rPr>
        <w:t>“</w:t>
      </w:r>
      <w:r w:rsidR="00E50087" w:rsidRPr="002A6256">
        <w:rPr>
          <w:rFonts w:eastAsiaTheme="minorHAnsi"/>
        </w:rPr>
        <w:t>Ensuring a consistent and high level of protection of the personal data of natural persons and facilitating the exchange of personal data between competent authorities of Members States is crucial in order to ensure effective judicial cooperation in criminal matters and police cooperation...Effective protection of personal data throughout the Union requires the strengthening of the rights of data subjects and of the obligations of those who process personal data, as well as equivalent powers for monitoring and ensuring compliance with the rules for the protection of personal data in the Member States.</w:t>
      </w:r>
      <w:r>
        <w:rPr>
          <w:rFonts w:eastAsiaTheme="minorHAnsi"/>
        </w:rPr>
        <w:t>”</w:t>
      </w:r>
    </w:p>
    <w:p w14:paraId="2D314539" w14:textId="77777777" w:rsidR="00754487" w:rsidRPr="002A6256" w:rsidRDefault="00754487" w:rsidP="006D28AA">
      <w:pPr>
        <w:spacing w:after="160"/>
        <w:ind w:left="1440"/>
        <w:contextualSpacing/>
        <w:jc w:val="both"/>
        <w:rPr>
          <w:rFonts w:eastAsiaTheme="minorHAnsi"/>
        </w:rPr>
      </w:pPr>
    </w:p>
    <w:p w14:paraId="641324F1" w14:textId="75696946" w:rsidR="00A10F24" w:rsidRPr="00BB26E5" w:rsidRDefault="000D1FE5" w:rsidP="00BB26E5">
      <w:pPr>
        <w:numPr>
          <w:ilvl w:val="0"/>
          <w:numId w:val="1"/>
        </w:numPr>
        <w:suppressAutoHyphens/>
        <w:spacing w:before="240" w:after="240"/>
        <w:jc w:val="both"/>
        <w:outlineLvl w:val="0"/>
        <w:rPr>
          <w:iCs/>
          <w:lang w:eastAsia="en-GB"/>
        </w:rPr>
      </w:pPr>
      <w:r w:rsidRPr="002A6256">
        <w:rPr>
          <w:iCs/>
          <w:noProof/>
          <w:lang w:eastAsia="en-GB"/>
        </w:rPr>
        <w:t>Section 34 of the DPA</w:t>
      </w:r>
      <w:r w:rsidR="00A92C6D" w:rsidRPr="002A6256">
        <w:rPr>
          <w:iCs/>
          <w:noProof/>
          <w:lang w:eastAsia="en-GB"/>
        </w:rPr>
        <w:t xml:space="preserve"> </w:t>
      </w:r>
      <w:r w:rsidRPr="002A6256">
        <w:rPr>
          <w:iCs/>
          <w:noProof/>
          <w:lang w:eastAsia="en-GB"/>
        </w:rPr>
        <w:t xml:space="preserve">establishes the general duty of the Data Controller.   </w:t>
      </w:r>
      <w:r w:rsidRPr="00BB26E5">
        <w:rPr>
          <w:iCs/>
          <w:noProof/>
          <w:lang w:eastAsia="en-GB"/>
        </w:rPr>
        <w:t xml:space="preserve">It </w:t>
      </w:r>
      <w:r w:rsidR="00341605" w:rsidRPr="00BB26E5">
        <w:rPr>
          <w:iCs/>
          <w:noProof/>
          <w:lang w:eastAsia="en-GB"/>
        </w:rPr>
        <w:t xml:space="preserve">describes </w:t>
      </w:r>
      <w:r w:rsidRPr="00BB26E5">
        <w:rPr>
          <w:iCs/>
          <w:noProof/>
          <w:lang w:eastAsia="en-GB"/>
        </w:rPr>
        <w:t xml:space="preserve">six data protection principles with which the Data Controller must comply. </w:t>
      </w:r>
    </w:p>
    <w:p w14:paraId="67C58B40" w14:textId="4DC7CA3D" w:rsidR="000D1FE5" w:rsidRPr="001171FB" w:rsidRDefault="000D1FE5" w:rsidP="006D28AA">
      <w:pPr>
        <w:numPr>
          <w:ilvl w:val="0"/>
          <w:numId w:val="1"/>
        </w:numPr>
        <w:suppressAutoHyphens/>
        <w:spacing w:before="240" w:after="240"/>
        <w:jc w:val="both"/>
        <w:outlineLvl w:val="0"/>
        <w:rPr>
          <w:iCs/>
          <w:color w:val="000000" w:themeColor="text1"/>
          <w:lang w:eastAsia="en-GB"/>
        </w:rPr>
      </w:pPr>
      <w:r w:rsidRPr="001171FB">
        <w:rPr>
          <w:color w:val="000000" w:themeColor="text1"/>
          <w:lang w:eastAsia="zh-CN"/>
        </w:rPr>
        <w:t xml:space="preserve">Section 35 </w:t>
      </w:r>
      <w:r w:rsidR="00A10F24" w:rsidRPr="001171FB">
        <w:rPr>
          <w:color w:val="000000" w:themeColor="text1"/>
          <w:lang w:eastAsia="zh-CN"/>
        </w:rPr>
        <w:t xml:space="preserve">provides </w:t>
      </w:r>
      <w:r w:rsidRPr="001171FB">
        <w:rPr>
          <w:color w:val="000000" w:themeColor="text1"/>
          <w:lang w:eastAsia="zh-CN"/>
        </w:rPr>
        <w:t>as follows:</w:t>
      </w:r>
    </w:p>
    <w:p w14:paraId="207BF70F" w14:textId="1FD86E48" w:rsidR="000D1FE5" w:rsidRPr="001171FB" w:rsidRDefault="00063005" w:rsidP="006D28AA">
      <w:pPr>
        <w:pStyle w:val="Quote"/>
        <w:ind w:right="1372"/>
        <w:rPr>
          <w:color w:val="000000" w:themeColor="text1"/>
          <w:szCs w:val="24"/>
          <w:lang w:eastAsia="en-GB"/>
        </w:rPr>
      </w:pPr>
      <w:r>
        <w:rPr>
          <w:color w:val="000000" w:themeColor="text1"/>
          <w:szCs w:val="24"/>
          <w:lang w:eastAsia="en-GB"/>
        </w:rPr>
        <w:t>“</w:t>
      </w:r>
      <w:r w:rsidR="00605A07" w:rsidRPr="001171FB">
        <w:rPr>
          <w:color w:val="000000" w:themeColor="text1"/>
          <w:szCs w:val="24"/>
          <w:lang w:eastAsia="en-GB"/>
        </w:rPr>
        <w:t>(</w:t>
      </w:r>
      <w:r w:rsidR="000D1FE5" w:rsidRPr="001171FB">
        <w:rPr>
          <w:color w:val="000000" w:themeColor="text1"/>
          <w:szCs w:val="24"/>
          <w:lang w:eastAsia="en-GB"/>
        </w:rPr>
        <w:t>1)  The first data protection principle is that the processing of personal data for any of the law enforcement purposes must be lawful and fair.</w:t>
      </w:r>
      <w:r w:rsidR="009924D2" w:rsidRPr="001171FB">
        <w:rPr>
          <w:color w:val="000000" w:themeColor="text1"/>
          <w:szCs w:val="24"/>
          <w:lang w:eastAsia="en-GB"/>
        </w:rPr>
        <w:t>”</w:t>
      </w:r>
    </w:p>
    <w:p w14:paraId="4EC1C800" w14:textId="77777777" w:rsidR="000D1FE5" w:rsidRPr="001171FB" w:rsidRDefault="000D1FE5" w:rsidP="006D28AA">
      <w:pPr>
        <w:pStyle w:val="Quote"/>
        <w:ind w:right="1372"/>
        <w:rPr>
          <w:color w:val="000000" w:themeColor="text1"/>
          <w:szCs w:val="24"/>
          <w:lang w:eastAsia="en-GB"/>
        </w:rPr>
      </w:pPr>
      <w:r w:rsidRPr="001171FB">
        <w:rPr>
          <w:color w:val="000000" w:themeColor="text1"/>
          <w:szCs w:val="24"/>
          <w:lang w:eastAsia="en-GB"/>
        </w:rPr>
        <w:t>(2)  The processing of personal data for any of the law enforcement purposes is lawful only if and to the extent that it is based on law and either—</w:t>
      </w:r>
    </w:p>
    <w:p w14:paraId="7B2281C3" w14:textId="77777777" w:rsidR="000D1FE5" w:rsidRPr="001171FB" w:rsidRDefault="000D1FE5" w:rsidP="006D28AA">
      <w:pPr>
        <w:pStyle w:val="Quote"/>
        <w:ind w:left="1701" w:right="1372"/>
        <w:rPr>
          <w:color w:val="000000" w:themeColor="text1"/>
          <w:szCs w:val="24"/>
          <w:lang w:eastAsia="en-GB"/>
        </w:rPr>
      </w:pPr>
      <w:r w:rsidRPr="001171FB">
        <w:rPr>
          <w:color w:val="000000" w:themeColor="text1"/>
          <w:szCs w:val="24"/>
          <w:lang w:eastAsia="en-GB"/>
        </w:rPr>
        <w:lastRenderedPageBreak/>
        <w:t>(a)  the data subject has given consent to the processing for that purpose, or</w:t>
      </w:r>
    </w:p>
    <w:p w14:paraId="0A02A4D2" w14:textId="731B2F2E" w:rsidR="00063005" w:rsidRPr="00261FB4" w:rsidRDefault="000D1FE5" w:rsidP="002D1644">
      <w:pPr>
        <w:pStyle w:val="Quote"/>
        <w:ind w:left="1701" w:right="1372"/>
        <w:rPr>
          <w:lang w:eastAsia="en-GB"/>
        </w:rPr>
      </w:pPr>
      <w:r w:rsidRPr="001171FB">
        <w:rPr>
          <w:color w:val="000000" w:themeColor="text1"/>
          <w:szCs w:val="24"/>
          <w:lang w:eastAsia="en-GB"/>
        </w:rPr>
        <w:t>(b)  the processing is necessary for the performance of a task carried out for that purpose by a competent authority.…</w:t>
      </w:r>
      <w:r w:rsidR="00063005">
        <w:rPr>
          <w:color w:val="000000" w:themeColor="text1"/>
          <w:szCs w:val="24"/>
          <w:lang w:eastAsia="en-GB"/>
        </w:rPr>
        <w:t>”</w:t>
      </w:r>
    </w:p>
    <w:p w14:paraId="5428F1E7" w14:textId="1648F734" w:rsidR="000D1FE5" w:rsidRPr="002A6256" w:rsidRDefault="000D1FE5" w:rsidP="006D28AA">
      <w:pPr>
        <w:numPr>
          <w:ilvl w:val="0"/>
          <w:numId w:val="1"/>
        </w:numPr>
        <w:suppressAutoHyphens/>
        <w:spacing w:before="240" w:after="240"/>
        <w:jc w:val="both"/>
        <w:outlineLvl w:val="0"/>
        <w:rPr>
          <w:color w:val="FF0000"/>
          <w:lang w:eastAsia="en-GB"/>
        </w:rPr>
      </w:pPr>
      <w:r w:rsidRPr="002A6256">
        <w:rPr>
          <w:lang w:eastAsia="en-GB"/>
        </w:rPr>
        <w:t>The second data protection principle is set out in section 36</w:t>
      </w:r>
      <w:r w:rsidR="00605A07" w:rsidRPr="002A6256">
        <w:rPr>
          <w:lang w:eastAsia="en-GB"/>
        </w:rPr>
        <w:t>:</w:t>
      </w:r>
    </w:p>
    <w:p w14:paraId="23EADABD" w14:textId="74EDFF7A" w:rsidR="000D1FE5" w:rsidRPr="001171FB" w:rsidRDefault="00063005" w:rsidP="006D28AA">
      <w:pPr>
        <w:pStyle w:val="Quote"/>
        <w:ind w:right="1372"/>
        <w:rPr>
          <w:color w:val="000000" w:themeColor="text1"/>
          <w:szCs w:val="24"/>
          <w:lang w:eastAsia="en-GB"/>
        </w:rPr>
      </w:pPr>
      <w:r>
        <w:rPr>
          <w:color w:val="000000" w:themeColor="text1"/>
          <w:szCs w:val="24"/>
          <w:lang w:eastAsia="en-GB"/>
        </w:rPr>
        <w:t>“</w:t>
      </w:r>
      <w:r w:rsidR="009679D1" w:rsidRPr="001171FB">
        <w:rPr>
          <w:color w:val="000000" w:themeColor="text1"/>
          <w:szCs w:val="24"/>
          <w:lang w:eastAsia="en-GB"/>
        </w:rPr>
        <w:t>(</w:t>
      </w:r>
      <w:r w:rsidR="000D1FE5" w:rsidRPr="001171FB">
        <w:rPr>
          <w:color w:val="000000" w:themeColor="text1"/>
          <w:szCs w:val="24"/>
          <w:lang w:eastAsia="en-GB"/>
        </w:rPr>
        <w:t>1) The second data protection principle is that—</w:t>
      </w:r>
    </w:p>
    <w:p w14:paraId="03D63D63" w14:textId="77777777" w:rsidR="000D1FE5" w:rsidRPr="001171FB" w:rsidRDefault="000D1FE5" w:rsidP="006D28AA">
      <w:pPr>
        <w:pStyle w:val="Quote"/>
        <w:ind w:left="1843" w:right="1372"/>
        <w:rPr>
          <w:color w:val="000000" w:themeColor="text1"/>
          <w:szCs w:val="24"/>
          <w:lang w:eastAsia="en-GB"/>
        </w:rPr>
      </w:pPr>
      <w:r w:rsidRPr="001171FB">
        <w:rPr>
          <w:color w:val="000000" w:themeColor="text1"/>
          <w:szCs w:val="24"/>
          <w:lang w:eastAsia="en-GB"/>
        </w:rPr>
        <w:t>(a)  the law enforcement purpose for which personal data is collected on any occasion must be specified, explicit and legitimate, and</w:t>
      </w:r>
    </w:p>
    <w:p w14:paraId="4CFD9F55" w14:textId="77777777" w:rsidR="000D1FE5" w:rsidRPr="001171FB" w:rsidRDefault="000D1FE5" w:rsidP="006D28AA">
      <w:pPr>
        <w:pStyle w:val="Quote"/>
        <w:ind w:left="1843" w:right="1372"/>
        <w:rPr>
          <w:color w:val="000000" w:themeColor="text1"/>
          <w:szCs w:val="24"/>
          <w:lang w:eastAsia="en-GB"/>
        </w:rPr>
      </w:pPr>
      <w:r w:rsidRPr="001171FB">
        <w:rPr>
          <w:color w:val="000000" w:themeColor="text1"/>
          <w:szCs w:val="24"/>
          <w:lang w:eastAsia="en-GB"/>
        </w:rPr>
        <w:t>(b)  personal data so collected must not be processed in a manner that is incompatible with the purpose for which it was collected.</w:t>
      </w:r>
    </w:p>
    <w:p w14:paraId="38D66BB4" w14:textId="1693CE50" w:rsidR="000D1FE5" w:rsidRPr="001171FB" w:rsidRDefault="000D1FE5" w:rsidP="006D28AA">
      <w:pPr>
        <w:pStyle w:val="Quote"/>
        <w:ind w:left="1560" w:right="1372"/>
        <w:rPr>
          <w:color w:val="000000" w:themeColor="text1"/>
          <w:szCs w:val="24"/>
          <w:lang w:eastAsia="en-GB"/>
        </w:rPr>
      </w:pPr>
      <w:r w:rsidRPr="001171FB">
        <w:rPr>
          <w:color w:val="000000" w:themeColor="text1"/>
          <w:szCs w:val="24"/>
          <w:lang w:eastAsia="en-GB"/>
        </w:rPr>
        <w:t>(2)  Paragraph (b) of the second data protection principle is subject to subsections (3) and (4).</w:t>
      </w:r>
    </w:p>
    <w:p w14:paraId="14EE9A7B" w14:textId="77777777" w:rsidR="000D1FE5" w:rsidRPr="001171FB" w:rsidRDefault="000D1FE5" w:rsidP="006D28AA">
      <w:pPr>
        <w:pStyle w:val="Quote"/>
        <w:ind w:left="1560" w:right="1372"/>
        <w:rPr>
          <w:color w:val="000000" w:themeColor="text1"/>
          <w:szCs w:val="24"/>
          <w:lang w:eastAsia="en-GB"/>
        </w:rPr>
      </w:pPr>
      <w:r w:rsidRPr="001171FB">
        <w:rPr>
          <w:color w:val="000000" w:themeColor="text1"/>
          <w:szCs w:val="24"/>
          <w:lang w:eastAsia="en-GB"/>
        </w:rPr>
        <w:t>(3)  Personal data collected for a law enforcement purpose may be processed for any other law enforcement purpose (whether by the controller that collected the data or by another controller) provided that—</w:t>
      </w:r>
    </w:p>
    <w:p w14:paraId="20A91C1B" w14:textId="77777777" w:rsidR="000D1FE5" w:rsidRPr="001171FB" w:rsidRDefault="000D1FE5" w:rsidP="006D28AA">
      <w:pPr>
        <w:pStyle w:val="Quote"/>
        <w:ind w:left="1843" w:right="1372"/>
        <w:rPr>
          <w:color w:val="000000" w:themeColor="text1"/>
          <w:szCs w:val="24"/>
          <w:lang w:eastAsia="en-GB"/>
        </w:rPr>
      </w:pPr>
      <w:r w:rsidRPr="001171FB">
        <w:rPr>
          <w:color w:val="000000" w:themeColor="text1"/>
          <w:szCs w:val="24"/>
          <w:lang w:eastAsia="en-GB"/>
        </w:rPr>
        <w:t>(a)  the controller is authorised by law to process the data for the other purpose, and</w:t>
      </w:r>
    </w:p>
    <w:p w14:paraId="12A7ECDC" w14:textId="77777777" w:rsidR="000D1FE5" w:rsidRPr="001171FB" w:rsidRDefault="000D1FE5" w:rsidP="006D28AA">
      <w:pPr>
        <w:pStyle w:val="Quote"/>
        <w:ind w:left="1843" w:right="1372"/>
        <w:rPr>
          <w:color w:val="000000" w:themeColor="text1"/>
          <w:szCs w:val="24"/>
          <w:lang w:eastAsia="en-GB"/>
        </w:rPr>
      </w:pPr>
      <w:r w:rsidRPr="001171FB">
        <w:rPr>
          <w:color w:val="000000" w:themeColor="text1"/>
          <w:szCs w:val="24"/>
          <w:lang w:eastAsia="en-GB"/>
        </w:rPr>
        <w:t>(b)  the processing is necessary and proportionate to that other purpose.</w:t>
      </w:r>
    </w:p>
    <w:p w14:paraId="789EDDE4" w14:textId="322A36F9" w:rsidR="000D1FE5" w:rsidRDefault="000D1FE5" w:rsidP="006D28AA">
      <w:pPr>
        <w:pStyle w:val="Quote"/>
        <w:ind w:left="1560" w:right="1372"/>
        <w:rPr>
          <w:color w:val="000000" w:themeColor="text1"/>
          <w:szCs w:val="24"/>
          <w:lang w:eastAsia="en-GB"/>
        </w:rPr>
      </w:pPr>
      <w:r w:rsidRPr="001171FB">
        <w:rPr>
          <w:color w:val="000000" w:themeColor="text1"/>
          <w:szCs w:val="24"/>
          <w:lang w:eastAsia="en-GB"/>
        </w:rPr>
        <w:t>(4)  Personal data collected for any of the law enforcement purposes may not be processed for a purpose that is not a law enforcement purpose unless the processing is authorised by law.</w:t>
      </w:r>
      <w:r w:rsidR="00063005">
        <w:rPr>
          <w:color w:val="000000" w:themeColor="text1"/>
          <w:szCs w:val="24"/>
          <w:lang w:eastAsia="en-GB"/>
        </w:rPr>
        <w:t>”</w:t>
      </w:r>
    </w:p>
    <w:p w14:paraId="01B3704A" w14:textId="214F3F07" w:rsidR="000D1FE5" w:rsidRPr="002A6256" w:rsidRDefault="000D1FE5" w:rsidP="006D28AA">
      <w:pPr>
        <w:numPr>
          <w:ilvl w:val="0"/>
          <w:numId w:val="1"/>
        </w:numPr>
        <w:suppressAutoHyphens/>
        <w:spacing w:before="240" w:after="240"/>
        <w:jc w:val="both"/>
        <w:outlineLvl w:val="0"/>
        <w:rPr>
          <w:iCs/>
          <w:lang w:eastAsia="en-GB"/>
        </w:rPr>
      </w:pPr>
      <w:r w:rsidRPr="002A6256">
        <w:rPr>
          <w:iCs/>
          <w:lang w:eastAsia="en-GB"/>
        </w:rPr>
        <w:t xml:space="preserve">The </w:t>
      </w:r>
      <w:r w:rsidR="00541430" w:rsidRPr="002A6256">
        <w:rPr>
          <w:iCs/>
          <w:lang w:eastAsia="en-GB"/>
        </w:rPr>
        <w:t>th</w:t>
      </w:r>
      <w:r w:rsidRPr="002A6256">
        <w:rPr>
          <w:iCs/>
          <w:lang w:eastAsia="en-GB"/>
        </w:rPr>
        <w:t xml:space="preserve">ird </w:t>
      </w:r>
      <w:r w:rsidR="00541430" w:rsidRPr="002A6256">
        <w:rPr>
          <w:iCs/>
          <w:lang w:eastAsia="en-GB"/>
        </w:rPr>
        <w:t>to sixth</w:t>
      </w:r>
      <w:r w:rsidRPr="002A6256">
        <w:rPr>
          <w:iCs/>
          <w:lang w:eastAsia="en-GB"/>
        </w:rPr>
        <w:t xml:space="preserve"> Data Protection Principles also fell for consideration by the Secretary of State but the </w:t>
      </w:r>
      <w:r w:rsidR="00165E5F">
        <w:rPr>
          <w:iCs/>
          <w:lang w:eastAsia="en-GB"/>
        </w:rPr>
        <w:t>c</w:t>
      </w:r>
      <w:r w:rsidRPr="002A6256">
        <w:rPr>
          <w:iCs/>
          <w:lang w:eastAsia="en-GB"/>
        </w:rPr>
        <w:t>laimant does not challenge the application of th</w:t>
      </w:r>
      <w:r w:rsidR="00307BDF" w:rsidRPr="002A6256">
        <w:rPr>
          <w:iCs/>
          <w:lang w:eastAsia="en-GB"/>
        </w:rPr>
        <w:t>ose</w:t>
      </w:r>
      <w:r w:rsidRPr="002A6256">
        <w:rPr>
          <w:iCs/>
          <w:lang w:eastAsia="en-GB"/>
        </w:rPr>
        <w:t xml:space="preserve"> principles in the case of this transfer.  </w:t>
      </w:r>
    </w:p>
    <w:p w14:paraId="675F5D3A" w14:textId="7472AD37" w:rsidR="00ED3EE3" w:rsidRPr="002A6256" w:rsidRDefault="000D1FE5" w:rsidP="006D28AA">
      <w:pPr>
        <w:numPr>
          <w:ilvl w:val="0"/>
          <w:numId w:val="1"/>
        </w:numPr>
        <w:suppressAutoHyphens/>
        <w:spacing w:before="240" w:after="240"/>
        <w:jc w:val="both"/>
        <w:outlineLvl w:val="0"/>
        <w:rPr>
          <w:iCs/>
          <w:lang w:eastAsia="en-GB"/>
        </w:rPr>
      </w:pPr>
      <w:r w:rsidRPr="002A6256">
        <w:rPr>
          <w:iCs/>
          <w:lang w:eastAsia="en-GB"/>
        </w:rPr>
        <w:t>Section 73 sets out principles governing international transfer of personal data</w:t>
      </w:r>
      <w:r w:rsidR="005A1234">
        <w:rPr>
          <w:iCs/>
          <w:lang w:eastAsia="en-GB"/>
        </w:rPr>
        <w:t>:</w:t>
      </w:r>
    </w:p>
    <w:p w14:paraId="50886B36" w14:textId="696EF09E" w:rsidR="00ED3EE3" w:rsidRPr="001171FB" w:rsidRDefault="00063005" w:rsidP="006D28AA">
      <w:pPr>
        <w:pStyle w:val="Quote"/>
        <w:ind w:right="1372"/>
        <w:rPr>
          <w:color w:val="000000" w:themeColor="text1"/>
          <w:szCs w:val="24"/>
          <w:lang w:eastAsia="en-GB"/>
        </w:rPr>
      </w:pPr>
      <w:r>
        <w:rPr>
          <w:color w:val="000000" w:themeColor="text1"/>
          <w:szCs w:val="24"/>
          <w:lang w:eastAsia="en-GB"/>
        </w:rPr>
        <w:t>“</w:t>
      </w:r>
      <w:r w:rsidR="00ED3EE3" w:rsidRPr="001171FB">
        <w:rPr>
          <w:color w:val="000000" w:themeColor="text1"/>
          <w:szCs w:val="24"/>
          <w:lang w:eastAsia="en-GB"/>
        </w:rPr>
        <w:t xml:space="preserve">(1) A controller may not transfer personal data to a third country </w:t>
      </w:r>
      <w:r w:rsidR="0039675C">
        <w:rPr>
          <w:color w:val="000000" w:themeColor="text1"/>
          <w:szCs w:val="24"/>
          <w:lang w:eastAsia="en-GB"/>
        </w:rPr>
        <w:t xml:space="preserve">          </w:t>
      </w:r>
      <w:r w:rsidR="00ED3EE3" w:rsidRPr="001171FB">
        <w:rPr>
          <w:color w:val="000000" w:themeColor="text1"/>
          <w:szCs w:val="24"/>
          <w:lang w:eastAsia="en-GB"/>
        </w:rPr>
        <w:t>or to an international organisation unless—</w:t>
      </w:r>
    </w:p>
    <w:p w14:paraId="1C85DB19" w14:textId="77777777" w:rsidR="00ED3EE3" w:rsidRPr="001171FB" w:rsidRDefault="00ED3EE3" w:rsidP="006D28AA">
      <w:pPr>
        <w:pStyle w:val="Quote"/>
        <w:ind w:left="1843" w:right="1372"/>
        <w:rPr>
          <w:color w:val="000000" w:themeColor="text1"/>
          <w:szCs w:val="24"/>
          <w:lang w:eastAsia="en-GB"/>
        </w:rPr>
      </w:pPr>
      <w:r w:rsidRPr="001171FB">
        <w:rPr>
          <w:color w:val="000000" w:themeColor="text1"/>
          <w:szCs w:val="24"/>
          <w:lang w:eastAsia="en-GB"/>
        </w:rPr>
        <w:t>(a)  the three conditions set out in subsections (2) to (4) are met, and</w:t>
      </w:r>
    </w:p>
    <w:p w14:paraId="563317CF" w14:textId="77777777" w:rsidR="00ED3EE3" w:rsidRPr="001171FB" w:rsidRDefault="00ED3EE3" w:rsidP="006D28AA">
      <w:pPr>
        <w:pStyle w:val="Quote"/>
        <w:ind w:left="1843" w:right="1372"/>
        <w:rPr>
          <w:color w:val="000000" w:themeColor="text1"/>
          <w:szCs w:val="24"/>
          <w:lang w:eastAsia="en-GB"/>
        </w:rPr>
      </w:pPr>
      <w:r w:rsidRPr="001171FB">
        <w:rPr>
          <w:color w:val="000000" w:themeColor="text1"/>
          <w:szCs w:val="24"/>
          <w:lang w:eastAsia="en-GB"/>
        </w:rPr>
        <w:t xml:space="preserve">(b)  in a case where the personal data was originally transmitted or otherwise made available to the controller or another competent authority by a member State other than the </w:t>
      </w:r>
      <w:r w:rsidRPr="001171FB">
        <w:rPr>
          <w:color w:val="000000" w:themeColor="text1"/>
          <w:szCs w:val="24"/>
          <w:lang w:eastAsia="en-GB"/>
        </w:rPr>
        <w:lastRenderedPageBreak/>
        <w:t>United Kingdom, that member State, or any person based in that member State which is a competent authority for the purposes of the Law Enforcement Directive, has authorised the transfer in accordance with the law of the member State.</w:t>
      </w:r>
    </w:p>
    <w:p w14:paraId="01255637" w14:textId="77777777" w:rsidR="00ED3EE3" w:rsidRPr="001171FB" w:rsidRDefault="00ED3EE3" w:rsidP="006D28AA">
      <w:pPr>
        <w:pStyle w:val="Quote"/>
        <w:ind w:right="1372"/>
        <w:rPr>
          <w:color w:val="000000" w:themeColor="text1"/>
          <w:szCs w:val="24"/>
          <w:lang w:eastAsia="en-GB"/>
        </w:rPr>
      </w:pPr>
      <w:r w:rsidRPr="001171FB">
        <w:rPr>
          <w:color w:val="000000" w:themeColor="text1"/>
          <w:szCs w:val="24"/>
          <w:lang w:eastAsia="en-GB"/>
        </w:rPr>
        <w:t>(2)  Condition 1 is that the transfer is necessary for any of the law enforcement purposes.</w:t>
      </w:r>
    </w:p>
    <w:p w14:paraId="106932AE" w14:textId="77777777" w:rsidR="00ED3EE3" w:rsidRPr="001171FB" w:rsidRDefault="00ED3EE3" w:rsidP="006D28AA">
      <w:pPr>
        <w:pStyle w:val="Quote"/>
        <w:ind w:right="1372"/>
        <w:rPr>
          <w:color w:val="000000" w:themeColor="text1"/>
          <w:szCs w:val="24"/>
          <w:lang w:eastAsia="en-GB"/>
        </w:rPr>
      </w:pPr>
      <w:r w:rsidRPr="001171FB">
        <w:rPr>
          <w:color w:val="000000" w:themeColor="text1"/>
          <w:szCs w:val="24"/>
          <w:lang w:eastAsia="en-GB"/>
        </w:rPr>
        <w:t>(3)  Condition 2 is that the transfer—</w:t>
      </w:r>
    </w:p>
    <w:p w14:paraId="2ECA079E" w14:textId="77777777" w:rsidR="00ED3EE3" w:rsidRPr="001171FB" w:rsidRDefault="00ED3EE3" w:rsidP="006D28AA">
      <w:pPr>
        <w:pStyle w:val="Quote"/>
        <w:ind w:left="1843" w:right="1372"/>
        <w:rPr>
          <w:color w:val="000000" w:themeColor="text1"/>
          <w:szCs w:val="24"/>
          <w:lang w:eastAsia="en-GB"/>
        </w:rPr>
      </w:pPr>
      <w:r w:rsidRPr="001171FB">
        <w:rPr>
          <w:color w:val="000000" w:themeColor="text1"/>
          <w:szCs w:val="24"/>
          <w:lang w:eastAsia="en-GB"/>
        </w:rPr>
        <w:t xml:space="preserve">(a)  is based on an adequacy decision (see </w:t>
      </w:r>
      <w:hyperlink r:id="rId12" w:history="1">
        <w:r w:rsidRPr="001171FB">
          <w:rPr>
            <w:rStyle w:val="Hyperlink"/>
            <w:iCs/>
            <w:color w:val="000000" w:themeColor="text1"/>
            <w:szCs w:val="24"/>
            <w:lang w:eastAsia="en-GB"/>
          </w:rPr>
          <w:t>section 74</w:t>
        </w:r>
      </w:hyperlink>
      <w:r w:rsidRPr="001171FB">
        <w:rPr>
          <w:color w:val="000000" w:themeColor="text1"/>
          <w:szCs w:val="24"/>
          <w:lang w:eastAsia="en-GB"/>
        </w:rPr>
        <w:t>),</w:t>
      </w:r>
    </w:p>
    <w:p w14:paraId="1793058A" w14:textId="77777777" w:rsidR="00ED3EE3" w:rsidRPr="001171FB" w:rsidRDefault="00ED3EE3" w:rsidP="006D28AA">
      <w:pPr>
        <w:pStyle w:val="Quote"/>
        <w:ind w:left="1843" w:right="1372"/>
        <w:rPr>
          <w:color w:val="000000" w:themeColor="text1"/>
          <w:szCs w:val="24"/>
          <w:lang w:eastAsia="en-GB"/>
        </w:rPr>
      </w:pPr>
      <w:r w:rsidRPr="001171FB">
        <w:rPr>
          <w:color w:val="000000" w:themeColor="text1"/>
          <w:szCs w:val="24"/>
          <w:lang w:eastAsia="en-GB"/>
        </w:rPr>
        <w:t xml:space="preserve">(b)  if not based on an adequacy decision, is based on there being appropriate safeguards (see </w:t>
      </w:r>
      <w:hyperlink r:id="rId13" w:history="1">
        <w:r w:rsidRPr="001171FB">
          <w:rPr>
            <w:rStyle w:val="Hyperlink"/>
            <w:iCs/>
            <w:color w:val="000000" w:themeColor="text1"/>
            <w:szCs w:val="24"/>
            <w:lang w:eastAsia="en-GB"/>
          </w:rPr>
          <w:t>section 75</w:t>
        </w:r>
      </w:hyperlink>
      <w:r w:rsidRPr="001171FB">
        <w:rPr>
          <w:color w:val="000000" w:themeColor="text1"/>
          <w:szCs w:val="24"/>
          <w:lang w:eastAsia="en-GB"/>
        </w:rPr>
        <w:t>), or</w:t>
      </w:r>
    </w:p>
    <w:p w14:paraId="7E4845C0" w14:textId="77777777" w:rsidR="00ED3EE3" w:rsidRPr="001171FB" w:rsidRDefault="00ED3EE3" w:rsidP="006D28AA">
      <w:pPr>
        <w:pStyle w:val="Quote"/>
        <w:ind w:left="1843" w:right="1372"/>
        <w:rPr>
          <w:color w:val="000000" w:themeColor="text1"/>
          <w:szCs w:val="24"/>
          <w:lang w:eastAsia="en-GB"/>
        </w:rPr>
      </w:pPr>
      <w:r w:rsidRPr="001171FB">
        <w:rPr>
          <w:color w:val="000000" w:themeColor="text1"/>
          <w:szCs w:val="24"/>
          <w:lang w:eastAsia="en-GB"/>
        </w:rPr>
        <w:t xml:space="preserve">(c)  if not based on an adequacy decision or on there being appropriate safeguards, is based on special circumstances (see </w:t>
      </w:r>
      <w:hyperlink r:id="rId14" w:history="1">
        <w:r w:rsidRPr="001171FB">
          <w:rPr>
            <w:rStyle w:val="Hyperlink"/>
            <w:iCs/>
            <w:color w:val="000000" w:themeColor="text1"/>
            <w:szCs w:val="24"/>
            <w:lang w:eastAsia="en-GB"/>
          </w:rPr>
          <w:t>section 76</w:t>
        </w:r>
      </w:hyperlink>
      <w:r w:rsidRPr="001171FB">
        <w:rPr>
          <w:color w:val="000000" w:themeColor="text1"/>
          <w:szCs w:val="24"/>
          <w:lang w:eastAsia="en-GB"/>
        </w:rPr>
        <w:t>).</w:t>
      </w:r>
    </w:p>
    <w:p w14:paraId="35A8CB4D" w14:textId="77777777" w:rsidR="00ED3EE3" w:rsidRPr="001171FB" w:rsidRDefault="00ED3EE3" w:rsidP="006D28AA">
      <w:pPr>
        <w:pStyle w:val="Quote"/>
        <w:ind w:right="1372"/>
        <w:rPr>
          <w:color w:val="000000" w:themeColor="text1"/>
          <w:szCs w:val="24"/>
          <w:lang w:eastAsia="en-GB"/>
        </w:rPr>
      </w:pPr>
      <w:r w:rsidRPr="001171FB">
        <w:rPr>
          <w:color w:val="000000" w:themeColor="text1"/>
          <w:szCs w:val="24"/>
          <w:lang w:eastAsia="en-GB"/>
        </w:rPr>
        <w:t>(4)  Condition 3 is that—</w:t>
      </w:r>
    </w:p>
    <w:p w14:paraId="278C2476" w14:textId="77777777" w:rsidR="00ED3EE3" w:rsidRPr="001171FB" w:rsidRDefault="00ED3EE3" w:rsidP="006D28AA">
      <w:pPr>
        <w:pStyle w:val="Quote"/>
        <w:ind w:left="1843" w:right="1372"/>
        <w:rPr>
          <w:color w:val="000000" w:themeColor="text1"/>
          <w:szCs w:val="24"/>
          <w:lang w:eastAsia="en-GB"/>
        </w:rPr>
      </w:pPr>
      <w:r w:rsidRPr="001171FB">
        <w:rPr>
          <w:color w:val="000000" w:themeColor="text1"/>
          <w:szCs w:val="24"/>
          <w:lang w:eastAsia="en-GB"/>
        </w:rPr>
        <w:t>(a)  the intended recipient is a relevant authority in a third country or an international organisation that is a relevant international organisation, or</w:t>
      </w:r>
    </w:p>
    <w:p w14:paraId="465F9464" w14:textId="359F9BD6" w:rsidR="00ED3EE3" w:rsidRPr="001171FB" w:rsidRDefault="00ED3EE3" w:rsidP="006D28AA">
      <w:pPr>
        <w:pStyle w:val="Quote"/>
        <w:ind w:left="1843" w:right="1372"/>
        <w:rPr>
          <w:color w:val="000000" w:themeColor="text1"/>
          <w:szCs w:val="24"/>
          <w:lang w:eastAsia="en-GB"/>
        </w:rPr>
      </w:pPr>
      <w:r w:rsidRPr="001171FB">
        <w:rPr>
          <w:color w:val="000000" w:themeColor="text1"/>
          <w:szCs w:val="24"/>
          <w:lang w:eastAsia="en-GB"/>
        </w:rPr>
        <w:t xml:space="preserve">(b)  in a case where the controller is a competent authority specified in any of </w:t>
      </w:r>
      <w:hyperlink r:id="rId15" w:history="1">
        <w:r w:rsidRPr="001171FB">
          <w:rPr>
            <w:rStyle w:val="Hyperlink"/>
            <w:iCs/>
            <w:color w:val="000000" w:themeColor="text1"/>
            <w:szCs w:val="24"/>
            <w:u w:val="none"/>
            <w:lang w:eastAsia="en-GB"/>
          </w:rPr>
          <w:t>paragraphs 5 to 17</w:t>
        </w:r>
      </w:hyperlink>
      <w:r w:rsidRPr="001171FB">
        <w:rPr>
          <w:color w:val="000000" w:themeColor="text1"/>
          <w:szCs w:val="24"/>
          <w:lang w:eastAsia="en-GB"/>
        </w:rPr>
        <w:t xml:space="preserve">, </w:t>
      </w:r>
      <w:hyperlink r:id="rId16" w:history="1">
        <w:r w:rsidRPr="001171FB">
          <w:rPr>
            <w:rStyle w:val="Hyperlink"/>
            <w:iCs/>
            <w:color w:val="000000" w:themeColor="text1"/>
            <w:szCs w:val="24"/>
            <w:u w:val="none"/>
            <w:lang w:eastAsia="en-GB"/>
          </w:rPr>
          <w:t>21</w:t>
        </w:r>
      </w:hyperlink>
      <w:r w:rsidRPr="001171FB">
        <w:rPr>
          <w:color w:val="000000" w:themeColor="text1"/>
          <w:szCs w:val="24"/>
          <w:lang w:eastAsia="en-GB"/>
        </w:rPr>
        <w:t xml:space="preserve">, </w:t>
      </w:r>
      <w:hyperlink r:id="rId17" w:history="1">
        <w:r w:rsidRPr="001171FB">
          <w:rPr>
            <w:rStyle w:val="Hyperlink"/>
            <w:iCs/>
            <w:color w:val="000000" w:themeColor="text1"/>
            <w:szCs w:val="24"/>
            <w:u w:val="none"/>
            <w:lang w:eastAsia="en-GB"/>
          </w:rPr>
          <w:t>24 to 28</w:t>
        </w:r>
      </w:hyperlink>
      <w:r w:rsidRPr="001171FB">
        <w:rPr>
          <w:color w:val="000000" w:themeColor="text1"/>
          <w:szCs w:val="24"/>
          <w:lang w:eastAsia="en-GB"/>
        </w:rPr>
        <w:t xml:space="preserve">, </w:t>
      </w:r>
      <w:hyperlink r:id="rId18" w:history="1">
        <w:r w:rsidRPr="001171FB">
          <w:rPr>
            <w:rStyle w:val="Hyperlink"/>
            <w:iCs/>
            <w:color w:val="000000" w:themeColor="text1"/>
            <w:szCs w:val="24"/>
            <w:u w:val="none"/>
            <w:lang w:eastAsia="en-GB"/>
          </w:rPr>
          <w:t>34 to 51</w:t>
        </w:r>
      </w:hyperlink>
      <w:r w:rsidRPr="001171FB">
        <w:rPr>
          <w:color w:val="000000" w:themeColor="text1"/>
          <w:szCs w:val="24"/>
          <w:lang w:eastAsia="en-GB"/>
        </w:rPr>
        <w:t xml:space="preserve">, </w:t>
      </w:r>
      <w:hyperlink r:id="rId19" w:history="1">
        <w:r w:rsidRPr="001171FB">
          <w:rPr>
            <w:rStyle w:val="Hyperlink"/>
            <w:iCs/>
            <w:color w:val="000000" w:themeColor="text1"/>
            <w:szCs w:val="24"/>
            <w:u w:val="none"/>
            <w:lang w:eastAsia="en-GB"/>
          </w:rPr>
          <w:t>54</w:t>
        </w:r>
      </w:hyperlink>
      <w:r w:rsidRPr="001171FB">
        <w:rPr>
          <w:color w:val="000000" w:themeColor="text1"/>
          <w:szCs w:val="24"/>
          <w:lang w:eastAsia="en-GB"/>
        </w:rPr>
        <w:t xml:space="preserve"> and </w:t>
      </w:r>
      <w:hyperlink r:id="rId20" w:history="1">
        <w:r w:rsidRPr="001171FB">
          <w:rPr>
            <w:rStyle w:val="Hyperlink"/>
            <w:iCs/>
            <w:color w:val="000000" w:themeColor="text1"/>
            <w:szCs w:val="24"/>
            <w:u w:val="none"/>
            <w:lang w:eastAsia="en-GB"/>
          </w:rPr>
          <w:t>56 of Schedule 7</w:t>
        </w:r>
      </w:hyperlink>
      <w:r w:rsidRPr="001171FB">
        <w:rPr>
          <w:color w:val="000000" w:themeColor="text1"/>
          <w:szCs w:val="24"/>
          <w:lang w:eastAsia="en-GB"/>
        </w:rPr>
        <w:t>—</w:t>
      </w:r>
    </w:p>
    <w:p w14:paraId="5BCC8BC8" w14:textId="77777777" w:rsidR="00ED3EE3" w:rsidRPr="001171FB" w:rsidRDefault="00ED3EE3" w:rsidP="006D28AA">
      <w:pPr>
        <w:pStyle w:val="Quote"/>
        <w:ind w:left="2268" w:right="1372"/>
        <w:rPr>
          <w:color w:val="000000" w:themeColor="text1"/>
          <w:szCs w:val="24"/>
          <w:lang w:eastAsia="en-GB"/>
        </w:rPr>
      </w:pPr>
      <w:r w:rsidRPr="001171FB">
        <w:rPr>
          <w:color w:val="000000" w:themeColor="text1"/>
          <w:szCs w:val="24"/>
          <w:lang w:eastAsia="en-GB"/>
        </w:rPr>
        <w:t>(i)  the intended recipient is a person in a third country other than a relevant authority, and</w:t>
      </w:r>
    </w:p>
    <w:p w14:paraId="6CD7E8C9" w14:textId="61A26FA7" w:rsidR="00ED3EE3" w:rsidRDefault="00ED3EE3" w:rsidP="006D28AA">
      <w:pPr>
        <w:pStyle w:val="Quote"/>
        <w:ind w:left="2268" w:right="1372"/>
        <w:rPr>
          <w:color w:val="000000" w:themeColor="text1"/>
          <w:szCs w:val="24"/>
          <w:lang w:eastAsia="en-GB"/>
        </w:rPr>
      </w:pPr>
      <w:r w:rsidRPr="001171FB">
        <w:rPr>
          <w:color w:val="000000" w:themeColor="text1"/>
          <w:szCs w:val="24"/>
          <w:lang w:eastAsia="en-GB"/>
        </w:rPr>
        <w:t xml:space="preserve">(ii)  the additional conditions in </w:t>
      </w:r>
      <w:hyperlink r:id="rId21" w:history="1">
        <w:r w:rsidRPr="001171FB">
          <w:rPr>
            <w:rStyle w:val="Hyperlink"/>
            <w:iCs/>
            <w:color w:val="000000" w:themeColor="text1"/>
            <w:szCs w:val="24"/>
            <w:u w:val="none"/>
            <w:lang w:eastAsia="en-GB"/>
          </w:rPr>
          <w:t>section 77</w:t>
        </w:r>
      </w:hyperlink>
      <w:r w:rsidRPr="001171FB">
        <w:rPr>
          <w:color w:val="000000" w:themeColor="text1"/>
          <w:szCs w:val="24"/>
          <w:lang w:eastAsia="en-GB"/>
        </w:rPr>
        <w:t xml:space="preserve"> are met.</w:t>
      </w:r>
      <w:r w:rsidR="00063005">
        <w:rPr>
          <w:color w:val="000000" w:themeColor="text1"/>
          <w:szCs w:val="24"/>
          <w:lang w:eastAsia="en-GB"/>
        </w:rPr>
        <w:t>”</w:t>
      </w:r>
    </w:p>
    <w:p w14:paraId="403D02E4" w14:textId="7EE9EC1B" w:rsidR="000D1FE5" w:rsidRPr="00261FB4" w:rsidRDefault="000D1FE5" w:rsidP="006D28AA">
      <w:pPr>
        <w:suppressAutoHyphens/>
        <w:spacing w:before="240" w:after="240"/>
        <w:ind w:left="720" w:hanging="720"/>
        <w:jc w:val="both"/>
        <w:outlineLvl w:val="0"/>
        <w:rPr>
          <w:i/>
          <w:lang w:eastAsia="en-GB"/>
        </w:rPr>
      </w:pPr>
      <w:r w:rsidRPr="00261FB4">
        <w:rPr>
          <w:i/>
          <w:lang w:eastAsia="en-GB"/>
        </w:rPr>
        <w:t>The Competing Arguments</w:t>
      </w:r>
    </w:p>
    <w:p w14:paraId="56244A49" w14:textId="30C27C34" w:rsidR="006A04A8" w:rsidRDefault="0090213F" w:rsidP="006D28AA">
      <w:pPr>
        <w:numPr>
          <w:ilvl w:val="0"/>
          <w:numId w:val="1"/>
        </w:numPr>
        <w:suppressAutoHyphens/>
        <w:spacing w:before="240" w:after="240"/>
        <w:jc w:val="both"/>
        <w:outlineLvl w:val="0"/>
        <w:rPr>
          <w:lang w:eastAsia="en-GB"/>
        </w:rPr>
      </w:pPr>
      <w:r>
        <w:rPr>
          <w:lang w:eastAsia="en-GB"/>
        </w:rPr>
        <w:t xml:space="preserve">The </w:t>
      </w:r>
      <w:r w:rsidR="00063005">
        <w:rPr>
          <w:lang w:eastAsia="en-GB"/>
        </w:rPr>
        <w:t>written</w:t>
      </w:r>
      <w:r>
        <w:rPr>
          <w:lang w:eastAsia="en-GB"/>
        </w:rPr>
        <w:t xml:space="preserve"> arguments </w:t>
      </w:r>
      <w:r w:rsidR="00063005">
        <w:rPr>
          <w:lang w:eastAsia="en-GB"/>
        </w:rPr>
        <w:t xml:space="preserve">for this hearing are to be found </w:t>
      </w:r>
      <w:r w:rsidR="000D1FE5" w:rsidRPr="002A6256">
        <w:rPr>
          <w:lang w:eastAsia="en-GB"/>
        </w:rPr>
        <w:t xml:space="preserve">in </w:t>
      </w:r>
      <w:r>
        <w:rPr>
          <w:lang w:eastAsia="en-GB"/>
        </w:rPr>
        <w:t xml:space="preserve">the claimant’s </w:t>
      </w:r>
      <w:r w:rsidR="000D1FE5" w:rsidRPr="002A6256">
        <w:rPr>
          <w:lang w:eastAsia="en-GB"/>
        </w:rPr>
        <w:t>Statement of Facts and Grounds</w:t>
      </w:r>
      <w:r>
        <w:rPr>
          <w:lang w:eastAsia="en-GB"/>
        </w:rPr>
        <w:t xml:space="preserve"> and </w:t>
      </w:r>
      <w:r w:rsidR="000D1FE5" w:rsidRPr="002A6256">
        <w:rPr>
          <w:lang w:eastAsia="en-GB"/>
        </w:rPr>
        <w:t xml:space="preserve">the </w:t>
      </w:r>
      <w:r>
        <w:rPr>
          <w:lang w:eastAsia="en-GB"/>
        </w:rPr>
        <w:t>d</w:t>
      </w:r>
      <w:r w:rsidR="000D1FE5" w:rsidRPr="002A6256">
        <w:rPr>
          <w:lang w:eastAsia="en-GB"/>
        </w:rPr>
        <w:t xml:space="preserve">efendant’s skeleton argument.  </w:t>
      </w:r>
      <w:r w:rsidR="006A04A8">
        <w:rPr>
          <w:lang w:eastAsia="en-GB"/>
        </w:rPr>
        <w:t>It appears that t</w:t>
      </w:r>
      <w:r w:rsidR="0038719E" w:rsidRPr="002A6256">
        <w:rPr>
          <w:lang w:eastAsia="en-GB"/>
        </w:rPr>
        <w:t xml:space="preserve">he CPS decision of 27 August </w:t>
      </w:r>
      <w:r w:rsidR="00A76D93">
        <w:rPr>
          <w:lang w:eastAsia="en-GB"/>
        </w:rPr>
        <w:t xml:space="preserve">2020 </w:t>
      </w:r>
      <w:r w:rsidR="00ED6B24" w:rsidRPr="002A6256">
        <w:rPr>
          <w:lang w:eastAsia="en-GB"/>
        </w:rPr>
        <w:t xml:space="preserve">was not available to the </w:t>
      </w:r>
      <w:r w:rsidR="006C59CD">
        <w:rPr>
          <w:lang w:eastAsia="en-GB"/>
        </w:rPr>
        <w:t>claimant</w:t>
      </w:r>
      <w:r w:rsidR="00ED6B24" w:rsidRPr="002A6256">
        <w:rPr>
          <w:lang w:eastAsia="en-GB"/>
        </w:rPr>
        <w:t xml:space="preserve"> at the time</w:t>
      </w:r>
      <w:r w:rsidR="00165E5F">
        <w:rPr>
          <w:lang w:eastAsia="en-GB"/>
        </w:rPr>
        <w:t xml:space="preserve"> </w:t>
      </w:r>
      <w:r w:rsidR="00ED6B24" w:rsidRPr="002A6256">
        <w:rPr>
          <w:lang w:eastAsia="en-GB"/>
        </w:rPr>
        <w:t>of</w:t>
      </w:r>
      <w:r w:rsidR="00165E5F">
        <w:rPr>
          <w:lang w:eastAsia="en-GB"/>
        </w:rPr>
        <w:t xml:space="preserve"> </w:t>
      </w:r>
      <w:r w:rsidR="00ED6B24" w:rsidRPr="002A6256">
        <w:rPr>
          <w:lang w:eastAsia="en-GB"/>
        </w:rPr>
        <w:t xml:space="preserve">the drafting </w:t>
      </w:r>
      <w:r w:rsidR="0079183F" w:rsidRPr="002A6256">
        <w:rPr>
          <w:lang w:eastAsia="en-GB"/>
        </w:rPr>
        <w:t>of the Statement of Facts and Grounds</w:t>
      </w:r>
      <w:r w:rsidR="009D10A2">
        <w:rPr>
          <w:lang w:eastAsia="en-GB"/>
        </w:rPr>
        <w:t>.</w:t>
      </w:r>
      <w:r w:rsidR="00C97DEA" w:rsidRPr="002A6256">
        <w:rPr>
          <w:lang w:eastAsia="en-GB"/>
        </w:rPr>
        <w:t xml:space="preserve"> </w:t>
      </w:r>
      <w:r w:rsidR="009D10A2">
        <w:rPr>
          <w:lang w:eastAsia="en-GB"/>
        </w:rPr>
        <w:t>T</w:t>
      </w:r>
      <w:r w:rsidR="006A04A8">
        <w:rPr>
          <w:lang w:eastAsia="en-GB"/>
        </w:rPr>
        <w:t xml:space="preserve">he oral arguments </w:t>
      </w:r>
      <w:r w:rsidR="006C59CD">
        <w:rPr>
          <w:lang w:eastAsia="en-GB"/>
        </w:rPr>
        <w:t xml:space="preserve">advanced on her behalf  </w:t>
      </w:r>
      <w:r w:rsidR="006A04A8">
        <w:rPr>
          <w:lang w:eastAsia="en-GB"/>
        </w:rPr>
        <w:t>reflected th</w:t>
      </w:r>
      <w:r w:rsidR="009D10A2">
        <w:rPr>
          <w:lang w:eastAsia="en-GB"/>
        </w:rPr>
        <w:t>is</w:t>
      </w:r>
      <w:r w:rsidR="006A04A8">
        <w:rPr>
          <w:lang w:eastAsia="en-GB"/>
        </w:rPr>
        <w:t xml:space="preserve"> </w:t>
      </w:r>
      <w:r w:rsidR="00BB2D04">
        <w:rPr>
          <w:lang w:eastAsia="en-GB"/>
        </w:rPr>
        <w:t>development</w:t>
      </w:r>
      <w:r w:rsidR="005A1234">
        <w:rPr>
          <w:lang w:eastAsia="en-GB"/>
        </w:rPr>
        <w:t>, albeit Mr Richard Hermer QC for the claimant said it made no material difference to the arguments advanced</w:t>
      </w:r>
      <w:r w:rsidR="00C97DEA" w:rsidRPr="002A6256">
        <w:rPr>
          <w:lang w:eastAsia="en-GB"/>
        </w:rPr>
        <w:t xml:space="preserve">.  </w:t>
      </w:r>
    </w:p>
    <w:p w14:paraId="6F5E6A57" w14:textId="58B2138D" w:rsidR="000D1FE5" w:rsidRPr="002A6256" w:rsidRDefault="005A1234" w:rsidP="006D28AA">
      <w:pPr>
        <w:numPr>
          <w:ilvl w:val="0"/>
          <w:numId w:val="1"/>
        </w:numPr>
        <w:suppressAutoHyphens/>
        <w:spacing w:before="240" w:after="240"/>
        <w:jc w:val="both"/>
        <w:outlineLvl w:val="0"/>
        <w:rPr>
          <w:lang w:eastAsia="en-GB"/>
        </w:rPr>
      </w:pPr>
      <w:r>
        <w:rPr>
          <w:lang w:eastAsia="en-GB"/>
        </w:rPr>
        <w:t xml:space="preserve">There were however two matters dealt with in the written arguments which it is not necessary for us to address. </w:t>
      </w:r>
      <w:r w:rsidR="00A76D93">
        <w:rPr>
          <w:lang w:eastAsia="en-GB"/>
        </w:rPr>
        <w:t xml:space="preserve">At the hearing before us </w:t>
      </w:r>
      <w:r>
        <w:rPr>
          <w:lang w:eastAsia="en-GB"/>
        </w:rPr>
        <w:t xml:space="preserve">Mr </w:t>
      </w:r>
      <w:r w:rsidR="00C24F13" w:rsidRPr="002A6256">
        <w:rPr>
          <w:iCs/>
          <w:lang w:eastAsia="en-GB"/>
        </w:rPr>
        <w:t>Herme</w:t>
      </w:r>
      <w:r w:rsidR="002743C3">
        <w:rPr>
          <w:iCs/>
          <w:lang w:eastAsia="en-GB"/>
        </w:rPr>
        <w:t>r</w:t>
      </w:r>
      <w:r w:rsidR="00241F84">
        <w:rPr>
          <w:iCs/>
          <w:lang w:eastAsia="en-GB"/>
        </w:rPr>
        <w:t xml:space="preserve"> </w:t>
      </w:r>
      <w:r w:rsidR="000D3E77" w:rsidRPr="002A6256">
        <w:rPr>
          <w:iCs/>
          <w:lang w:eastAsia="en-GB"/>
        </w:rPr>
        <w:t>no longer advanced the proposition set out in the Statement of Facts and Grounds that disclosure would put the U</w:t>
      </w:r>
      <w:r w:rsidR="0090213F">
        <w:rPr>
          <w:iCs/>
          <w:lang w:eastAsia="en-GB"/>
        </w:rPr>
        <w:t xml:space="preserve">nited </w:t>
      </w:r>
      <w:r w:rsidR="000D3E77" w:rsidRPr="002A6256">
        <w:rPr>
          <w:iCs/>
          <w:lang w:eastAsia="en-GB"/>
        </w:rPr>
        <w:t>K</w:t>
      </w:r>
      <w:r w:rsidR="0090213F">
        <w:rPr>
          <w:iCs/>
          <w:lang w:eastAsia="en-GB"/>
        </w:rPr>
        <w:t>ingdom</w:t>
      </w:r>
      <w:r w:rsidR="000D3E77" w:rsidRPr="002A6256">
        <w:rPr>
          <w:iCs/>
          <w:lang w:eastAsia="en-GB"/>
        </w:rPr>
        <w:t xml:space="preserve"> in breach of Article 3 </w:t>
      </w:r>
      <w:r w:rsidR="0090213F">
        <w:rPr>
          <w:iCs/>
          <w:lang w:eastAsia="en-GB"/>
        </w:rPr>
        <w:t xml:space="preserve">of the </w:t>
      </w:r>
      <w:r w:rsidR="000D3E77" w:rsidRPr="002A6256">
        <w:rPr>
          <w:iCs/>
          <w:lang w:eastAsia="en-GB"/>
        </w:rPr>
        <w:t>E</w:t>
      </w:r>
      <w:r w:rsidR="0090213F">
        <w:rPr>
          <w:iCs/>
          <w:lang w:eastAsia="en-GB"/>
        </w:rPr>
        <w:t xml:space="preserve">uropean </w:t>
      </w:r>
      <w:r w:rsidR="000D3E77" w:rsidRPr="002A6256">
        <w:rPr>
          <w:iCs/>
          <w:lang w:eastAsia="en-GB"/>
        </w:rPr>
        <w:t>C</w:t>
      </w:r>
      <w:r w:rsidR="0090213F">
        <w:rPr>
          <w:iCs/>
          <w:lang w:eastAsia="en-GB"/>
        </w:rPr>
        <w:t xml:space="preserve">onvention on </w:t>
      </w:r>
      <w:r w:rsidR="000D3E77" w:rsidRPr="002A6256">
        <w:rPr>
          <w:iCs/>
          <w:lang w:eastAsia="en-GB"/>
        </w:rPr>
        <w:t>H</w:t>
      </w:r>
      <w:r w:rsidR="0090213F">
        <w:rPr>
          <w:iCs/>
          <w:lang w:eastAsia="en-GB"/>
        </w:rPr>
        <w:t xml:space="preserve">uman </w:t>
      </w:r>
      <w:r w:rsidR="000D3E77" w:rsidRPr="002A6256">
        <w:rPr>
          <w:iCs/>
          <w:lang w:eastAsia="en-GB"/>
        </w:rPr>
        <w:t>R</w:t>
      </w:r>
      <w:r w:rsidR="0090213F">
        <w:rPr>
          <w:iCs/>
          <w:lang w:eastAsia="en-GB"/>
        </w:rPr>
        <w:t>ights</w:t>
      </w:r>
      <w:r w:rsidR="000D3E77" w:rsidRPr="002A6256">
        <w:rPr>
          <w:iCs/>
          <w:lang w:eastAsia="en-GB"/>
        </w:rPr>
        <w:t xml:space="preserve">.  </w:t>
      </w:r>
      <w:r w:rsidR="001171FB">
        <w:rPr>
          <w:iCs/>
          <w:lang w:eastAsia="en-GB"/>
        </w:rPr>
        <w:t xml:space="preserve">It follows that no complaint is made by the </w:t>
      </w:r>
      <w:r w:rsidR="0090213F">
        <w:rPr>
          <w:iCs/>
          <w:lang w:eastAsia="en-GB"/>
        </w:rPr>
        <w:t>c</w:t>
      </w:r>
      <w:r w:rsidR="001171FB">
        <w:rPr>
          <w:iCs/>
          <w:lang w:eastAsia="en-GB"/>
        </w:rPr>
        <w:t xml:space="preserve">laimant about </w:t>
      </w:r>
      <w:r w:rsidR="003803E8">
        <w:rPr>
          <w:iCs/>
          <w:lang w:eastAsia="en-GB"/>
        </w:rPr>
        <w:t xml:space="preserve">the likely conduct of the proceedings in the US federal courts </w:t>
      </w:r>
      <w:r w:rsidR="00C24F13">
        <w:rPr>
          <w:iCs/>
          <w:lang w:eastAsia="en-GB"/>
        </w:rPr>
        <w:t>if a U</w:t>
      </w:r>
      <w:r w:rsidR="00241F84">
        <w:rPr>
          <w:iCs/>
          <w:lang w:eastAsia="en-GB"/>
        </w:rPr>
        <w:t xml:space="preserve">nited </w:t>
      </w:r>
      <w:r w:rsidR="00C24F13">
        <w:rPr>
          <w:iCs/>
          <w:lang w:eastAsia="en-GB"/>
        </w:rPr>
        <w:t>S</w:t>
      </w:r>
      <w:r w:rsidR="00241F84">
        <w:rPr>
          <w:iCs/>
          <w:lang w:eastAsia="en-GB"/>
        </w:rPr>
        <w:t>tates</w:t>
      </w:r>
      <w:r w:rsidR="00C24F13">
        <w:rPr>
          <w:iCs/>
          <w:lang w:eastAsia="en-GB"/>
        </w:rPr>
        <w:t xml:space="preserve"> prosecution were to follow transfer of the data</w:t>
      </w:r>
      <w:r w:rsidR="002743C3">
        <w:rPr>
          <w:iCs/>
          <w:lang w:eastAsia="en-GB"/>
        </w:rPr>
        <w:t>,</w:t>
      </w:r>
      <w:r w:rsidR="00FF567E">
        <w:rPr>
          <w:iCs/>
          <w:lang w:eastAsia="en-GB"/>
        </w:rPr>
        <w:t xml:space="preserve"> or likely conditions in detention if Mr El Sheikh was convicted</w:t>
      </w:r>
      <w:r w:rsidR="00C24F13">
        <w:rPr>
          <w:iCs/>
          <w:lang w:eastAsia="en-GB"/>
        </w:rPr>
        <w:t xml:space="preserve">. </w:t>
      </w:r>
      <w:r w:rsidR="00BD5D6E" w:rsidRPr="002A6256">
        <w:rPr>
          <w:iCs/>
          <w:lang w:eastAsia="en-GB"/>
        </w:rPr>
        <w:t xml:space="preserve">Further, </w:t>
      </w:r>
      <w:r w:rsidR="00655F5E" w:rsidRPr="002A6256">
        <w:rPr>
          <w:iCs/>
          <w:lang w:eastAsia="en-GB"/>
        </w:rPr>
        <w:t xml:space="preserve">the </w:t>
      </w:r>
      <w:r w:rsidR="0090213F">
        <w:rPr>
          <w:iCs/>
          <w:lang w:eastAsia="en-GB"/>
        </w:rPr>
        <w:t>c</w:t>
      </w:r>
      <w:r w:rsidR="000D1FE5" w:rsidRPr="002A6256">
        <w:rPr>
          <w:iCs/>
          <w:lang w:eastAsia="en-GB"/>
        </w:rPr>
        <w:t xml:space="preserve">laimant </w:t>
      </w:r>
      <w:r w:rsidR="00655F5E" w:rsidRPr="002A6256">
        <w:rPr>
          <w:iCs/>
          <w:lang w:eastAsia="en-GB"/>
        </w:rPr>
        <w:t xml:space="preserve">now </w:t>
      </w:r>
      <w:r w:rsidR="000D1FE5" w:rsidRPr="002A6256">
        <w:rPr>
          <w:iCs/>
          <w:lang w:eastAsia="en-GB"/>
        </w:rPr>
        <w:t>a</w:t>
      </w:r>
      <w:r w:rsidR="006D3C66" w:rsidRPr="002A6256">
        <w:rPr>
          <w:iCs/>
          <w:lang w:eastAsia="en-GB"/>
        </w:rPr>
        <w:t xml:space="preserve">ccepts </w:t>
      </w:r>
      <w:r w:rsidR="000D1FE5" w:rsidRPr="002A6256">
        <w:rPr>
          <w:iCs/>
          <w:lang w:eastAsia="en-GB"/>
        </w:rPr>
        <w:t>that the disclosure of material to the U</w:t>
      </w:r>
      <w:r w:rsidR="00241F84">
        <w:rPr>
          <w:iCs/>
          <w:lang w:eastAsia="en-GB"/>
        </w:rPr>
        <w:t xml:space="preserve">nited </w:t>
      </w:r>
      <w:r w:rsidR="000D1FE5" w:rsidRPr="002A6256">
        <w:rPr>
          <w:iCs/>
          <w:lang w:eastAsia="en-GB"/>
        </w:rPr>
        <w:t>S</w:t>
      </w:r>
      <w:r w:rsidR="00241F84">
        <w:rPr>
          <w:iCs/>
          <w:lang w:eastAsia="en-GB"/>
        </w:rPr>
        <w:t>tates</w:t>
      </w:r>
      <w:r w:rsidR="000D1FE5" w:rsidRPr="002A6256">
        <w:rPr>
          <w:iCs/>
          <w:lang w:eastAsia="en-GB"/>
        </w:rPr>
        <w:t xml:space="preserve"> </w:t>
      </w:r>
      <w:r w:rsidR="000D1FE5" w:rsidRPr="002A6256">
        <w:rPr>
          <w:iCs/>
          <w:lang w:eastAsia="en-GB"/>
        </w:rPr>
        <w:lastRenderedPageBreak/>
        <w:t>raise</w:t>
      </w:r>
      <w:r w:rsidR="00241F84">
        <w:rPr>
          <w:iCs/>
          <w:lang w:eastAsia="en-GB"/>
        </w:rPr>
        <w:t>s</w:t>
      </w:r>
      <w:r w:rsidR="000D1FE5" w:rsidRPr="002A6256">
        <w:rPr>
          <w:iCs/>
          <w:lang w:eastAsia="en-GB"/>
        </w:rPr>
        <w:t xml:space="preserve"> </w:t>
      </w:r>
      <w:r w:rsidR="006D3C66" w:rsidRPr="002A6256">
        <w:rPr>
          <w:iCs/>
          <w:lang w:eastAsia="en-GB"/>
        </w:rPr>
        <w:t>no</w:t>
      </w:r>
      <w:r w:rsidR="000D1FE5" w:rsidRPr="002A6256">
        <w:rPr>
          <w:iCs/>
          <w:lang w:eastAsia="en-GB"/>
        </w:rPr>
        <w:t xml:space="preserve"> additional question under section 73 of the DPA beyond the need to establish that disclosure was strictly necessary</w:t>
      </w:r>
      <w:r w:rsidR="00792A85" w:rsidRPr="002A6256">
        <w:rPr>
          <w:iCs/>
          <w:lang w:eastAsia="en-GB"/>
        </w:rPr>
        <w:t>.</w:t>
      </w:r>
    </w:p>
    <w:p w14:paraId="142284EB" w14:textId="3D369508" w:rsidR="000D1FE5" w:rsidRPr="002A6256" w:rsidRDefault="006C653C" w:rsidP="006D28AA">
      <w:pPr>
        <w:numPr>
          <w:ilvl w:val="0"/>
          <w:numId w:val="1"/>
        </w:numPr>
        <w:suppressAutoHyphens/>
        <w:spacing w:before="240" w:after="240"/>
        <w:jc w:val="both"/>
        <w:outlineLvl w:val="0"/>
        <w:rPr>
          <w:lang w:eastAsia="en-GB"/>
        </w:rPr>
      </w:pPr>
      <w:r w:rsidRPr="002A6256">
        <w:rPr>
          <w:iCs/>
          <w:lang w:eastAsia="en-GB"/>
        </w:rPr>
        <w:t>T</w:t>
      </w:r>
      <w:r w:rsidR="000D1FE5" w:rsidRPr="002A6256">
        <w:rPr>
          <w:iCs/>
          <w:lang w:eastAsia="en-GB"/>
        </w:rPr>
        <w:t xml:space="preserve">he </w:t>
      </w:r>
      <w:r w:rsidR="0090213F">
        <w:rPr>
          <w:iCs/>
          <w:lang w:eastAsia="en-GB"/>
        </w:rPr>
        <w:t>d</w:t>
      </w:r>
      <w:r w:rsidRPr="002A6256">
        <w:rPr>
          <w:iCs/>
          <w:lang w:eastAsia="en-GB"/>
        </w:rPr>
        <w:t xml:space="preserve">efendant’s </w:t>
      </w:r>
      <w:r w:rsidR="000D1FE5" w:rsidRPr="002A6256">
        <w:rPr>
          <w:iCs/>
          <w:lang w:eastAsia="en-GB"/>
        </w:rPr>
        <w:t xml:space="preserve">skeleton argument </w:t>
      </w:r>
      <w:r w:rsidR="0090213F">
        <w:rPr>
          <w:iCs/>
          <w:lang w:eastAsia="en-GB"/>
        </w:rPr>
        <w:t xml:space="preserve">addressed the question whether </w:t>
      </w:r>
      <w:r w:rsidR="000D1FE5" w:rsidRPr="002A6256">
        <w:rPr>
          <w:iCs/>
          <w:lang w:eastAsia="en-GB"/>
        </w:rPr>
        <w:t>the proper test might be one of necessity rather th</w:t>
      </w:r>
      <w:r w:rsidR="00113E0A" w:rsidRPr="002A6256">
        <w:rPr>
          <w:iCs/>
          <w:lang w:eastAsia="en-GB"/>
        </w:rPr>
        <w:t>a</w:t>
      </w:r>
      <w:r w:rsidR="000D1FE5" w:rsidRPr="002A6256">
        <w:rPr>
          <w:iCs/>
          <w:lang w:eastAsia="en-GB"/>
        </w:rPr>
        <w:t>n strict necessity.  Sir James Eadie</w:t>
      </w:r>
      <w:r w:rsidR="00113E0A" w:rsidRPr="002A6256">
        <w:rPr>
          <w:iCs/>
          <w:lang w:eastAsia="en-GB"/>
        </w:rPr>
        <w:t xml:space="preserve"> QC</w:t>
      </w:r>
      <w:r w:rsidR="000D1FE5" w:rsidRPr="002A6256">
        <w:rPr>
          <w:iCs/>
          <w:lang w:eastAsia="en-GB"/>
        </w:rPr>
        <w:t xml:space="preserve">, who appeared for the </w:t>
      </w:r>
      <w:r w:rsidR="0090213F">
        <w:rPr>
          <w:iCs/>
          <w:lang w:eastAsia="en-GB"/>
        </w:rPr>
        <w:t>d</w:t>
      </w:r>
      <w:r w:rsidR="000D1FE5" w:rsidRPr="002A6256">
        <w:rPr>
          <w:iCs/>
          <w:lang w:eastAsia="en-GB"/>
        </w:rPr>
        <w:t>efendant</w:t>
      </w:r>
      <w:r w:rsidR="00241F84">
        <w:rPr>
          <w:iCs/>
          <w:lang w:eastAsia="en-GB"/>
        </w:rPr>
        <w:t>,</w:t>
      </w:r>
      <w:r w:rsidR="001136F2">
        <w:rPr>
          <w:iCs/>
          <w:lang w:eastAsia="en-GB"/>
        </w:rPr>
        <w:t xml:space="preserve"> submitted</w:t>
      </w:r>
      <w:r w:rsidR="00056B52">
        <w:rPr>
          <w:iCs/>
          <w:lang w:eastAsia="en-GB"/>
        </w:rPr>
        <w:t xml:space="preserve"> however</w:t>
      </w:r>
      <w:r w:rsidR="00241F84">
        <w:rPr>
          <w:iCs/>
          <w:lang w:eastAsia="en-GB"/>
        </w:rPr>
        <w:t xml:space="preserve"> </w:t>
      </w:r>
      <w:r w:rsidR="000D1FE5" w:rsidRPr="002A6256">
        <w:rPr>
          <w:iCs/>
          <w:lang w:eastAsia="en-GB"/>
        </w:rPr>
        <w:t xml:space="preserve">that the Secretary of State had applied </w:t>
      </w:r>
      <w:r w:rsidR="00A334AA">
        <w:rPr>
          <w:iCs/>
          <w:lang w:eastAsia="en-GB"/>
        </w:rPr>
        <w:t xml:space="preserve">both </w:t>
      </w:r>
      <w:r w:rsidR="000D1FE5" w:rsidRPr="002A6256">
        <w:rPr>
          <w:iCs/>
          <w:lang w:eastAsia="en-GB"/>
        </w:rPr>
        <w:t>test</w:t>
      </w:r>
      <w:r w:rsidR="00A334AA">
        <w:rPr>
          <w:iCs/>
          <w:lang w:eastAsia="en-GB"/>
        </w:rPr>
        <w:t xml:space="preserve">s, </w:t>
      </w:r>
      <w:r w:rsidR="005A1234">
        <w:rPr>
          <w:iCs/>
          <w:lang w:eastAsia="en-GB"/>
        </w:rPr>
        <w:t xml:space="preserve">that is, </w:t>
      </w:r>
      <w:r w:rsidR="00A334AA">
        <w:rPr>
          <w:iCs/>
          <w:lang w:eastAsia="en-GB"/>
        </w:rPr>
        <w:t>necessity and</w:t>
      </w:r>
      <w:r w:rsidR="000D1FE5" w:rsidRPr="002A6256">
        <w:rPr>
          <w:iCs/>
          <w:lang w:eastAsia="en-GB"/>
        </w:rPr>
        <w:t xml:space="preserve"> strict necessity</w:t>
      </w:r>
      <w:r w:rsidR="00594CE4">
        <w:rPr>
          <w:iCs/>
          <w:lang w:eastAsia="en-GB"/>
        </w:rPr>
        <w:t xml:space="preserve"> and </w:t>
      </w:r>
      <w:r w:rsidR="00D53D8F">
        <w:rPr>
          <w:iCs/>
          <w:lang w:eastAsia="en-GB"/>
        </w:rPr>
        <w:t xml:space="preserve">that </w:t>
      </w:r>
      <w:r w:rsidR="00594CE4">
        <w:rPr>
          <w:iCs/>
          <w:lang w:eastAsia="en-GB"/>
        </w:rPr>
        <w:t xml:space="preserve">this particular issue was </w:t>
      </w:r>
      <w:r w:rsidR="00241F84">
        <w:rPr>
          <w:iCs/>
          <w:lang w:eastAsia="en-GB"/>
        </w:rPr>
        <w:t xml:space="preserve">therefore </w:t>
      </w:r>
      <w:r w:rsidR="00594CE4">
        <w:rPr>
          <w:iCs/>
          <w:lang w:eastAsia="en-GB"/>
        </w:rPr>
        <w:t>academic</w:t>
      </w:r>
      <w:r w:rsidR="00056B52">
        <w:rPr>
          <w:iCs/>
          <w:lang w:eastAsia="en-GB"/>
        </w:rPr>
        <w:t>. B</w:t>
      </w:r>
      <w:r w:rsidR="001136F2">
        <w:rPr>
          <w:iCs/>
          <w:lang w:eastAsia="en-GB"/>
        </w:rPr>
        <w:t>oth counsel</w:t>
      </w:r>
      <w:r w:rsidR="000D1FE5" w:rsidRPr="002A6256">
        <w:rPr>
          <w:iCs/>
          <w:lang w:eastAsia="en-GB"/>
        </w:rPr>
        <w:t xml:space="preserve"> </w:t>
      </w:r>
      <w:r w:rsidR="001136F2">
        <w:rPr>
          <w:iCs/>
          <w:lang w:eastAsia="en-GB"/>
        </w:rPr>
        <w:t xml:space="preserve">were </w:t>
      </w:r>
      <w:r w:rsidR="000D1FE5" w:rsidRPr="002A6256">
        <w:rPr>
          <w:iCs/>
          <w:lang w:eastAsia="en-GB"/>
        </w:rPr>
        <w:t xml:space="preserve">content to proceed on the </w:t>
      </w:r>
      <w:r w:rsidR="004C2538">
        <w:rPr>
          <w:iCs/>
          <w:lang w:eastAsia="en-GB"/>
        </w:rPr>
        <w:t>footing</w:t>
      </w:r>
      <w:r w:rsidR="000D1FE5" w:rsidRPr="002A6256">
        <w:rPr>
          <w:iCs/>
          <w:lang w:eastAsia="en-GB"/>
        </w:rPr>
        <w:t xml:space="preserve"> that </w:t>
      </w:r>
      <w:r w:rsidR="00594CE4">
        <w:rPr>
          <w:iCs/>
          <w:lang w:eastAsia="en-GB"/>
        </w:rPr>
        <w:t>strict necessity</w:t>
      </w:r>
      <w:r w:rsidR="000D1FE5" w:rsidRPr="002A6256">
        <w:rPr>
          <w:iCs/>
          <w:lang w:eastAsia="en-GB"/>
        </w:rPr>
        <w:t xml:space="preserve"> was the appropriate test for the Court to consider</w:t>
      </w:r>
      <w:r w:rsidR="00241F84">
        <w:rPr>
          <w:iCs/>
          <w:lang w:eastAsia="en-GB"/>
        </w:rPr>
        <w:t xml:space="preserve"> and w</w:t>
      </w:r>
      <w:r w:rsidR="006C6F46" w:rsidRPr="002A6256">
        <w:rPr>
          <w:iCs/>
          <w:lang w:eastAsia="en-GB"/>
        </w:rPr>
        <w:t xml:space="preserve">e </w:t>
      </w:r>
      <w:r w:rsidR="00241F84">
        <w:rPr>
          <w:iCs/>
          <w:lang w:eastAsia="en-GB"/>
        </w:rPr>
        <w:t xml:space="preserve">have </w:t>
      </w:r>
      <w:r w:rsidR="006C6F46" w:rsidRPr="002A6256">
        <w:rPr>
          <w:iCs/>
          <w:lang w:eastAsia="en-GB"/>
        </w:rPr>
        <w:t>approach</w:t>
      </w:r>
      <w:r w:rsidR="00241F84">
        <w:rPr>
          <w:iCs/>
          <w:lang w:eastAsia="en-GB"/>
        </w:rPr>
        <w:t>ed</w:t>
      </w:r>
      <w:r w:rsidR="006C6F46" w:rsidRPr="002A6256">
        <w:rPr>
          <w:iCs/>
          <w:lang w:eastAsia="en-GB"/>
        </w:rPr>
        <w:t xml:space="preserve"> the case on that basis. </w:t>
      </w:r>
    </w:p>
    <w:p w14:paraId="7F211752" w14:textId="7CEB8599" w:rsidR="00980EBF" w:rsidRPr="002A6256" w:rsidRDefault="008F5A4B" w:rsidP="006D28AA">
      <w:pPr>
        <w:numPr>
          <w:ilvl w:val="0"/>
          <w:numId w:val="1"/>
        </w:numPr>
        <w:suppressAutoHyphens/>
        <w:spacing w:before="240" w:after="240"/>
        <w:jc w:val="both"/>
        <w:outlineLvl w:val="0"/>
        <w:rPr>
          <w:lang w:eastAsia="en-GB"/>
        </w:rPr>
      </w:pPr>
      <w:r>
        <w:rPr>
          <w:iCs/>
          <w:lang w:eastAsia="en-GB"/>
        </w:rPr>
        <w:t>Mr Hermer</w:t>
      </w:r>
      <w:r w:rsidR="000D1FE5" w:rsidRPr="002A6256">
        <w:rPr>
          <w:iCs/>
          <w:lang w:eastAsia="en-GB"/>
        </w:rPr>
        <w:t xml:space="preserve"> said that the DPA was the </w:t>
      </w:r>
      <w:r w:rsidR="00056B52" w:rsidRPr="00261FB4">
        <w:rPr>
          <w:i/>
          <w:lang w:eastAsia="en-GB"/>
        </w:rPr>
        <w:t>l</w:t>
      </w:r>
      <w:r w:rsidR="000D1FE5" w:rsidRPr="00261FB4">
        <w:rPr>
          <w:i/>
          <w:lang w:eastAsia="en-GB"/>
        </w:rPr>
        <w:t xml:space="preserve">ex </w:t>
      </w:r>
      <w:r w:rsidR="00056B52" w:rsidRPr="00261FB4">
        <w:rPr>
          <w:i/>
          <w:lang w:eastAsia="en-GB"/>
        </w:rPr>
        <w:t>s</w:t>
      </w:r>
      <w:r w:rsidR="00113595" w:rsidRPr="00261FB4">
        <w:rPr>
          <w:i/>
          <w:lang w:eastAsia="en-GB"/>
        </w:rPr>
        <w:t>p</w:t>
      </w:r>
      <w:r w:rsidR="000D1FE5" w:rsidRPr="00261FB4">
        <w:rPr>
          <w:i/>
          <w:lang w:eastAsia="en-GB"/>
        </w:rPr>
        <w:t>ecialis</w:t>
      </w:r>
      <w:r w:rsidR="000D1FE5" w:rsidRPr="002A6256">
        <w:rPr>
          <w:iCs/>
          <w:lang w:eastAsia="en-GB"/>
        </w:rPr>
        <w:t xml:space="preserve"> for transfer of data</w:t>
      </w:r>
      <w:r w:rsidR="002743C3" w:rsidRPr="002743C3">
        <w:rPr>
          <w:iCs/>
          <w:lang w:eastAsia="en-GB"/>
        </w:rPr>
        <w:t xml:space="preserve"> </w:t>
      </w:r>
      <w:r w:rsidR="002743C3">
        <w:rPr>
          <w:iCs/>
          <w:lang w:eastAsia="en-GB"/>
        </w:rPr>
        <w:t xml:space="preserve">generally and for </w:t>
      </w:r>
      <w:r w:rsidR="002743C3" w:rsidRPr="002A6256">
        <w:rPr>
          <w:iCs/>
          <w:lang w:eastAsia="en-GB"/>
        </w:rPr>
        <w:t>international</w:t>
      </w:r>
      <w:r w:rsidR="002743C3">
        <w:rPr>
          <w:iCs/>
          <w:lang w:eastAsia="en-GB"/>
        </w:rPr>
        <w:t xml:space="preserve"> transfers </w:t>
      </w:r>
      <w:r w:rsidR="00980EBF" w:rsidRPr="00252583">
        <w:rPr>
          <w:rFonts w:eastAsiaTheme="minorHAnsi"/>
        </w:rPr>
        <w:t>of data for law enforcement purposes</w:t>
      </w:r>
      <w:r w:rsidR="00980EBF">
        <w:rPr>
          <w:iCs/>
          <w:lang w:eastAsia="en-GB"/>
        </w:rPr>
        <w:t xml:space="preserve"> </w:t>
      </w:r>
      <w:r w:rsidR="002743C3">
        <w:rPr>
          <w:iCs/>
          <w:lang w:eastAsia="en-GB"/>
        </w:rPr>
        <w:t>in particular</w:t>
      </w:r>
      <w:r w:rsidR="000D1FE5" w:rsidRPr="002A6256">
        <w:rPr>
          <w:iCs/>
          <w:lang w:eastAsia="en-GB"/>
        </w:rPr>
        <w:t xml:space="preserve">.  Both the </w:t>
      </w:r>
      <w:r>
        <w:rPr>
          <w:iCs/>
          <w:lang w:eastAsia="en-GB"/>
        </w:rPr>
        <w:t xml:space="preserve">LED </w:t>
      </w:r>
      <w:r w:rsidR="000D1FE5" w:rsidRPr="002A6256">
        <w:rPr>
          <w:iCs/>
          <w:lang w:eastAsia="en-GB"/>
        </w:rPr>
        <w:t xml:space="preserve">and the </w:t>
      </w:r>
      <w:r w:rsidR="00056B52">
        <w:rPr>
          <w:iCs/>
          <w:lang w:eastAsia="en-GB"/>
        </w:rPr>
        <w:t xml:space="preserve">DPA </w:t>
      </w:r>
      <w:r w:rsidR="000D1FE5" w:rsidRPr="002A6256">
        <w:rPr>
          <w:iCs/>
          <w:lang w:eastAsia="en-GB"/>
        </w:rPr>
        <w:t xml:space="preserve">reflected a “deliberate calibration” of the importance of data protection in law enforcement.  </w:t>
      </w:r>
      <w:r w:rsidR="008A4463" w:rsidRPr="002A6256">
        <w:rPr>
          <w:lang w:eastAsia="en-GB"/>
        </w:rPr>
        <w:t>The test of necessity</w:t>
      </w:r>
      <w:r w:rsidR="006D1147">
        <w:rPr>
          <w:lang w:eastAsia="en-GB"/>
        </w:rPr>
        <w:t>, he said,</w:t>
      </w:r>
      <w:r w:rsidR="008A4463" w:rsidRPr="002A6256">
        <w:rPr>
          <w:lang w:eastAsia="en-GB"/>
        </w:rPr>
        <w:t xml:space="preserve"> applies to the objective facts</w:t>
      </w:r>
      <w:r w:rsidR="006A04A8">
        <w:rPr>
          <w:lang w:eastAsia="en-GB"/>
        </w:rPr>
        <w:t>,</w:t>
      </w:r>
      <w:r w:rsidR="008A4463" w:rsidRPr="002A6256">
        <w:rPr>
          <w:lang w:eastAsia="en-GB"/>
        </w:rPr>
        <w:t xml:space="preserve"> without precondition</w:t>
      </w:r>
      <w:r w:rsidR="008A4463">
        <w:rPr>
          <w:lang w:eastAsia="en-GB"/>
        </w:rPr>
        <w:t xml:space="preserve"> or</w:t>
      </w:r>
      <w:r w:rsidR="008A4463" w:rsidRPr="002A6256">
        <w:rPr>
          <w:lang w:eastAsia="en-GB"/>
        </w:rPr>
        <w:t xml:space="preserve"> assumption.  </w:t>
      </w:r>
      <w:r w:rsidR="00980EBF" w:rsidRPr="00980EBF">
        <w:rPr>
          <w:rFonts w:eastAsiaTheme="minorHAnsi"/>
        </w:rPr>
        <w:t xml:space="preserve">Consistent with </w:t>
      </w:r>
      <w:r w:rsidR="00980EBF">
        <w:rPr>
          <w:rFonts w:eastAsiaTheme="minorHAnsi"/>
        </w:rPr>
        <w:t>t</w:t>
      </w:r>
      <w:r w:rsidR="00980EBF" w:rsidRPr="00980EBF">
        <w:rPr>
          <w:rFonts w:eastAsiaTheme="minorHAnsi"/>
        </w:rPr>
        <w:t>his submission</w:t>
      </w:r>
      <w:r w:rsidR="00980EBF">
        <w:rPr>
          <w:rFonts w:eastAsiaTheme="minorHAnsi"/>
        </w:rPr>
        <w:t xml:space="preserve">, </w:t>
      </w:r>
      <w:r w:rsidR="00980EBF" w:rsidRPr="00980EBF">
        <w:rPr>
          <w:rFonts w:eastAsiaTheme="minorHAnsi"/>
        </w:rPr>
        <w:t>Mr Hermer argued that</w:t>
      </w:r>
      <w:r w:rsidR="00980EBF" w:rsidRPr="00980EBF">
        <w:rPr>
          <w:iCs/>
          <w:lang w:eastAsia="en-GB"/>
        </w:rPr>
        <w:t xml:space="preserve"> there was no justification for interpreting the DPA so as to give greater emphasis to the duties established by the treaties for mutual legal assistance.  </w:t>
      </w:r>
      <w:r w:rsidR="00980EBF" w:rsidRPr="002A6256">
        <w:rPr>
          <w:iCs/>
          <w:lang w:eastAsia="en-GB"/>
        </w:rPr>
        <w:t xml:space="preserve">Section 35 and </w:t>
      </w:r>
      <w:r w:rsidR="00980EBF">
        <w:rPr>
          <w:iCs/>
          <w:lang w:eastAsia="en-GB"/>
        </w:rPr>
        <w:t>s</w:t>
      </w:r>
      <w:r w:rsidR="00980EBF" w:rsidRPr="002A6256">
        <w:rPr>
          <w:iCs/>
          <w:lang w:eastAsia="en-GB"/>
        </w:rPr>
        <w:t xml:space="preserve">ection 73 of the DPA, </w:t>
      </w:r>
      <w:r w:rsidR="00980EBF">
        <w:rPr>
          <w:iCs/>
          <w:lang w:eastAsia="en-GB"/>
        </w:rPr>
        <w:t xml:space="preserve">Mr Hermer </w:t>
      </w:r>
      <w:r w:rsidR="00980EBF" w:rsidRPr="002A6256">
        <w:rPr>
          <w:iCs/>
          <w:lang w:eastAsia="en-GB"/>
        </w:rPr>
        <w:t>said, made it clear that transfer of data was only permissible if strictly necessary</w:t>
      </w:r>
      <w:r w:rsidR="00980EBF">
        <w:rPr>
          <w:iCs/>
          <w:lang w:eastAsia="en-GB"/>
        </w:rPr>
        <w:t xml:space="preserve"> and proportionate</w:t>
      </w:r>
      <w:r w:rsidR="00980EBF" w:rsidRPr="002A6256">
        <w:rPr>
          <w:iCs/>
          <w:lang w:eastAsia="en-GB"/>
        </w:rPr>
        <w:t xml:space="preserve">. </w:t>
      </w:r>
      <w:r w:rsidR="00980EBF">
        <w:rPr>
          <w:lang w:eastAsia="en-GB"/>
        </w:rPr>
        <w:t xml:space="preserve">The </w:t>
      </w:r>
      <w:r w:rsidR="00980EBF" w:rsidRPr="002A6256">
        <w:rPr>
          <w:lang w:eastAsia="en-GB"/>
        </w:rPr>
        <w:t xml:space="preserve">DPA and the </w:t>
      </w:r>
      <w:r w:rsidR="00980EBF">
        <w:rPr>
          <w:lang w:eastAsia="en-GB"/>
        </w:rPr>
        <w:t xml:space="preserve">LED </w:t>
      </w:r>
      <w:r w:rsidR="00980EBF" w:rsidRPr="002A6256">
        <w:rPr>
          <w:lang w:eastAsia="en-GB"/>
        </w:rPr>
        <w:t>post-date the UK</w:t>
      </w:r>
      <w:r w:rsidR="00980EBF">
        <w:rPr>
          <w:lang w:eastAsia="en-GB"/>
        </w:rPr>
        <w:t>-</w:t>
      </w:r>
      <w:r w:rsidR="00980EBF" w:rsidRPr="002A6256">
        <w:rPr>
          <w:lang w:eastAsia="en-GB"/>
        </w:rPr>
        <w:t xml:space="preserve">US MLA </w:t>
      </w:r>
      <w:r w:rsidR="00980EBF">
        <w:rPr>
          <w:lang w:eastAsia="en-GB"/>
        </w:rPr>
        <w:t xml:space="preserve">Treaty </w:t>
      </w:r>
      <w:r w:rsidR="00980EBF" w:rsidRPr="002A6256">
        <w:rPr>
          <w:lang w:eastAsia="en-GB"/>
        </w:rPr>
        <w:t>and the plain purpose of the DPA was to provide greater protection for data subjects th</w:t>
      </w:r>
      <w:r w:rsidR="00980EBF">
        <w:rPr>
          <w:lang w:eastAsia="en-GB"/>
        </w:rPr>
        <w:t>a</w:t>
      </w:r>
      <w:r w:rsidR="00980EBF" w:rsidRPr="002A6256">
        <w:rPr>
          <w:lang w:eastAsia="en-GB"/>
        </w:rPr>
        <w:t xml:space="preserve">n had previously been the case.  </w:t>
      </w:r>
    </w:p>
    <w:p w14:paraId="4B1DF9AE" w14:textId="659C1412" w:rsidR="00980EBF" w:rsidRPr="00261FB4" w:rsidRDefault="00980EBF" w:rsidP="006D28AA">
      <w:pPr>
        <w:numPr>
          <w:ilvl w:val="0"/>
          <w:numId w:val="1"/>
        </w:numPr>
        <w:suppressAutoHyphens/>
        <w:spacing w:before="240" w:after="240"/>
        <w:jc w:val="both"/>
        <w:outlineLvl w:val="0"/>
        <w:rPr>
          <w:lang w:eastAsia="en-GB"/>
        </w:rPr>
      </w:pPr>
      <w:r w:rsidRPr="00980EBF">
        <w:rPr>
          <w:iCs/>
          <w:lang w:eastAsia="en-GB"/>
        </w:rPr>
        <w:t xml:space="preserve">He referred </w:t>
      </w:r>
      <w:r>
        <w:rPr>
          <w:iCs/>
          <w:lang w:eastAsia="en-GB"/>
        </w:rPr>
        <w:t xml:space="preserve">in particular </w:t>
      </w:r>
      <w:r w:rsidRPr="00980EBF">
        <w:rPr>
          <w:iCs/>
          <w:lang w:eastAsia="en-GB"/>
        </w:rPr>
        <w:t xml:space="preserve">to para 8 of the judgment of Lady Hale in </w:t>
      </w:r>
      <w:r w:rsidRPr="00F64990">
        <w:rPr>
          <w:i/>
          <w:iCs/>
          <w:lang w:eastAsia="en-GB"/>
        </w:rPr>
        <w:t>Elgizouli</w:t>
      </w:r>
      <w:r w:rsidRPr="00980EBF">
        <w:rPr>
          <w:iCs/>
          <w:lang w:eastAsia="en-GB"/>
        </w:rPr>
        <w:t xml:space="preserve"> in the Supreme Court where she said: </w:t>
      </w:r>
    </w:p>
    <w:p w14:paraId="1193BD13" w14:textId="6011BCA1" w:rsidR="00980EBF" w:rsidRPr="00261FB4" w:rsidRDefault="00980EBF" w:rsidP="002D1644">
      <w:pPr>
        <w:pStyle w:val="ParaLevel1"/>
        <w:numPr>
          <w:ilvl w:val="0"/>
          <w:numId w:val="0"/>
        </w:numPr>
        <w:ind w:left="1418" w:right="1374"/>
        <w:rPr>
          <w:lang w:eastAsia="en-GB"/>
        </w:rPr>
      </w:pPr>
      <w:r>
        <w:rPr>
          <w:lang w:eastAsia="en-GB"/>
        </w:rPr>
        <w:t>“</w:t>
      </w:r>
      <w:r w:rsidRPr="00FD6264">
        <w:rPr>
          <w:lang w:eastAsia="en-GB"/>
        </w:rPr>
        <w:t xml:space="preserve">Part 3 of the 2018 Act makes provision about the processing of personal data by competent authorities for “the law enforcement purposes” and implements the European Union’s Law Enforcement Directive (Directive (EU) 2016/680) (“the LED”) (section 1(4)). That Directive is therefore a legitimate aid to the interpretation of the 2018 Act. The law enforcement purposes listed in section 31 include the investigation, detection and prosecution of criminal offences. Chapter 5 of Part 3 deals with the transfer of personal data to third countries or international organisations. Sections 73 to 76 set out the general conditions which apply to such transfers (section 72(1)(a)). </w:t>
      </w:r>
      <w:r w:rsidRPr="006A04A8">
        <w:rPr>
          <w:u w:val="single"/>
          <w:lang w:eastAsia="en-GB"/>
        </w:rPr>
        <w:t>The data controller cannot transfer personal data unless three conditions are met</w:t>
      </w:r>
      <w:r w:rsidRPr="00FD6264">
        <w:rPr>
          <w:lang w:eastAsia="en-GB"/>
        </w:rPr>
        <w:t xml:space="preserve"> (section 73(1)(a))</w:t>
      </w:r>
      <w:r w:rsidR="00D53D8F">
        <w:rPr>
          <w:lang w:eastAsia="en-GB"/>
        </w:rPr>
        <w:t>.”</w:t>
      </w:r>
      <w:r>
        <w:rPr>
          <w:lang w:eastAsia="en-GB"/>
        </w:rPr>
        <w:t xml:space="preserve"> (emphasis added)</w:t>
      </w:r>
    </w:p>
    <w:p w14:paraId="4910E2E7" w14:textId="480DF774" w:rsidR="006F4FF2" w:rsidRDefault="00014E01" w:rsidP="006D28AA">
      <w:pPr>
        <w:numPr>
          <w:ilvl w:val="0"/>
          <w:numId w:val="1"/>
        </w:numPr>
        <w:suppressAutoHyphens/>
        <w:spacing w:before="240" w:after="240"/>
        <w:jc w:val="both"/>
        <w:outlineLvl w:val="0"/>
        <w:rPr>
          <w:lang w:eastAsia="en-GB"/>
        </w:rPr>
      </w:pPr>
      <w:r>
        <w:rPr>
          <w:iCs/>
          <w:lang w:eastAsia="en-GB"/>
        </w:rPr>
        <w:t xml:space="preserve">Against that background, his </w:t>
      </w:r>
      <w:r w:rsidR="00507E0A">
        <w:rPr>
          <w:iCs/>
          <w:lang w:eastAsia="en-GB"/>
        </w:rPr>
        <w:t xml:space="preserve">core </w:t>
      </w:r>
      <w:r>
        <w:rPr>
          <w:iCs/>
          <w:lang w:eastAsia="en-GB"/>
        </w:rPr>
        <w:t xml:space="preserve">case on the DPA can be </w:t>
      </w:r>
      <w:r w:rsidR="00507E0A">
        <w:rPr>
          <w:iCs/>
          <w:lang w:eastAsia="en-GB"/>
        </w:rPr>
        <w:t>briefly</w:t>
      </w:r>
      <w:r>
        <w:rPr>
          <w:iCs/>
          <w:lang w:eastAsia="en-GB"/>
        </w:rPr>
        <w:t xml:space="preserve"> stated. </w:t>
      </w:r>
      <w:r w:rsidR="004F10B7" w:rsidRPr="002A6256">
        <w:rPr>
          <w:iCs/>
          <w:lang w:eastAsia="en-GB"/>
        </w:rPr>
        <w:t xml:space="preserve">As he put it, the </w:t>
      </w:r>
      <w:r w:rsidR="004F10B7">
        <w:rPr>
          <w:iCs/>
          <w:lang w:eastAsia="en-GB"/>
        </w:rPr>
        <w:t xml:space="preserve">claimant’s </w:t>
      </w:r>
      <w:r w:rsidR="004F10B7" w:rsidRPr="002A6256">
        <w:rPr>
          <w:iCs/>
          <w:lang w:eastAsia="en-GB"/>
        </w:rPr>
        <w:t xml:space="preserve">case stands or falls on the contention that </w:t>
      </w:r>
      <w:r w:rsidR="003F5248">
        <w:rPr>
          <w:iCs/>
          <w:lang w:eastAsia="en-GB"/>
        </w:rPr>
        <w:t xml:space="preserve">following </w:t>
      </w:r>
      <w:r w:rsidR="003F5248" w:rsidRPr="00655059">
        <w:rPr>
          <w:rFonts w:eastAsiaTheme="minorHAnsi"/>
        </w:rPr>
        <w:t xml:space="preserve">the </w:t>
      </w:r>
      <w:r w:rsidR="003F5248">
        <w:rPr>
          <w:rFonts w:eastAsiaTheme="minorHAnsi"/>
        </w:rPr>
        <w:t xml:space="preserve">recent </w:t>
      </w:r>
      <w:r w:rsidR="003F5248" w:rsidRPr="00655059">
        <w:rPr>
          <w:rFonts w:eastAsiaTheme="minorHAnsi"/>
        </w:rPr>
        <w:t>decision of the CPS</w:t>
      </w:r>
      <w:r w:rsidR="003F5248">
        <w:rPr>
          <w:rFonts w:eastAsiaTheme="minorHAnsi"/>
        </w:rPr>
        <w:t xml:space="preserve">, </w:t>
      </w:r>
      <w:r w:rsidR="004F10B7" w:rsidRPr="002A6256">
        <w:rPr>
          <w:iCs/>
          <w:lang w:eastAsia="en-GB"/>
        </w:rPr>
        <w:t xml:space="preserve">disclosure was </w:t>
      </w:r>
      <w:r w:rsidR="00507E0A">
        <w:rPr>
          <w:iCs/>
          <w:lang w:eastAsia="en-GB"/>
        </w:rPr>
        <w:t xml:space="preserve">neither strictly </w:t>
      </w:r>
      <w:r w:rsidR="004F10B7" w:rsidRPr="002A6256">
        <w:rPr>
          <w:iCs/>
          <w:lang w:eastAsia="en-GB"/>
        </w:rPr>
        <w:t xml:space="preserve">necessary </w:t>
      </w:r>
      <w:r w:rsidR="003F5248">
        <w:rPr>
          <w:iCs/>
          <w:lang w:eastAsia="en-GB"/>
        </w:rPr>
        <w:t>n</w:t>
      </w:r>
      <w:r w:rsidR="00507E0A">
        <w:rPr>
          <w:iCs/>
          <w:lang w:eastAsia="en-GB"/>
        </w:rPr>
        <w:t xml:space="preserve">or </w:t>
      </w:r>
      <w:r w:rsidR="004F10B7">
        <w:rPr>
          <w:iCs/>
          <w:lang w:eastAsia="en-GB"/>
        </w:rPr>
        <w:t xml:space="preserve">proportionate </w:t>
      </w:r>
      <w:r w:rsidR="004F10B7" w:rsidRPr="002A6256">
        <w:rPr>
          <w:iCs/>
          <w:lang w:eastAsia="en-GB"/>
        </w:rPr>
        <w:t xml:space="preserve">given the </w:t>
      </w:r>
      <w:r w:rsidR="00507E0A">
        <w:rPr>
          <w:iCs/>
          <w:lang w:eastAsia="en-GB"/>
        </w:rPr>
        <w:t xml:space="preserve">real </w:t>
      </w:r>
      <w:r w:rsidR="004F10B7" w:rsidRPr="002A6256">
        <w:rPr>
          <w:iCs/>
          <w:lang w:eastAsia="en-GB"/>
        </w:rPr>
        <w:t>possibility of a domestic prosecution</w:t>
      </w:r>
      <w:r w:rsidR="004F10B7">
        <w:rPr>
          <w:lang w:eastAsia="en-GB"/>
        </w:rPr>
        <w:t xml:space="preserve">. </w:t>
      </w:r>
      <w:r w:rsidR="003F5248">
        <w:rPr>
          <w:lang w:eastAsia="en-GB"/>
        </w:rPr>
        <w:t>I</w:t>
      </w:r>
      <w:r w:rsidR="004F10B7">
        <w:rPr>
          <w:lang w:eastAsia="en-GB"/>
        </w:rPr>
        <w:t xml:space="preserve">n the light of previous statements made by both the US and UK Governments he said there was a real </w:t>
      </w:r>
      <w:r w:rsidR="001D4A1A">
        <w:rPr>
          <w:lang w:eastAsia="en-GB"/>
        </w:rPr>
        <w:t xml:space="preserve">possibility that </w:t>
      </w:r>
      <w:r w:rsidR="004F10B7">
        <w:rPr>
          <w:lang w:eastAsia="en-GB"/>
        </w:rPr>
        <w:t>US authorities</w:t>
      </w:r>
      <w:r w:rsidR="001D4A1A">
        <w:rPr>
          <w:lang w:eastAsia="en-GB"/>
        </w:rPr>
        <w:t xml:space="preserve"> would no longer seek to prosecute Mr El Sheikh</w:t>
      </w:r>
      <w:r w:rsidR="004F10B7">
        <w:rPr>
          <w:lang w:eastAsia="en-GB"/>
        </w:rPr>
        <w:t xml:space="preserve"> and</w:t>
      </w:r>
      <w:r w:rsidR="001D4A1A">
        <w:rPr>
          <w:lang w:eastAsia="en-GB"/>
        </w:rPr>
        <w:t xml:space="preserve"> would withdraw the</w:t>
      </w:r>
      <w:r w:rsidR="004F10B7">
        <w:rPr>
          <w:lang w:eastAsia="en-GB"/>
        </w:rPr>
        <w:t>ir</w:t>
      </w:r>
      <w:r w:rsidR="001D4A1A">
        <w:rPr>
          <w:lang w:eastAsia="en-GB"/>
        </w:rPr>
        <w:t xml:space="preserve"> request for MLA </w:t>
      </w:r>
      <w:r w:rsidR="004F10B7">
        <w:rPr>
          <w:lang w:eastAsia="en-GB"/>
        </w:rPr>
        <w:t>with the result that</w:t>
      </w:r>
      <w:r w:rsidR="001D4A1A">
        <w:rPr>
          <w:lang w:eastAsia="en-GB"/>
        </w:rPr>
        <w:t xml:space="preserve"> the law enforcement purpose</w:t>
      </w:r>
      <w:r w:rsidR="005C1D94">
        <w:rPr>
          <w:lang w:eastAsia="en-GB"/>
        </w:rPr>
        <w:t xml:space="preserve"> </w:t>
      </w:r>
      <w:r w:rsidR="00594CE4">
        <w:rPr>
          <w:lang w:eastAsia="en-GB"/>
        </w:rPr>
        <w:t xml:space="preserve">relied on by the Secretary of State </w:t>
      </w:r>
      <w:r w:rsidR="005C1D94">
        <w:rPr>
          <w:lang w:eastAsia="en-GB"/>
        </w:rPr>
        <w:t>w</w:t>
      </w:r>
      <w:r w:rsidR="007D18DF">
        <w:rPr>
          <w:lang w:eastAsia="en-GB"/>
        </w:rPr>
        <w:t>ould</w:t>
      </w:r>
      <w:r w:rsidR="005C1D94">
        <w:rPr>
          <w:lang w:eastAsia="en-GB"/>
        </w:rPr>
        <w:t xml:space="preserve"> </w:t>
      </w:r>
      <w:r w:rsidR="004F10B7">
        <w:rPr>
          <w:lang w:eastAsia="en-GB"/>
        </w:rPr>
        <w:t>“</w:t>
      </w:r>
      <w:r w:rsidR="005C1D94">
        <w:rPr>
          <w:lang w:eastAsia="en-GB"/>
        </w:rPr>
        <w:t>become redundant</w:t>
      </w:r>
      <w:r w:rsidR="001D4A1A">
        <w:rPr>
          <w:lang w:eastAsia="en-GB"/>
        </w:rPr>
        <w:t xml:space="preserve"> </w:t>
      </w:r>
      <w:r w:rsidR="005C1D94">
        <w:rPr>
          <w:lang w:eastAsia="en-GB"/>
        </w:rPr>
        <w:t>in the very near future</w:t>
      </w:r>
      <w:r w:rsidR="001D4A1A">
        <w:rPr>
          <w:lang w:eastAsia="en-GB"/>
        </w:rPr>
        <w:t>.</w:t>
      </w:r>
      <w:r w:rsidR="004F10B7">
        <w:rPr>
          <w:lang w:eastAsia="en-GB"/>
        </w:rPr>
        <w:t>”</w:t>
      </w:r>
      <w:r w:rsidR="001D4A1A">
        <w:rPr>
          <w:lang w:eastAsia="en-GB"/>
        </w:rPr>
        <w:t xml:space="preserve"> In those circumstances</w:t>
      </w:r>
      <w:r w:rsidR="007D18DF">
        <w:rPr>
          <w:lang w:eastAsia="en-GB"/>
        </w:rPr>
        <w:t>, he submitted,</w:t>
      </w:r>
      <w:r w:rsidR="001D4A1A" w:rsidRPr="00583785">
        <w:rPr>
          <w:lang w:eastAsia="en-GB"/>
        </w:rPr>
        <w:t xml:space="preserve"> </w:t>
      </w:r>
      <w:r w:rsidR="005C1D94" w:rsidRPr="00583785">
        <w:rPr>
          <w:lang w:eastAsia="en-GB"/>
        </w:rPr>
        <w:t xml:space="preserve">on the </w:t>
      </w:r>
      <w:r w:rsidR="00594CE4">
        <w:rPr>
          <w:lang w:eastAsia="en-GB"/>
        </w:rPr>
        <w:t xml:space="preserve">objective </w:t>
      </w:r>
      <w:r w:rsidR="00327136">
        <w:rPr>
          <w:lang w:eastAsia="en-GB"/>
        </w:rPr>
        <w:t xml:space="preserve">and particular </w:t>
      </w:r>
      <w:r w:rsidR="005C1D94" w:rsidRPr="00583785">
        <w:rPr>
          <w:lang w:eastAsia="en-GB"/>
        </w:rPr>
        <w:t xml:space="preserve">facts of the present case, </w:t>
      </w:r>
      <w:r w:rsidR="001D4A1A" w:rsidRPr="00583785">
        <w:rPr>
          <w:lang w:eastAsia="en-GB"/>
        </w:rPr>
        <w:t>the Secretary of State could not demonstrate that it was strictly necessary and proportionate to transfer data to the U</w:t>
      </w:r>
      <w:r w:rsidR="001D4A1A">
        <w:rPr>
          <w:lang w:eastAsia="en-GB"/>
        </w:rPr>
        <w:t xml:space="preserve">nited </w:t>
      </w:r>
      <w:r w:rsidR="001D4A1A" w:rsidRPr="00583785">
        <w:rPr>
          <w:lang w:eastAsia="en-GB"/>
        </w:rPr>
        <w:t>S</w:t>
      </w:r>
      <w:r w:rsidR="001D4A1A">
        <w:rPr>
          <w:lang w:eastAsia="en-GB"/>
        </w:rPr>
        <w:t>tates</w:t>
      </w:r>
      <w:r w:rsidR="004F10B7">
        <w:rPr>
          <w:lang w:eastAsia="en-GB"/>
        </w:rPr>
        <w:t>, whether in respect of Mr El Sheikh</w:t>
      </w:r>
      <w:r w:rsidR="00507E0A">
        <w:rPr>
          <w:lang w:eastAsia="en-GB"/>
        </w:rPr>
        <w:t xml:space="preserve"> or other data subjects (who </w:t>
      </w:r>
      <w:r w:rsidR="00507E0A">
        <w:rPr>
          <w:lang w:eastAsia="en-GB"/>
        </w:rPr>
        <w:lastRenderedPageBreak/>
        <w:t>would have given witness statements for example) who were</w:t>
      </w:r>
      <w:r w:rsidR="001D4A1A" w:rsidRPr="00583785">
        <w:rPr>
          <w:lang w:eastAsia="en-GB"/>
        </w:rPr>
        <w:t xml:space="preserve"> </w:t>
      </w:r>
      <w:r w:rsidR="00507E0A" w:rsidRPr="002A6256">
        <w:rPr>
          <w:iCs/>
          <w:lang w:eastAsia="en-GB"/>
        </w:rPr>
        <w:t xml:space="preserve">entitled to the same protection as Mr El Sheikh.  </w:t>
      </w:r>
    </w:p>
    <w:p w14:paraId="303F9B97" w14:textId="446DA0C8" w:rsidR="002D3DFA" w:rsidRPr="002A6256" w:rsidRDefault="002D3DFA" w:rsidP="006D28AA">
      <w:pPr>
        <w:pStyle w:val="ParaLevel1"/>
        <w:rPr>
          <w:lang w:eastAsia="en-GB"/>
        </w:rPr>
      </w:pPr>
      <w:r>
        <w:rPr>
          <w:lang w:eastAsia="en-GB"/>
        </w:rPr>
        <w:t>His case on necessity was</w:t>
      </w:r>
      <w:r w:rsidR="001939D3">
        <w:rPr>
          <w:lang w:eastAsia="en-GB"/>
        </w:rPr>
        <w:t>,</w:t>
      </w:r>
      <w:r>
        <w:rPr>
          <w:lang w:eastAsia="en-GB"/>
        </w:rPr>
        <w:t xml:space="preserve"> he submitted</w:t>
      </w:r>
      <w:r w:rsidR="00A20925">
        <w:rPr>
          <w:lang w:eastAsia="en-GB"/>
        </w:rPr>
        <w:t xml:space="preserve">, </w:t>
      </w:r>
      <w:r>
        <w:rPr>
          <w:lang w:eastAsia="en-GB"/>
        </w:rPr>
        <w:t xml:space="preserve">supported by Lord Carnwath’s concluding observations in </w:t>
      </w:r>
      <w:r w:rsidRPr="00A334AA">
        <w:rPr>
          <w:i/>
          <w:iCs/>
          <w:lang w:eastAsia="en-GB"/>
        </w:rPr>
        <w:t>Elgizoul</w:t>
      </w:r>
      <w:r>
        <w:rPr>
          <w:i/>
          <w:iCs/>
          <w:lang w:eastAsia="en-GB"/>
        </w:rPr>
        <w:t xml:space="preserve">i </w:t>
      </w:r>
      <w:r w:rsidRPr="00974B64">
        <w:rPr>
          <w:lang w:eastAsia="en-GB"/>
        </w:rPr>
        <w:t xml:space="preserve">at </w:t>
      </w:r>
      <w:r w:rsidRPr="002A6256">
        <w:rPr>
          <w:lang w:eastAsia="en-GB"/>
        </w:rPr>
        <w:t xml:space="preserve">para 229 </w:t>
      </w:r>
      <w:r>
        <w:rPr>
          <w:lang w:eastAsia="en-GB"/>
        </w:rPr>
        <w:t>where he said:</w:t>
      </w:r>
    </w:p>
    <w:p w14:paraId="37C5C07E" w14:textId="237E6786" w:rsidR="002D3DFA" w:rsidRDefault="002D3DFA" w:rsidP="002D1644">
      <w:pPr>
        <w:spacing w:after="160"/>
        <w:ind w:left="1440" w:right="1374"/>
        <w:contextualSpacing/>
        <w:jc w:val="both"/>
        <w:rPr>
          <w:rFonts w:eastAsiaTheme="minorHAnsi"/>
        </w:rPr>
      </w:pPr>
      <w:r>
        <w:rPr>
          <w:rFonts w:eastAsiaTheme="minorHAnsi"/>
        </w:rPr>
        <w:t>“</w:t>
      </w:r>
      <w:r w:rsidRPr="002A6256">
        <w:rPr>
          <w:rFonts w:eastAsiaTheme="minorHAnsi"/>
        </w:rPr>
        <w:t>It seems that circumstances may have changed since the hearing of the appeal, in that the Crown Prosecution Service is understood to be reconsidering the possibility of a prosecution in this country. That would clearly be relevant to any reconsideration of the issues by the Secretary of State, in particular the “necessity” of the transfer. I would seek further submissions on the appropriate form of order.</w:t>
      </w:r>
      <w:r>
        <w:rPr>
          <w:rFonts w:eastAsiaTheme="minorHAnsi"/>
        </w:rPr>
        <w:t>”</w:t>
      </w:r>
    </w:p>
    <w:p w14:paraId="3D54135C" w14:textId="602F3A46" w:rsidR="009C5DBC" w:rsidRDefault="000D1FE5" w:rsidP="006D28AA">
      <w:pPr>
        <w:pStyle w:val="ParaLevel1"/>
        <w:rPr>
          <w:lang w:eastAsia="en-GB"/>
        </w:rPr>
      </w:pPr>
      <w:r w:rsidRPr="002A6256">
        <w:rPr>
          <w:lang w:eastAsia="en-GB"/>
        </w:rPr>
        <w:t xml:space="preserve">Mr Hermer </w:t>
      </w:r>
      <w:r w:rsidR="00507E0A">
        <w:rPr>
          <w:lang w:eastAsia="en-GB"/>
        </w:rPr>
        <w:t xml:space="preserve">took </w:t>
      </w:r>
      <w:r w:rsidRPr="002A6256">
        <w:rPr>
          <w:lang w:eastAsia="en-GB"/>
        </w:rPr>
        <w:t>his case on rationality</w:t>
      </w:r>
      <w:r w:rsidR="00594CE4">
        <w:rPr>
          <w:lang w:eastAsia="en-GB"/>
        </w:rPr>
        <w:t xml:space="preserve"> </w:t>
      </w:r>
      <w:r w:rsidRPr="002A6256">
        <w:rPr>
          <w:lang w:eastAsia="en-GB"/>
        </w:rPr>
        <w:t xml:space="preserve">shortly.  </w:t>
      </w:r>
      <w:r w:rsidR="00507E0A">
        <w:rPr>
          <w:lang w:eastAsia="en-GB"/>
        </w:rPr>
        <w:t>H</w:t>
      </w:r>
      <w:r w:rsidRPr="002A6256">
        <w:rPr>
          <w:lang w:eastAsia="en-GB"/>
        </w:rPr>
        <w:t xml:space="preserve">e </w:t>
      </w:r>
      <w:r w:rsidR="00507E0A">
        <w:rPr>
          <w:lang w:eastAsia="en-GB"/>
        </w:rPr>
        <w:t xml:space="preserve">submitted by reference to para 16 of the UKCA </w:t>
      </w:r>
      <w:r w:rsidR="001939D3">
        <w:rPr>
          <w:lang w:eastAsia="en-GB"/>
        </w:rPr>
        <w:t>S</w:t>
      </w:r>
      <w:r w:rsidR="00507E0A">
        <w:rPr>
          <w:lang w:eastAsia="en-GB"/>
        </w:rPr>
        <w:t xml:space="preserve">ubmission, that the Secretary of State had erred in applying a test </w:t>
      </w:r>
      <w:r w:rsidR="00E56877">
        <w:rPr>
          <w:lang w:eastAsia="en-GB"/>
        </w:rPr>
        <w:t>that</w:t>
      </w:r>
      <w:r w:rsidRPr="002A6256">
        <w:rPr>
          <w:lang w:eastAsia="en-GB"/>
        </w:rPr>
        <w:t xml:space="preserve"> </w:t>
      </w:r>
      <w:r w:rsidR="00E56877">
        <w:rPr>
          <w:lang w:eastAsia="en-GB"/>
        </w:rPr>
        <w:t>“</w:t>
      </w:r>
      <w:r w:rsidRPr="002A6256">
        <w:rPr>
          <w:lang w:eastAsia="en-GB"/>
        </w:rPr>
        <w:t>refusal to accede to an MLA request must be rare or expectational”</w:t>
      </w:r>
      <w:r w:rsidR="00507E0A">
        <w:rPr>
          <w:lang w:eastAsia="en-GB"/>
        </w:rPr>
        <w:t xml:space="preserve"> to her decision on necessity and proportionality under the DPA</w:t>
      </w:r>
      <w:r w:rsidR="00861A7A">
        <w:rPr>
          <w:lang w:eastAsia="en-GB"/>
        </w:rPr>
        <w:t>.</w:t>
      </w:r>
      <w:r w:rsidR="00E56877" w:rsidRPr="002A6256">
        <w:rPr>
          <w:lang w:eastAsia="en-GB"/>
        </w:rPr>
        <w:t xml:space="preserve"> </w:t>
      </w:r>
      <w:r w:rsidRPr="002A6256">
        <w:rPr>
          <w:lang w:eastAsia="en-GB"/>
        </w:rPr>
        <w:t xml:space="preserve">He said that </w:t>
      </w:r>
      <w:r w:rsidR="00E56877">
        <w:rPr>
          <w:lang w:eastAsia="en-GB"/>
        </w:rPr>
        <w:t>given</w:t>
      </w:r>
      <w:r w:rsidR="00E56877" w:rsidRPr="002A6256">
        <w:rPr>
          <w:lang w:eastAsia="en-GB"/>
        </w:rPr>
        <w:t xml:space="preserve"> the clear statutory wording in the DPA, it is irrelevant whether requests for mutual legal assistance </w:t>
      </w:r>
      <w:r w:rsidR="00E56877">
        <w:rPr>
          <w:lang w:eastAsia="en-GB"/>
        </w:rPr>
        <w:t>we</w:t>
      </w:r>
      <w:r w:rsidR="00E56877" w:rsidRPr="002A6256">
        <w:rPr>
          <w:lang w:eastAsia="en-GB"/>
        </w:rPr>
        <w:t>re only rarely refused</w:t>
      </w:r>
      <w:r w:rsidR="00E56877">
        <w:rPr>
          <w:lang w:eastAsia="en-GB"/>
        </w:rPr>
        <w:t xml:space="preserve">.  </w:t>
      </w:r>
      <w:r w:rsidR="00C12663">
        <w:rPr>
          <w:lang w:eastAsia="en-GB"/>
        </w:rPr>
        <w:t xml:space="preserve">He </w:t>
      </w:r>
      <w:r w:rsidR="00A334AA">
        <w:rPr>
          <w:lang w:eastAsia="en-GB"/>
        </w:rPr>
        <w:t xml:space="preserve">further </w:t>
      </w:r>
      <w:r w:rsidR="00C12663">
        <w:rPr>
          <w:lang w:eastAsia="en-GB"/>
        </w:rPr>
        <w:t xml:space="preserve">submitted </w:t>
      </w:r>
      <w:r w:rsidR="002D3DFA">
        <w:rPr>
          <w:lang w:eastAsia="en-GB"/>
        </w:rPr>
        <w:t>that it was irrational to seek to secure justice for the families of the victims of what Mr El Sheikh was alleged to have done, without considering the benefits of a UK prosecution</w:t>
      </w:r>
      <w:r w:rsidR="001939D3">
        <w:rPr>
          <w:lang w:eastAsia="en-GB"/>
        </w:rPr>
        <w:t>,</w:t>
      </w:r>
      <w:r w:rsidR="002D3DFA">
        <w:rPr>
          <w:lang w:eastAsia="en-GB"/>
        </w:rPr>
        <w:t xml:space="preserve"> </w:t>
      </w:r>
      <w:r w:rsidR="00C12663">
        <w:rPr>
          <w:lang w:eastAsia="en-GB"/>
        </w:rPr>
        <w:t xml:space="preserve">having regard  </w:t>
      </w:r>
      <w:r w:rsidR="002D3DFA">
        <w:rPr>
          <w:lang w:eastAsia="en-GB"/>
        </w:rPr>
        <w:t xml:space="preserve">in particular,  </w:t>
      </w:r>
      <w:r w:rsidR="00C12663">
        <w:rPr>
          <w:lang w:eastAsia="en-GB"/>
        </w:rPr>
        <w:t xml:space="preserve">to </w:t>
      </w:r>
      <w:r w:rsidR="002D3DFA">
        <w:rPr>
          <w:lang w:eastAsia="en-GB"/>
        </w:rPr>
        <w:t xml:space="preserve">the </w:t>
      </w:r>
      <w:r w:rsidR="00C12663">
        <w:rPr>
          <w:lang w:eastAsia="en-GB"/>
        </w:rPr>
        <w:t xml:space="preserve">factors that pointed in that direction, including that </w:t>
      </w:r>
      <w:r w:rsidR="00C12663" w:rsidRPr="002A6256">
        <w:rPr>
          <w:lang w:eastAsia="en-GB"/>
        </w:rPr>
        <w:t>Mr El S</w:t>
      </w:r>
      <w:r w:rsidR="00C12663">
        <w:rPr>
          <w:lang w:eastAsia="en-GB"/>
        </w:rPr>
        <w:t>h</w:t>
      </w:r>
      <w:r w:rsidR="00C12663" w:rsidRPr="002A6256">
        <w:rPr>
          <w:lang w:eastAsia="en-GB"/>
        </w:rPr>
        <w:t>eikh was a former U</w:t>
      </w:r>
      <w:r w:rsidR="00C12663">
        <w:rPr>
          <w:lang w:eastAsia="en-GB"/>
        </w:rPr>
        <w:t xml:space="preserve">nited </w:t>
      </w:r>
      <w:r w:rsidR="00C12663" w:rsidRPr="002A6256">
        <w:rPr>
          <w:lang w:eastAsia="en-GB"/>
        </w:rPr>
        <w:t>K</w:t>
      </w:r>
      <w:r w:rsidR="00C12663">
        <w:rPr>
          <w:lang w:eastAsia="en-GB"/>
        </w:rPr>
        <w:t>ingdom</w:t>
      </w:r>
      <w:r w:rsidR="00C12663" w:rsidRPr="002A6256">
        <w:rPr>
          <w:lang w:eastAsia="en-GB"/>
        </w:rPr>
        <w:t xml:space="preserve"> citizen, some of his victims were U</w:t>
      </w:r>
      <w:r w:rsidR="00C12663">
        <w:rPr>
          <w:lang w:eastAsia="en-GB"/>
        </w:rPr>
        <w:t xml:space="preserve">nited </w:t>
      </w:r>
      <w:r w:rsidR="00C12663" w:rsidRPr="002A6256">
        <w:rPr>
          <w:lang w:eastAsia="en-GB"/>
        </w:rPr>
        <w:t>K</w:t>
      </w:r>
      <w:r w:rsidR="00C12663">
        <w:rPr>
          <w:lang w:eastAsia="en-GB"/>
        </w:rPr>
        <w:t>ingdom</w:t>
      </w:r>
      <w:r w:rsidR="00C12663" w:rsidRPr="002A6256">
        <w:rPr>
          <w:lang w:eastAsia="en-GB"/>
        </w:rPr>
        <w:t xml:space="preserve"> citizens and where much of the investigation had been conducted in the U</w:t>
      </w:r>
      <w:r w:rsidR="00C12663">
        <w:rPr>
          <w:lang w:eastAsia="en-GB"/>
        </w:rPr>
        <w:t xml:space="preserve">nited </w:t>
      </w:r>
      <w:r w:rsidR="00C12663" w:rsidRPr="002A6256">
        <w:rPr>
          <w:lang w:eastAsia="en-GB"/>
        </w:rPr>
        <w:t>K</w:t>
      </w:r>
      <w:r w:rsidR="00C12663">
        <w:rPr>
          <w:lang w:eastAsia="en-GB"/>
        </w:rPr>
        <w:t>ingdom</w:t>
      </w:r>
      <w:r w:rsidR="00C12663" w:rsidRPr="002A6256">
        <w:rPr>
          <w:lang w:eastAsia="en-GB"/>
        </w:rPr>
        <w:t>.</w:t>
      </w:r>
      <w:r w:rsidR="00C12663">
        <w:rPr>
          <w:lang w:eastAsia="en-GB"/>
        </w:rPr>
        <w:t xml:space="preserve"> </w:t>
      </w:r>
      <w:r w:rsidR="0017612E">
        <w:rPr>
          <w:lang w:eastAsia="en-GB"/>
        </w:rPr>
        <w:t>I</w:t>
      </w:r>
      <w:r w:rsidR="0017612E" w:rsidRPr="002A6256">
        <w:rPr>
          <w:lang w:eastAsia="en-GB"/>
        </w:rPr>
        <w:t xml:space="preserve">t </w:t>
      </w:r>
      <w:r w:rsidR="009C5DBC">
        <w:rPr>
          <w:lang w:eastAsia="en-GB"/>
        </w:rPr>
        <w:t xml:space="preserve">was </w:t>
      </w:r>
      <w:r w:rsidR="0017612E">
        <w:rPr>
          <w:lang w:eastAsia="en-GB"/>
        </w:rPr>
        <w:t xml:space="preserve">also </w:t>
      </w:r>
      <w:r w:rsidR="0017612E" w:rsidRPr="002A6256">
        <w:rPr>
          <w:lang w:eastAsia="en-GB"/>
        </w:rPr>
        <w:t xml:space="preserve">irrational to make the decision to accede to the MLA request before </w:t>
      </w:r>
      <w:r w:rsidR="0017612E">
        <w:rPr>
          <w:lang w:eastAsia="en-GB"/>
        </w:rPr>
        <w:t xml:space="preserve">a decision had been made by </w:t>
      </w:r>
      <w:r w:rsidR="0017612E" w:rsidRPr="002A6256">
        <w:rPr>
          <w:lang w:eastAsia="en-GB"/>
        </w:rPr>
        <w:t xml:space="preserve">the CPS </w:t>
      </w:r>
      <w:r w:rsidR="0017612E">
        <w:rPr>
          <w:lang w:eastAsia="en-GB"/>
        </w:rPr>
        <w:t xml:space="preserve">as to </w:t>
      </w:r>
      <w:r w:rsidR="0017612E" w:rsidRPr="002A6256">
        <w:rPr>
          <w:lang w:eastAsia="en-GB"/>
        </w:rPr>
        <w:t xml:space="preserve">whether or not </w:t>
      </w:r>
      <w:r w:rsidR="0017612E">
        <w:rPr>
          <w:lang w:eastAsia="en-GB"/>
        </w:rPr>
        <w:t>Mr El Sheikh would be</w:t>
      </w:r>
      <w:r w:rsidR="0017612E" w:rsidRPr="002A6256">
        <w:rPr>
          <w:lang w:eastAsia="en-GB"/>
        </w:rPr>
        <w:t xml:space="preserve"> prosecute</w:t>
      </w:r>
      <w:r w:rsidR="0017612E">
        <w:rPr>
          <w:lang w:eastAsia="en-GB"/>
        </w:rPr>
        <w:t>d</w:t>
      </w:r>
      <w:r w:rsidR="009C5DBC">
        <w:rPr>
          <w:lang w:eastAsia="en-GB"/>
        </w:rPr>
        <w:t>,</w:t>
      </w:r>
      <w:r w:rsidR="001939D3">
        <w:rPr>
          <w:lang w:eastAsia="en-GB"/>
        </w:rPr>
        <w:t xml:space="preserve"> </w:t>
      </w:r>
      <w:r w:rsidR="0017612E">
        <w:rPr>
          <w:lang w:eastAsia="en-GB"/>
        </w:rPr>
        <w:t>as this effectively</w:t>
      </w:r>
      <w:r w:rsidR="0017612E" w:rsidRPr="002A6256">
        <w:rPr>
          <w:lang w:eastAsia="en-GB"/>
        </w:rPr>
        <w:t xml:space="preserve"> prevented the CPS </w:t>
      </w:r>
      <w:r w:rsidR="0017612E">
        <w:rPr>
          <w:lang w:eastAsia="en-GB"/>
        </w:rPr>
        <w:t xml:space="preserve">from </w:t>
      </w:r>
      <w:r w:rsidR="0017612E" w:rsidRPr="002A6256">
        <w:rPr>
          <w:lang w:eastAsia="en-GB"/>
        </w:rPr>
        <w:t>exercising its function</w:t>
      </w:r>
      <w:r w:rsidR="00A334AA">
        <w:rPr>
          <w:lang w:eastAsia="en-GB"/>
        </w:rPr>
        <w:t xml:space="preserve"> </w:t>
      </w:r>
      <w:r w:rsidR="0017612E" w:rsidRPr="002A6256">
        <w:rPr>
          <w:lang w:eastAsia="en-GB"/>
        </w:rPr>
        <w:t>in determining the appropriate forum</w:t>
      </w:r>
      <w:r w:rsidR="0017612E">
        <w:rPr>
          <w:lang w:eastAsia="en-GB"/>
        </w:rPr>
        <w:t xml:space="preserve"> for his prosecution</w:t>
      </w:r>
      <w:r w:rsidR="0017612E" w:rsidRPr="002A6256">
        <w:rPr>
          <w:lang w:eastAsia="en-GB"/>
        </w:rPr>
        <w:t xml:space="preserve">.  </w:t>
      </w:r>
    </w:p>
    <w:p w14:paraId="0F5BD2AF" w14:textId="59EF48B0" w:rsidR="000D1FE5" w:rsidRPr="002A6256" w:rsidRDefault="00980EBF" w:rsidP="006D28AA">
      <w:pPr>
        <w:pStyle w:val="ParaLevel1"/>
        <w:rPr>
          <w:lang w:eastAsia="en-GB"/>
        </w:rPr>
      </w:pPr>
      <w:r w:rsidRPr="00947138">
        <w:rPr>
          <w:rFonts w:eastAsiaTheme="minorHAnsi"/>
        </w:rPr>
        <w:t>Sir James argue</w:t>
      </w:r>
      <w:r>
        <w:rPr>
          <w:rFonts w:eastAsiaTheme="minorHAnsi"/>
        </w:rPr>
        <w:t>d</w:t>
      </w:r>
      <w:r w:rsidRPr="009F17C2">
        <w:rPr>
          <w:lang w:eastAsia="en-GB"/>
        </w:rPr>
        <w:t xml:space="preserve"> </w:t>
      </w:r>
      <w:r w:rsidRPr="002A6256">
        <w:rPr>
          <w:lang w:eastAsia="en-GB"/>
        </w:rPr>
        <w:t xml:space="preserve">that international co-operation in law enforcement is a positive and recognised virtue in the international legal order.  That he said was clear from the recitals to the LED.  </w:t>
      </w:r>
      <w:r w:rsidR="007E4160">
        <w:rPr>
          <w:lang w:eastAsia="en-GB"/>
        </w:rPr>
        <w:t>T</w:t>
      </w:r>
      <w:r w:rsidRPr="002A6256">
        <w:rPr>
          <w:lang w:eastAsia="en-GB"/>
        </w:rPr>
        <w:t xml:space="preserve">here was nothing in the </w:t>
      </w:r>
      <w:r w:rsidR="007E4160">
        <w:rPr>
          <w:lang w:eastAsia="en-GB"/>
        </w:rPr>
        <w:t xml:space="preserve">equivalent </w:t>
      </w:r>
      <w:r w:rsidRPr="002A6256">
        <w:rPr>
          <w:lang w:eastAsia="en-GB"/>
        </w:rPr>
        <w:t xml:space="preserve">EU </w:t>
      </w:r>
      <w:r w:rsidR="007E4160">
        <w:rPr>
          <w:lang w:eastAsia="en-GB"/>
        </w:rPr>
        <w:t xml:space="preserve">instruments </w:t>
      </w:r>
      <w:r w:rsidRPr="002A6256">
        <w:rPr>
          <w:lang w:eastAsia="en-GB"/>
        </w:rPr>
        <w:t xml:space="preserve">to suggest that the possibility of a prosecution in an EU country was a bar to </w:t>
      </w:r>
      <w:r w:rsidR="00D53D8F">
        <w:rPr>
          <w:lang w:eastAsia="en-GB"/>
        </w:rPr>
        <w:t xml:space="preserve">the provision of mutual legal assistance </w:t>
      </w:r>
      <w:r w:rsidRPr="002A6256">
        <w:rPr>
          <w:lang w:eastAsia="en-GB"/>
        </w:rPr>
        <w:t>to the U</w:t>
      </w:r>
      <w:r w:rsidR="00D53D8F">
        <w:rPr>
          <w:lang w:eastAsia="en-GB"/>
        </w:rPr>
        <w:t xml:space="preserve">nited </w:t>
      </w:r>
      <w:r w:rsidRPr="002A6256">
        <w:rPr>
          <w:lang w:eastAsia="en-GB"/>
        </w:rPr>
        <w:t>S</w:t>
      </w:r>
      <w:r w:rsidR="00D53D8F">
        <w:rPr>
          <w:lang w:eastAsia="en-GB"/>
        </w:rPr>
        <w:t>tates</w:t>
      </w:r>
      <w:r w:rsidRPr="002A6256">
        <w:rPr>
          <w:lang w:eastAsia="en-GB"/>
        </w:rPr>
        <w:t>.</w:t>
      </w:r>
      <w:r>
        <w:rPr>
          <w:lang w:eastAsia="en-GB"/>
        </w:rPr>
        <w:t xml:space="preserve"> He </w:t>
      </w:r>
      <w:r w:rsidR="00B45BF0">
        <w:rPr>
          <w:lang w:eastAsia="en-GB"/>
        </w:rPr>
        <w:t xml:space="preserve">said </w:t>
      </w:r>
      <w:r w:rsidR="000D1FE5" w:rsidRPr="002A6256">
        <w:rPr>
          <w:lang w:eastAsia="en-GB"/>
        </w:rPr>
        <w:t>that there was a powerful case for providing assistance to the U</w:t>
      </w:r>
      <w:r w:rsidR="003015C5">
        <w:rPr>
          <w:lang w:eastAsia="en-GB"/>
        </w:rPr>
        <w:t xml:space="preserve">nited </w:t>
      </w:r>
      <w:r w:rsidR="000D1FE5" w:rsidRPr="002A6256">
        <w:rPr>
          <w:lang w:eastAsia="en-GB"/>
        </w:rPr>
        <w:t>S</w:t>
      </w:r>
      <w:r w:rsidR="003015C5">
        <w:rPr>
          <w:lang w:eastAsia="en-GB"/>
        </w:rPr>
        <w:t>tates</w:t>
      </w:r>
      <w:r w:rsidR="000D1FE5" w:rsidRPr="002A6256">
        <w:rPr>
          <w:lang w:eastAsia="en-GB"/>
        </w:rPr>
        <w:t xml:space="preserve"> Government.  First, he said</w:t>
      </w:r>
      <w:r w:rsidR="0069637B">
        <w:rPr>
          <w:lang w:eastAsia="en-GB"/>
        </w:rPr>
        <w:t>,</w:t>
      </w:r>
      <w:r w:rsidR="000D1FE5" w:rsidRPr="002A6256">
        <w:rPr>
          <w:lang w:eastAsia="en-GB"/>
        </w:rPr>
        <w:t xml:space="preserve"> the request </w:t>
      </w:r>
      <w:r w:rsidR="0069637B">
        <w:rPr>
          <w:lang w:eastAsia="en-GB"/>
        </w:rPr>
        <w:t>was made p</w:t>
      </w:r>
      <w:r w:rsidR="000D1FE5" w:rsidRPr="002A6256">
        <w:rPr>
          <w:lang w:eastAsia="en-GB"/>
        </w:rPr>
        <w:t>ursuant to the UK</w:t>
      </w:r>
      <w:r w:rsidR="003E7634">
        <w:rPr>
          <w:lang w:eastAsia="en-GB"/>
        </w:rPr>
        <w:t>-</w:t>
      </w:r>
      <w:r w:rsidR="000D1FE5" w:rsidRPr="002A6256">
        <w:rPr>
          <w:lang w:eastAsia="en-GB"/>
        </w:rPr>
        <w:t>US MLA Treaty.  Second</w:t>
      </w:r>
      <w:r w:rsidR="00D53D8F">
        <w:rPr>
          <w:lang w:eastAsia="en-GB"/>
        </w:rPr>
        <w:t>ly</w:t>
      </w:r>
      <w:r w:rsidR="000D1FE5" w:rsidRPr="002A6256">
        <w:rPr>
          <w:lang w:eastAsia="en-GB"/>
        </w:rPr>
        <w:t xml:space="preserve">, </w:t>
      </w:r>
      <w:r w:rsidR="0069637B">
        <w:rPr>
          <w:lang w:eastAsia="en-GB"/>
        </w:rPr>
        <w:t>t</w:t>
      </w:r>
      <w:r w:rsidR="000D1FE5" w:rsidRPr="002A6256">
        <w:rPr>
          <w:lang w:eastAsia="en-GB"/>
        </w:rPr>
        <w:t>he U</w:t>
      </w:r>
      <w:r w:rsidR="003015C5">
        <w:rPr>
          <w:lang w:eastAsia="en-GB"/>
        </w:rPr>
        <w:t xml:space="preserve">nited </w:t>
      </w:r>
      <w:r w:rsidR="000D1FE5" w:rsidRPr="002A6256">
        <w:rPr>
          <w:lang w:eastAsia="en-GB"/>
        </w:rPr>
        <w:t>S</w:t>
      </w:r>
      <w:r w:rsidR="003015C5">
        <w:rPr>
          <w:lang w:eastAsia="en-GB"/>
        </w:rPr>
        <w:t>tates</w:t>
      </w:r>
      <w:r w:rsidR="000D1FE5" w:rsidRPr="002A6256">
        <w:rPr>
          <w:lang w:eastAsia="en-GB"/>
        </w:rPr>
        <w:t xml:space="preserve"> authorities sought the material for the purpose of prosecuting Mr El Sheikh.  </w:t>
      </w:r>
      <w:r w:rsidR="00BC6C93" w:rsidRPr="002A6256">
        <w:rPr>
          <w:lang w:eastAsia="en-GB"/>
        </w:rPr>
        <w:t xml:space="preserve">The letter from Attorney General </w:t>
      </w:r>
      <w:r w:rsidR="00D53D8F">
        <w:rPr>
          <w:lang w:eastAsia="en-GB"/>
        </w:rPr>
        <w:t xml:space="preserve">Barr </w:t>
      </w:r>
      <w:r w:rsidR="00BC6C93" w:rsidRPr="002A6256">
        <w:rPr>
          <w:lang w:eastAsia="en-GB"/>
        </w:rPr>
        <w:t xml:space="preserve">made clear </w:t>
      </w:r>
      <w:r w:rsidR="00BC6C93">
        <w:rPr>
          <w:lang w:eastAsia="en-GB"/>
        </w:rPr>
        <w:t xml:space="preserve">that </w:t>
      </w:r>
      <w:r w:rsidR="00BC6C93" w:rsidRPr="002A6256">
        <w:rPr>
          <w:lang w:eastAsia="en-GB"/>
        </w:rPr>
        <w:t xml:space="preserve">the provision of the material was essential.  </w:t>
      </w:r>
      <w:r w:rsidR="000D1FE5" w:rsidRPr="002A6256">
        <w:rPr>
          <w:lang w:eastAsia="en-GB"/>
        </w:rPr>
        <w:t>Without it they would not prosecute; with it they would prosecute.  The transfer of material was intended to support that prosecution.  Third</w:t>
      </w:r>
      <w:r w:rsidR="00D53D8F">
        <w:rPr>
          <w:lang w:eastAsia="en-GB"/>
        </w:rPr>
        <w:t>ly</w:t>
      </w:r>
      <w:r w:rsidR="000D1FE5" w:rsidRPr="002A6256">
        <w:rPr>
          <w:lang w:eastAsia="en-GB"/>
        </w:rPr>
        <w:t>, he said the U</w:t>
      </w:r>
      <w:r w:rsidR="003E7634">
        <w:rPr>
          <w:lang w:eastAsia="en-GB"/>
        </w:rPr>
        <w:t xml:space="preserve">nited </w:t>
      </w:r>
      <w:r w:rsidR="000D1FE5" w:rsidRPr="002A6256">
        <w:rPr>
          <w:lang w:eastAsia="en-GB"/>
        </w:rPr>
        <w:t>S</w:t>
      </w:r>
      <w:r w:rsidR="003E7634">
        <w:rPr>
          <w:lang w:eastAsia="en-GB"/>
        </w:rPr>
        <w:t>tates</w:t>
      </w:r>
      <w:r w:rsidR="000D1FE5" w:rsidRPr="002A6256">
        <w:rPr>
          <w:lang w:eastAsia="en-GB"/>
        </w:rPr>
        <w:t xml:space="preserve"> was a friendly and trusted ally, </w:t>
      </w:r>
      <w:r w:rsidR="00D53D8F">
        <w:rPr>
          <w:lang w:eastAsia="en-GB"/>
        </w:rPr>
        <w:t>“</w:t>
      </w:r>
      <w:r w:rsidR="000D1FE5" w:rsidRPr="002A6256">
        <w:rPr>
          <w:lang w:eastAsia="en-GB"/>
        </w:rPr>
        <w:t>an MLA partner</w:t>
      </w:r>
      <w:r w:rsidR="00D53D8F">
        <w:rPr>
          <w:lang w:eastAsia="en-GB"/>
        </w:rPr>
        <w:t>”</w:t>
      </w:r>
      <w:r w:rsidR="000D1FE5" w:rsidRPr="002A6256">
        <w:rPr>
          <w:lang w:eastAsia="en-GB"/>
        </w:rPr>
        <w:t xml:space="preserve">.  </w:t>
      </w:r>
      <w:r w:rsidR="0069637B">
        <w:rPr>
          <w:lang w:eastAsia="en-GB"/>
        </w:rPr>
        <w:t>The</w:t>
      </w:r>
      <w:r w:rsidR="000D1FE5" w:rsidRPr="002A6256">
        <w:rPr>
          <w:lang w:eastAsia="en-GB"/>
        </w:rPr>
        <w:t xml:space="preserve"> MLA process was designed to ensure that material that one state needed </w:t>
      </w:r>
      <w:r w:rsidR="0069637B" w:rsidRPr="002A6256">
        <w:rPr>
          <w:lang w:eastAsia="en-GB"/>
        </w:rPr>
        <w:t xml:space="preserve">for the purpose of investigation and prosecution </w:t>
      </w:r>
      <w:r w:rsidR="000D1FE5" w:rsidRPr="002A6256">
        <w:rPr>
          <w:lang w:eastAsia="en-GB"/>
        </w:rPr>
        <w:t>is provided</w:t>
      </w:r>
      <w:r w:rsidR="0069637B">
        <w:rPr>
          <w:lang w:eastAsia="en-GB"/>
        </w:rPr>
        <w:t xml:space="preserve"> swiftly and efficiently</w:t>
      </w:r>
      <w:r w:rsidR="000D1FE5" w:rsidRPr="002A6256">
        <w:rPr>
          <w:lang w:eastAsia="en-GB"/>
        </w:rPr>
        <w:t xml:space="preserve">.  The purpose was to ensure that each state can reach an informed decision as to the charges </w:t>
      </w:r>
      <w:r w:rsidR="0045448B">
        <w:rPr>
          <w:lang w:eastAsia="en-GB"/>
        </w:rPr>
        <w:t>they conclude ought to be laid</w:t>
      </w:r>
      <w:r w:rsidR="000D1FE5" w:rsidRPr="002A6256">
        <w:rPr>
          <w:lang w:eastAsia="en-GB"/>
        </w:rPr>
        <w:t xml:space="preserve">.  Given that Attorney General </w:t>
      </w:r>
      <w:r w:rsidR="00D53D8F">
        <w:rPr>
          <w:lang w:eastAsia="en-GB"/>
        </w:rPr>
        <w:t xml:space="preserve">Barr </w:t>
      </w:r>
      <w:r w:rsidR="000D1FE5" w:rsidRPr="002A6256">
        <w:rPr>
          <w:lang w:eastAsia="en-GB"/>
        </w:rPr>
        <w:t xml:space="preserve">had responded to the decision of the Supreme Court </w:t>
      </w:r>
      <w:r w:rsidR="003015C5">
        <w:rPr>
          <w:lang w:eastAsia="en-GB"/>
        </w:rPr>
        <w:t xml:space="preserve">by </w:t>
      </w:r>
      <w:r w:rsidR="000D1FE5" w:rsidRPr="002A6256">
        <w:rPr>
          <w:lang w:eastAsia="en-GB"/>
        </w:rPr>
        <w:t xml:space="preserve">providing a </w:t>
      </w:r>
      <w:r w:rsidR="003015C5">
        <w:rPr>
          <w:lang w:eastAsia="en-GB"/>
        </w:rPr>
        <w:t xml:space="preserve">(full) </w:t>
      </w:r>
      <w:r w:rsidR="000D1FE5" w:rsidRPr="002A6256">
        <w:rPr>
          <w:lang w:eastAsia="en-GB"/>
        </w:rPr>
        <w:t>death penalty assurance</w:t>
      </w:r>
      <w:r w:rsidR="003E7634">
        <w:rPr>
          <w:lang w:eastAsia="en-GB"/>
        </w:rPr>
        <w:t>,</w:t>
      </w:r>
      <w:r w:rsidR="000D1FE5" w:rsidRPr="002A6256">
        <w:rPr>
          <w:lang w:eastAsia="en-GB"/>
        </w:rPr>
        <w:t xml:space="preserve"> a refusal now to honour the obligations under the MLA risked causing serious damage to the relationship with the US.  Fourth</w:t>
      </w:r>
      <w:r w:rsidR="00D53D8F">
        <w:rPr>
          <w:lang w:eastAsia="en-GB"/>
        </w:rPr>
        <w:t>ly</w:t>
      </w:r>
      <w:r w:rsidR="000D1FE5" w:rsidRPr="002A6256">
        <w:rPr>
          <w:lang w:eastAsia="en-GB"/>
        </w:rPr>
        <w:t xml:space="preserve">, </w:t>
      </w:r>
      <w:r w:rsidR="0045448B">
        <w:rPr>
          <w:lang w:eastAsia="en-GB"/>
        </w:rPr>
        <w:t xml:space="preserve">he said </w:t>
      </w:r>
      <w:r w:rsidR="00960E3C">
        <w:rPr>
          <w:lang w:eastAsia="en-GB"/>
        </w:rPr>
        <w:t xml:space="preserve">that given that </w:t>
      </w:r>
      <w:r w:rsidR="000D1FE5" w:rsidRPr="002A6256">
        <w:rPr>
          <w:lang w:eastAsia="en-GB"/>
        </w:rPr>
        <w:t>the death penalty assurance had now been provided</w:t>
      </w:r>
      <w:r w:rsidR="00960E3C">
        <w:rPr>
          <w:lang w:eastAsia="en-GB"/>
        </w:rPr>
        <w:t>,</w:t>
      </w:r>
      <w:r w:rsidR="000D1FE5" w:rsidRPr="002A6256">
        <w:rPr>
          <w:lang w:eastAsia="en-GB"/>
        </w:rPr>
        <w:t xml:space="preserve"> this was a very different case from that considered by the Supreme Court; in fact, it was now a “run of the mill case”.  Fifth</w:t>
      </w:r>
      <w:r w:rsidR="00D53D8F">
        <w:rPr>
          <w:lang w:eastAsia="en-GB"/>
        </w:rPr>
        <w:t>ly</w:t>
      </w:r>
      <w:r w:rsidR="000D1FE5" w:rsidRPr="002A6256">
        <w:rPr>
          <w:lang w:eastAsia="en-GB"/>
        </w:rPr>
        <w:t xml:space="preserve">, Sir James said that the </w:t>
      </w:r>
      <w:r w:rsidR="00D53D8F">
        <w:rPr>
          <w:lang w:eastAsia="en-GB"/>
        </w:rPr>
        <w:t xml:space="preserve">available </w:t>
      </w:r>
      <w:r w:rsidR="000D1FE5" w:rsidRPr="002A6256">
        <w:rPr>
          <w:lang w:eastAsia="en-GB"/>
        </w:rPr>
        <w:t xml:space="preserve">“alternatives </w:t>
      </w:r>
      <w:r w:rsidR="000D1FE5" w:rsidRPr="002A6256">
        <w:rPr>
          <w:lang w:eastAsia="en-GB"/>
        </w:rPr>
        <w:lastRenderedPageBreak/>
        <w:t xml:space="preserve">have now shrunk”.  </w:t>
      </w:r>
      <w:r w:rsidR="00D53D8F">
        <w:rPr>
          <w:lang w:eastAsia="en-GB"/>
        </w:rPr>
        <w:t xml:space="preserve">As was </w:t>
      </w:r>
      <w:r w:rsidR="000D1FE5" w:rsidRPr="002A6256">
        <w:rPr>
          <w:lang w:eastAsia="en-GB"/>
        </w:rPr>
        <w:t>clear f</w:t>
      </w:r>
      <w:r w:rsidR="00960E3C">
        <w:rPr>
          <w:lang w:eastAsia="en-GB"/>
        </w:rPr>
        <w:t>ro</w:t>
      </w:r>
      <w:r w:rsidR="000D1FE5" w:rsidRPr="002A6256">
        <w:rPr>
          <w:lang w:eastAsia="en-GB"/>
        </w:rPr>
        <w:t>m Attorney General</w:t>
      </w:r>
      <w:r w:rsidR="00D53D8F">
        <w:rPr>
          <w:lang w:eastAsia="en-GB"/>
        </w:rPr>
        <w:t xml:space="preserve"> Barr’s</w:t>
      </w:r>
      <w:r w:rsidR="000D1FE5" w:rsidRPr="002A6256">
        <w:rPr>
          <w:lang w:eastAsia="en-GB"/>
        </w:rPr>
        <w:t xml:space="preserve"> letter</w:t>
      </w:r>
      <w:r w:rsidR="00D53D8F">
        <w:rPr>
          <w:lang w:eastAsia="en-GB"/>
        </w:rPr>
        <w:t>, the</w:t>
      </w:r>
      <w:r w:rsidR="000D1FE5" w:rsidRPr="002A6256">
        <w:rPr>
          <w:lang w:eastAsia="en-GB"/>
        </w:rPr>
        <w:t xml:space="preserve"> alternative to the provision of the material sought is </w:t>
      </w:r>
      <w:r w:rsidR="00D53D8F">
        <w:rPr>
          <w:lang w:eastAsia="en-GB"/>
        </w:rPr>
        <w:t xml:space="preserve">the </w:t>
      </w:r>
      <w:r w:rsidR="000D1FE5" w:rsidRPr="002A6256">
        <w:rPr>
          <w:lang w:eastAsia="en-GB"/>
        </w:rPr>
        <w:t xml:space="preserve">transfer of Mr El Sheikh to Iraq for prosecution there.  </w:t>
      </w:r>
      <w:r w:rsidR="00D53D8F">
        <w:rPr>
          <w:lang w:eastAsia="en-GB"/>
        </w:rPr>
        <w:t xml:space="preserve">He </w:t>
      </w:r>
      <w:r w:rsidR="000D1FE5" w:rsidRPr="002A6256">
        <w:rPr>
          <w:lang w:eastAsia="en-GB"/>
        </w:rPr>
        <w:t>is now in US custody and it was for the US authorities to make their own decision about his future detention.  The Secretary of State took the U</w:t>
      </w:r>
      <w:r w:rsidR="003015C5">
        <w:rPr>
          <w:lang w:eastAsia="en-GB"/>
        </w:rPr>
        <w:t xml:space="preserve">nited </w:t>
      </w:r>
      <w:r w:rsidR="000D1FE5" w:rsidRPr="002A6256">
        <w:rPr>
          <w:lang w:eastAsia="en-GB"/>
        </w:rPr>
        <w:t>S</w:t>
      </w:r>
      <w:r w:rsidR="003015C5">
        <w:rPr>
          <w:lang w:eastAsia="en-GB"/>
        </w:rPr>
        <w:t>tates</w:t>
      </w:r>
      <w:r w:rsidR="000D1FE5" w:rsidRPr="002A6256">
        <w:rPr>
          <w:lang w:eastAsia="en-GB"/>
        </w:rPr>
        <w:t xml:space="preserve"> at its word on this subject. </w:t>
      </w:r>
    </w:p>
    <w:p w14:paraId="50AE3626" w14:textId="3BF8BC6B" w:rsidR="000D1FE5" w:rsidRPr="002A6256" w:rsidRDefault="000D1FE5" w:rsidP="006D28AA">
      <w:pPr>
        <w:numPr>
          <w:ilvl w:val="0"/>
          <w:numId w:val="1"/>
        </w:numPr>
        <w:suppressAutoHyphens/>
        <w:spacing w:before="240" w:after="240"/>
        <w:jc w:val="both"/>
        <w:outlineLvl w:val="0"/>
        <w:rPr>
          <w:lang w:eastAsia="en-GB"/>
        </w:rPr>
      </w:pPr>
      <w:r w:rsidRPr="002A6256">
        <w:rPr>
          <w:lang w:eastAsia="en-GB"/>
        </w:rPr>
        <w:t xml:space="preserve">Sir James </w:t>
      </w:r>
      <w:r w:rsidR="00D53D8F">
        <w:rPr>
          <w:lang w:eastAsia="en-GB"/>
        </w:rPr>
        <w:t xml:space="preserve">submitted </w:t>
      </w:r>
      <w:r w:rsidRPr="002A6256">
        <w:rPr>
          <w:lang w:eastAsia="en-GB"/>
        </w:rPr>
        <w:t xml:space="preserve">there was no proper basis for an argument that the Secretary of State could not lawfully accede to an MLA request because there was a possibility of prosecuting the person concerned </w:t>
      </w:r>
      <w:r w:rsidR="00960E3C">
        <w:rPr>
          <w:lang w:eastAsia="en-GB"/>
        </w:rPr>
        <w:t>in England</w:t>
      </w:r>
      <w:r w:rsidRPr="002A6256">
        <w:rPr>
          <w:lang w:eastAsia="en-GB"/>
        </w:rPr>
        <w:t xml:space="preserve">.  He said that were there such a principle it would logically apply </w:t>
      </w:r>
      <w:r w:rsidR="003E7634">
        <w:rPr>
          <w:lang w:eastAsia="en-GB"/>
        </w:rPr>
        <w:t xml:space="preserve">to requests for MLA </w:t>
      </w:r>
      <w:r w:rsidRPr="002A6256">
        <w:rPr>
          <w:lang w:eastAsia="en-GB"/>
        </w:rPr>
        <w:t xml:space="preserve">at the stage of investigation, the stage when charges were being considered and at the stage when charges were brought.  He said there was nothing </w:t>
      </w:r>
      <w:r w:rsidR="00BF16EB" w:rsidRPr="002A6256">
        <w:rPr>
          <w:lang w:eastAsia="en-GB"/>
        </w:rPr>
        <w:t>in the UK</w:t>
      </w:r>
      <w:r w:rsidR="00BF16EB">
        <w:rPr>
          <w:lang w:eastAsia="en-GB"/>
        </w:rPr>
        <w:t xml:space="preserve">-US MLA </w:t>
      </w:r>
      <w:r w:rsidR="00BF16EB" w:rsidRPr="002A6256">
        <w:rPr>
          <w:lang w:eastAsia="en-GB"/>
        </w:rPr>
        <w:t xml:space="preserve">Treaty </w:t>
      </w:r>
      <w:r w:rsidRPr="002A6256">
        <w:rPr>
          <w:lang w:eastAsia="en-GB"/>
        </w:rPr>
        <w:t>to create such an obstacle to compliance with an MLA request, nor</w:t>
      </w:r>
      <w:r w:rsidR="003015C5">
        <w:rPr>
          <w:lang w:eastAsia="en-GB"/>
        </w:rPr>
        <w:t>, it was to be noted,</w:t>
      </w:r>
      <w:r w:rsidRPr="002A6256">
        <w:rPr>
          <w:lang w:eastAsia="en-GB"/>
        </w:rPr>
        <w:t xml:space="preserve"> in the </w:t>
      </w:r>
      <w:r w:rsidR="00960E3C">
        <w:rPr>
          <w:lang w:eastAsia="en-GB"/>
        </w:rPr>
        <w:t>equi</w:t>
      </w:r>
      <w:r w:rsidR="00CF6E90">
        <w:rPr>
          <w:lang w:eastAsia="en-GB"/>
        </w:rPr>
        <w:t>valent</w:t>
      </w:r>
      <w:r w:rsidRPr="002A6256">
        <w:rPr>
          <w:lang w:eastAsia="en-GB"/>
        </w:rPr>
        <w:t xml:space="preserve"> </w:t>
      </w:r>
      <w:r w:rsidR="00BF16EB">
        <w:rPr>
          <w:lang w:eastAsia="en-GB"/>
        </w:rPr>
        <w:t>t</w:t>
      </w:r>
      <w:r w:rsidRPr="002A6256">
        <w:rPr>
          <w:lang w:eastAsia="en-GB"/>
        </w:rPr>
        <w:t>reaty</w:t>
      </w:r>
      <w:r w:rsidR="00CF6E90">
        <w:rPr>
          <w:lang w:eastAsia="en-GB"/>
        </w:rPr>
        <w:t xml:space="preserve"> </w:t>
      </w:r>
      <w:r w:rsidR="00BF16EB">
        <w:rPr>
          <w:lang w:eastAsia="en-GB"/>
        </w:rPr>
        <w:t xml:space="preserve">on MLA </w:t>
      </w:r>
      <w:r w:rsidR="00CF6E90">
        <w:rPr>
          <w:lang w:eastAsia="en-GB"/>
        </w:rPr>
        <w:t>between the U</w:t>
      </w:r>
      <w:r w:rsidR="003015C5">
        <w:rPr>
          <w:lang w:eastAsia="en-GB"/>
        </w:rPr>
        <w:t xml:space="preserve">nited </w:t>
      </w:r>
      <w:r w:rsidR="00CF6E90">
        <w:rPr>
          <w:lang w:eastAsia="en-GB"/>
        </w:rPr>
        <w:t>S</w:t>
      </w:r>
      <w:r w:rsidR="003015C5">
        <w:rPr>
          <w:lang w:eastAsia="en-GB"/>
        </w:rPr>
        <w:t>tates</w:t>
      </w:r>
      <w:r w:rsidR="00CF6E90">
        <w:rPr>
          <w:lang w:eastAsia="en-GB"/>
        </w:rPr>
        <w:t xml:space="preserve"> and the E</w:t>
      </w:r>
      <w:r w:rsidR="003015C5">
        <w:rPr>
          <w:lang w:eastAsia="en-GB"/>
        </w:rPr>
        <w:t xml:space="preserve">uropean </w:t>
      </w:r>
      <w:r w:rsidR="00CF6E90">
        <w:rPr>
          <w:lang w:eastAsia="en-GB"/>
        </w:rPr>
        <w:t>U</w:t>
      </w:r>
      <w:r w:rsidR="003015C5">
        <w:rPr>
          <w:lang w:eastAsia="en-GB"/>
        </w:rPr>
        <w:t>nion</w:t>
      </w:r>
      <w:r w:rsidRPr="002A6256">
        <w:rPr>
          <w:lang w:eastAsia="en-GB"/>
        </w:rPr>
        <w:t xml:space="preserve">.  There was nothing </w:t>
      </w:r>
      <w:r w:rsidR="00BF16EB">
        <w:rPr>
          <w:lang w:eastAsia="en-GB"/>
        </w:rPr>
        <w:t xml:space="preserve">either </w:t>
      </w:r>
      <w:r w:rsidRPr="002A6256">
        <w:rPr>
          <w:lang w:eastAsia="en-GB"/>
        </w:rPr>
        <w:t xml:space="preserve">in the domestic guidelines on mutual legal assistance to support such a suggestion </w:t>
      </w:r>
      <w:r w:rsidR="00BF16EB">
        <w:rPr>
          <w:lang w:eastAsia="en-GB"/>
        </w:rPr>
        <w:t xml:space="preserve">or </w:t>
      </w:r>
      <w:r w:rsidRPr="002A6256">
        <w:rPr>
          <w:lang w:eastAsia="en-GB"/>
        </w:rPr>
        <w:t>in the caselaw to suggest that as a matter of common law</w:t>
      </w:r>
      <w:r w:rsidR="00BF16EB">
        <w:rPr>
          <w:lang w:eastAsia="en-GB"/>
        </w:rPr>
        <w:t xml:space="preserve">, </w:t>
      </w:r>
      <w:r w:rsidRPr="002A6256">
        <w:rPr>
          <w:lang w:eastAsia="en-GB"/>
        </w:rPr>
        <w:t xml:space="preserve">there was such a restriction.  The basis for </w:t>
      </w:r>
      <w:r w:rsidR="003E7634">
        <w:rPr>
          <w:lang w:eastAsia="en-GB"/>
        </w:rPr>
        <w:t xml:space="preserve">the </w:t>
      </w:r>
      <w:r w:rsidRPr="002A6256">
        <w:rPr>
          <w:lang w:eastAsia="en-GB"/>
        </w:rPr>
        <w:t>inventi</w:t>
      </w:r>
      <w:r w:rsidR="003E7634">
        <w:rPr>
          <w:lang w:eastAsia="en-GB"/>
        </w:rPr>
        <w:t>on of</w:t>
      </w:r>
      <w:r w:rsidRPr="002A6256">
        <w:rPr>
          <w:lang w:eastAsia="en-GB"/>
        </w:rPr>
        <w:t xml:space="preserve"> such a restriction as a matter of common law was unclear and it was impossible to delineate the relevant principles.  </w:t>
      </w:r>
    </w:p>
    <w:p w14:paraId="00343D79" w14:textId="31726B9C" w:rsidR="00CF6E90" w:rsidRPr="002A6256" w:rsidRDefault="00281BCC" w:rsidP="006D28AA">
      <w:pPr>
        <w:pStyle w:val="ParaLevel1"/>
        <w:rPr>
          <w:lang w:eastAsia="en-GB"/>
        </w:rPr>
      </w:pPr>
      <w:r>
        <w:rPr>
          <w:lang w:eastAsia="en-GB"/>
        </w:rPr>
        <w:t>Further, t</w:t>
      </w:r>
      <w:r w:rsidR="00CF6E90" w:rsidRPr="002A6256">
        <w:rPr>
          <w:lang w:eastAsia="en-GB"/>
        </w:rPr>
        <w:t xml:space="preserve">he foundation </w:t>
      </w:r>
      <w:r w:rsidR="003E7634">
        <w:rPr>
          <w:lang w:eastAsia="en-GB"/>
        </w:rPr>
        <w:t xml:space="preserve">he said, </w:t>
      </w:r>
      <w:r w:rsidR="00CF6E90" w:rsidRPr="002A6256">
        <w:rPr>
          <w:lang w:eastAsia="en-GB"/>
        </w:rPr>
        <w:t xml:space="preserve">of the </w:t>
      </w:r>
      <w:r w:rsidR="003015C5">
        <w:rPr>
          <w:lang w:eastAsia="en-GB"/>
        </w:rPr>
        <w:t>c</w:t>
      </w:r>
      <w:r w:rsidR="00CF6E90" w:rsidRPr="002A6256">
        <w:rPr>
          <w:lang w:eastAsia="en-GB"/>
        </w:rPr>
        <w:t>laimant’s case</w:t>
      </w:r>
      <w:r w:rsidR="003E7634">
        <w:rPr>
          <w:lang w:eastAsia="en-GB"/>
        </w:rPr>
        <w:t>,</w:t>
      </w:r>
      <w:r w:rsidR="00CF6E90" w:rsidRPr="002A6256">
        <w:rPr>
          <w:lang w:eastAsia="en-GB"/>
        </w:rPr>
        <w:t xml:space="preserve"> was illegitimate speculation about what might occur in the future</w:t>
      </w:r>
      <w:r w:rsidR="002743C3">
        <w:rPr>
          <w:lang w:eastAsia="en-GB"/>
        </w:rPr>
        <w:t xml:space="preserve">. The </w:t>
      </w:r>
      <w:r w:rsidR="003015C5">
        <w:rPr>
          <w:lang w:eastAsia="en-GB"/>
        </w:rPr>
        <w:t>c</w:t>
      </w:r>
      <w:r w:rsidR="002743C3">
        <w:rPr>
          <w:lang w:eastAsia="en-GB"/>
        </w:rPr>
        <w:t>laimant</w:t>
      </w:r>
      <w:r w:rsidR="003015C5">
        <w:rPr>
          <w:lang w:eastAsia="en-GB"/>
        </w:rPr>
        <w:t>’</w:t>
      </w:r>
      <w:r w:rsidR="002743C3">
        <w:rPr>
          <w:lang w:eastAsia="en-GB"/>
        </w:rPr>
        <w:t>s</w:t>
      </w:r>
      <w:r w:rsidR="00CF6E90" w:rsidRPr="002A6256">
        <w:rPr>
          <w:lang w:eastAsia="en-GB"/>
        </w:rPr>
        <w:t xml:space="preserve"> assertions about how </w:t>
      </w:r>
      <w:r w:rsidR="002743C3">
        <w:rPr>
          <w:lang w:eastAsia="en-GB"/>
        </w:rPr>
        <w:t xml:space="preserve">those involved </w:t>
      </w:r>
      <w:r w:rsidR="00CF6E90" w:rsidRPr="002A6256">
        <w:rPr>
          <w:lang w:eastAsia="en-GB"/>
        </w:rPr>
        <w:t xml:space="preserve">might act and react </w:t>
      </w:r>
      <w:r w:rsidR="002743C3">
        <w:rPr>
          <w:lang w:eastAsia="en-GB"/>
        </w:rPr>
        <w:t>amounted to an invitation to</w:t>
      </w:r>
      <w:r w:rsidR="00CF6E90" w:rsidRPr="002A6256">
        <w:rPr>
          <w:lang w:eastAsia="en-GB"/>
        </w:rPr>
        <w:t xml:space="preserve"> the Court to infer that the U</w:t>
      </w:r>
      <w:r w:rsidR="003015C5">
        <w:rPr>
          <w:lang w:eastAsia="en-GB"/>
        </w:rPr>
        <w:t xml:space="preserve">nited </w:t>
      </w:r>
      <w:r w:rsidR="00CF6E90" w:rsidRPr="002A6256">
        <w:rPr>
          <w:lang w:eastAsia="en-GB"/>
        </w:rPr>
        <w:t>S</w:t>
      </w:r>
      <w:r w:rsidR="003015C5">
        <w:rPr>
          <w:lang w:eastAsia="en-GB"/>
        </w:rPr>
        <w:t>tates</w:t>
      </w:r>
      <w:r w:rsidR="00CF6E90" w:rsidRPr="002A6256">
        <w:rPr>
          <w:lang w:eastAsia="en-GB"/>
        </w:rPr>
        <w:t xml:space="preserve"> </w:t>
      </w:r>
      <w:r w:rsidR="002743C3" w:rsidRPr="002A6256">
        <w:rPr>
          <w:lang w:eastAsia="en-GB"/>
        </w:rPr>
        <w:t>w</w:t>
      </w:r>
      <w:r w:rsidR="002743C3">
        <w:rPr>
          <w:lang w:eastAsia="en-GB"/>
        </w:rPr>
        <w:t>ould</w:t>
      </w:r>
      <w:r w:rsidR="00CF6E90" w:rsidRPr="002A6256">
        <w:rPr>
          <w:lang w:eastAsia="en-GB"/>
        </w:rPr>
        <w:t xml:space="preserve"> not do what </w:t>
      </w:r>
      <w:r w:rsidR="002743C3">
        <w:rPr>
          <w:lang w:eastAsia="en-GB"/>
        </w:rPr>
        <w:t>it said</w:t>
      </w:r>
      <w:r w:rsidR="00EE3CAF">
        <w:rPr>
          <w:lang w:eastAsia="en-GB"/>
        </w:rPr>
        <w:t>,</w:t>
      </w:r>
      <w:r w:rsidR="00CF6E90" w:rsidRPr="002A6256">
        <w:rPr>
          <w:lang w:eastAsia="en-GB"/>
        </w:rPr>
        <w:t xml:space="preserve"> </w:t>
      </w:r>
      <w:r w:rsidR="00EE3CAF" w:rsidRPr="002A6256">
        <w:rPr>
          <w:lang w:eastAsia="en-GB"/>
        </w:rPr>
        <w:t>in a letter from its Attorney General</w:t>
      </w:r>
      <w:r w:rsidR="00EE3CAF">
        <w:rPr>
          <w:lang w:eastAsia="en-GB"/>
        </w:rPr>
        <w:t>,</w:t>
      </w:r>
      <w:r w:rsidR="00EE3CAF" w:rsidRPr="002A6256">
        <w:rPr>
          <w:lang w:eastAsia="en-GB"/>
        </w:rPr>
        <w:t xml:space="preserve"> </w:t>
      </w:r>
      <w:r w:rsidR="00CF6E90" w:rsidRPr="002A6256">
        <w:rPr>
          <w:lang w:eastAsia="en-GB"/>
        </w:rPr>
        <w:t xml:space="preserve">it intends to do.  </w:t>
      </w:r>
    </w:p>
    <w:p w14:paraId="1DA0B549" w14:textId="79BF243D" w:rsidR="000F550A" w:rsidRPr="00261FB4" w:rsidRDefault="000F550A" w:rsidP="006D28AA">
      <w:pPr>
        <w:spacing w:after="160"/>
        <w:rPr>
          <w:rFonts w:eastAsiaTheme="minorHAnsi"/>
          <w:i/>
          <w:iCs/>
        </w:rPr>
      </w:pPr>
      <w:r w:rsidRPr="00261FB4">
        <w:rPr>
          <w:rFonts w:eastAsiaTheme="minorHAnsi"/>
          <w:i/>
          <w:iCs/>
        </w:rPr>
        <w:t>Discussio</w:t>
      </w:r>
      <w:r w:rsidR="00766DB9">
        <w:rPr>
          <w:rFonts w:eastAsiaTheme="minorHAnsi"/>
          <w:i/>
          <w:iCs/>
        </w:rPr>
        <w:t>n</w:t>
      </w:r>
      <w:r w:rsidR="00896936">
        <w:rPr>
          <w:rFonts w:eastAsiaTheme="minorHAnsi"/>
          <w:i/>
          <w:iCs/>
        </w:rPr>
        <w:t xml:space="preserve">: </w:t>
      </w:r>
      <w:r w:rsidR="00766DB9">
        <w:rPr>
          <w:rFonts w:eastAsiaTheme="minorHAnsi"/>
          <w:i/>
          <w:iCs/>
        </w:rPr>
        <w:t>T</w:t>
      </w:r>
      <w:r w:rsidR="009D00C8">
        <w:rPr>
          <w:rFonts w:eastAsiaTheme="minorHAnsi"/>
          <w:i/>
          <w:iCs/>
        </w:rPr>
        <w:t>he DPA</w:t>
      </w:r>
      <w:r w:rsidR="004C2E97">
        <w:rPr>
          <w:rFonts w:eastAsiaTheme="minorHAnsi"/>
          <w:i/>
          <w:iCs/>
        </w:rPr>
        <w:t xml:space="preserve"> 2018</w:t>
      </w:r>
    </w:p>
    <w:p w14:paraId="5DD2AC3A" w14:textId="7A06DF3B" w:rsidR="00A53AA9" w:rsidRDefault="0050472E" w:rsidP="006D28AA">
      <w:pPr>
        <w:pStyle w:val="ParaLevel1"/>
        <w:rPr>
          <w:rFonts w:eastAsiaTheme="minorHAnsi"/>
        </w:rPr>
      </w:pPr>
      <w:r>
        <w:rPr>
          <w:rFonts w:eastAsiaTheme="minorHAnsi"/>
        </w:rPr>
        <w:t>We start with some general observations about mutual legal assistance. Mutual legal assistance is a method of co-operation between states for obtaining assistance in the investigation or prosecution of criminal offences</w:t>
      </w:r>
      <w:r w:rsidR="003440CF">
        <w:rPr>
          <w:rFonts w:eastAsiaTheme="minorHAnsi"/>
        </w:rPr>
        <w:t xml:space="preserve">, and in most cases, is requested and provided pursuant to international legal (treaty based) obligations. </w:t>
      </w:r>
      <w:r w:rsidR="00691FCC">
        <w:rPr>
          <w:rFonts w:eastAsiaTheme="minorHAnsi"/>
        </w:rPr>
        <w:t xml:space="preserve">The decision to provide MLA is an exercise of prerogative power. </w:t>
      </w:r>
      <w:r w:rsidR="003440CF">
        <w:rPr>
          <w:rFonts w:eastAsiaTheme="minorHAnsi"/>
        </w:rPr>
        <w:t>The Secretary of State has broad discretionary powers to co-operate, even in the absence of an underlying treaty</w:t>
      </w:r>
      <w:r w:rsidR="00691FCC">
        <w:rPr>
          <w:rFonts w:eastAsiaTheme="minorHAnsi"/>
        </w:rPr>
        <w:t xml:space="preserve">. </w:t>
      </w:r>
      <w:r w:rsidR="003440CF">
        <w:rPr>
          <w:rFonts w:eastAsiaTheme="minorHAnsi"/>
        </w:rPr>
        <w:t xml:space="preserve">Assistance is provided in the interests of reciprocity and the general public interest in combating crime. </w:t>
      </w:r>
      <w:r w:rsidR="00BF16EB">
        <w:rPr>
          <w:rFonts w:eastAsiaTheme="minorHAnsi"/>
        </w:rPr>
        <w:t>The provision of effective MLA to foreign authorities is considered a key part of Her Majesty’s Government’s work in tackling crime and furthering co-operation in this area, and it</w:t>
      </w:r>
      <w:r w:rsidR="003440CF">
        <w:rPr>
          <w:rFonts w:eastAsiaTheme="minorHAnsi"/>
        </w:rPr>
        <w:t xml:space="preserve"> is said on behalf of the Secretary of State that refusals of MLA are rare and exceptional</w:t>
      </w:r>
      <w:r w:rsidR="00BF16EB">
        <w:rPr>
          <w:rFonts w:eastAsiaTheme="minorHAnsi"/>
        </w:rPr>
        <w:t>.</w:t>
      </w:r>
      <w:r w:rsidR="00A53AA9">
        <w:rPr>
          <w:rFonts w:eastAsiaTheme="minorHAnsi"/>
        </w:rPr>
        <w:t xml:space="preserve"> </w:t>
      </w:r>
    </w:p>
    <w:p w14:paraId="62B89DFE" w14:textId="285C9E63" w:rsidR="0050472E" w:rsidRPr="00261FB4" w:rsidRDefault="003440CF" w:rsidP="006D28AA">
      <w:pPr>
        <w:pStyle w:val="ParaLevel1"/>
        <w:rPr>
          <w:rFonts w:eastAsiaTheme="minorHAnsi"/>
        </w:rPr>
      </w:pPr>
      <w:r>
        <w:rPr>
          <w:rFonts w:eastAsiaTheme="minorHAnsi"/>
        </w:rPr>
        <w:t>The UK-US MLA Treaty imposes an obligation on the US and the UK to accede to requests for MLA from the other state</w:t>
      </w:r>
      <w:r w:rsidR="007E4160">
        <w:rPr>
          <w:rFonts w:eastAsiaTheme="minorHAnsi"/>
        </w:rPr>
        <w:t xml:space="preserve"> (</w:t>
      </w:r>
      <w:r>
        <w:rPr>
          <w:rFonts w:eastAsiaTheme="minorHAnsi"/>
        </w:rPr>
        <w:t xml:space="preserve">subject to certain limited discretionary </w:t>
      </w:r>
      <w:r w:rsidR="00E02A8A">
        <w:rPr>
          <w:rFonts w:eastAsiaTheme="minorHAnsi"/>
        </w:rPr>
        <w:t>limitations on assistance</w:t>
      </w:r>
      <w:r w:rsidR="007E4160">
        <w:rPr>
          <w:rFonts w:eastAsiaTheme="minorHAnsi"/>
        </w:rPr>
        <w:t xml:space="preserve"> in Article 3 of that treaty)</w:t>
      </w:r>
      <w:r w:rsidR="00E02A8A">
        <w:rPr>
          <w:rFonts w:eastAsiaTheme="minorHAnsi"/>
        </w:rPr>
        <w:t xml:space="preserve"> in connection with proceedings relating to crime</w:t>
      </w:r>
      <w:r w:rsidR="007E4160">
        <w:rPr>
          <w:rFonts w:eastAsiaTheme="minorHAnsi"/>
        </w:rPr>
        <w:t xml:space="preserve">. There is no entitlement in that treaty </w:t>
      </w:r>
      <w:r w:rsidR="005B7FF4">
        <w:rPr>
          <w:rFonts w:eastAsiaTheme="minorHAnsi"/>
        </w:rPr>
        <w:t xml:space="preserve">- </w:t>
      </w:r>
      <w:r w:rsidR="007E4160">
        <w:rPr>
          <w:rFonts w:eastAsiaTheme="minorHAnsi"/>
        </w:rPr>
        <w:t>or it is to be noted in equivalent international MLA treaties, including between the European Union and the U</w:t>
      </w:r>
      <w:r w:rsidR="00BF16EB">
        <w:rPr>
          <w:rFonts w:eastAsiaTheme="minorHAnsi"/>
        </w:rPr>
        <w:t xml:space="preserve">nited </w:t>
      </w:r>
      <w:r w:rsidR="007E4160">
        <w:rPr>
          <w:rFonts w:eastAsiaTheme="minorHAnsi"/>
        </w:rPr>
        <w:t>S</w:t>
      </w:r>
      <w:r w:rsidR="00BF16EB">
        <w:rPr>
          <w:rFonts w:eastAsiaTheme="minorHAnsi"/>
        </w:rPr>
        <w:t>tates</w:t>
      </w:r>
      <w:r w:rsidR="005B7FF4">
        <w:rPr>
          <w:rFonts w:eastAsiaTheme="minorHAnsi"/>
        </w:rPr>
        <w:t xml:space="preserve"> -</w:t>
      </w:r>
      <w:r w:rsidR="007E4160">
        <w:rPr>
          <w:rFonts w:eastAsiaTheme="minorHAnsi"/>
        </w:rPr>
        <w:t xml:space="preserve"> </w:t>
      </w:r>
      <w:r w:rsidR="005B7FF4">
        <w:rPr>
          <w:rFonts w:eastAsiaTheme="minorHAnsi"/>
        </w:rPr>
        <w:t xml:space="preserve">to refuse or delay a request on the basis that the requested State wishes to consider a domestic prosecution or has decided to prosecute </w:t>
      </w:r>
      <w:r w:rsidR="007E4160">
        <w:rPr>
          <w:rFonts w:eastAsiaTheme="minorHAnsi"/>
        </w:rPr>
        <w:t xml:space="preserve"> </w:t>
      </w:r>
      <w:r w:rsidR="005B7FF4">
        <w:rPr>
          <w:rFonts w:eastAsiaTheme="minorHAnsi"/>
        </w:rPr>
        <w:t xml:space="preserve">(save in the limited circumstances where Article 5(4) of the </w:t>
      </w:r>
      <w:r w:rsidR="00A20925">
        <w:rPr>
          <w:rFonts w:eastAsiaTheme="minorHAnsi"/>
        </w:rPr>
        <w:t>UK-US MLA T</w:t>
      </w:r>
      <w:r w:rsidR="005B7FF4">
        <w:rPr>
          <w:rFonts w:eastAsiaTheme="minorHAnsi"/>
        </w:rPr>
        <w:t xml:space="preserve">reaty applies, </w:t>
      </w:r>
      <w:r w:rsidR="00A20925">
        <w:rPr>
          <w:rFonts w:eastAsiaTheme="minorHAnsi"/>
        </w:rPr>
        <w:t xml:space="preserve">and it is not suggested </w:t>
      </w:r>
      <w:r w:rsidR="005B7FF4">
        <w:rPr>
          <w:rFonts w:eastAsiaTheme="minorHAnsi"/>
        </w:rPr>
        <w:t>it does here).</w:t>
      </w:r>
    </w:p>
    <w:p w14:paraId="2D452E59" w14:textId="58E3DFD4" w:rsidR="00173E75" w:rsidRDefault="004C2E97" w:rsidP="006D28AA">
      <w:pPr>
        <w:pStyle w:val="ParaLevel1"/>
      </w:pPr>
      <w:r>
        <w:rPr>
          <w:rFonts w:eastAsiaTheme="minorHAnsi"/>
        </w:rPr>
        <w:t>Th</w:t>
      </w:r>
      <w:r w:rsidR="003440CF">
        <w:rPr>
          <w:rFonts w:eastAsiaTheme="minorHAnsi"/>
        </w:rPr>
        <w:t>at said, th</w:t>
      </w:r>
      <w:r>
        <w:rPr>
          <w:rFonts w:eastAsiaTheme="minorHAnsi"/>
        </w:rPr>
        <w:t xml:space="preserve">ere can </w:t>
      </w:r>
      <w:r w:rsidRPr="00947138">
        <w:rPr>
          <w:rFonts w:eastAsiaTheme="minorHAnsi"/>
        </w:rPr>
        <w:t xml:space="preserve">no doubt that, in the event of conflicting provisions, the DPA, as primary legislation which post-dates the MLA </w:t>
      </w:r>
      <w:r>
        <w:rPr>
          <w:rFonts w:eastAsiaTheme="minorHAnsi"/>
        </w:rPr>
        <w:t>T</w:t>
      </w:r>
      <w:r w:rsidRPr="00947138">
        <w:rPr>
          <w:rFonts w:eastAsiaTheme="minorHAnsi"/>
        </w:rPr>
        <w:t>reaty,</w:t>
      </w:r>
      <w:r>
        <w:rPr>
          <w:rFonts w:eastAsiaTheme="minorHAnsi"/>
        </w:rPr>
        <w:t xml:space="preserve"> would be the governing </w:t>
      </w:r>
      <w:r>
        <w:rPr>
          <w:rFonts w:eastAsiaTheme="minorHAnsi"/>
        </w:rPr>
        <w:lastRenderedPageBreak/>
        <w:t xml:space="preserve">provision. </w:t>
      </w:r>
      <w:r w:rsidRPr="00766DB9">
        <w:rPr>
          <w:rFonts w:eastAsiaTheme="minorHAnsi"/>
        </w:rPr>
        <w:t>In our judgment however</w:t>
      </w:r>
      <w:r w:rsidR="0050472E">
        <w:rPr>
          <w:rFonts w:eastAsiaTheme="minorHAnsi"/>
        </w:rPr>
        <w:t xml:space="preserve"> </w:t>
      </w:r>
      <w:r w:rsidRPr="00766DB9">
        <w:rPr>
          <w:rFonts w:eastAsiaTheme="minorHAnsi"/>
        </w:rPr>
        <w:t xml:space="preserve"> there is no conflict between the DPA (and the LED which it reflects) and the UK-US MLA Treaty. The two regimes, properly understood, respect and support each other. </w:t>
      </w:r>
      <w:r w:rsidRPr="00766DB9">
        <w:t xml:space="preserve">Neither qualifies the essential structure of the other. </w:t>
      </w:r>
      <w:r>
        <w:t xml:space="preserve"> In simple terms, where a decision to accede to an MLA request may engage privacy rights and data protection issues, this consideration is addressed, as the defendant submits, by way of application of the requirements of the DPA</w:t>
      </w:r>
      <w:r w:rsidR="000D0824">
        <w:t xml:space="preserve">, </w:t>
      </w:r>
      <w:r w:rsidR="009F31CF">
        <w:t xml:space="preserve">and </w:t>
      </w:r>
      <w:r w:rsidR="00E02A8A">
        <w:t xml:space="preserve">it is clear from reading the decision and the UKCA </w:t>
      </w:r>
      <w:r w:rsidR="001939D3">
        <w:t>S</w:t>
      </w:r>
      <w:r w:rsidR="00E02A8A">
        <w:t xml:space="preserve">ubmission, </w:t>
      </w:r>
      <w:r w:rsidR="009F31CF">
        <w:t xml:space="preserve">this </w:t>
      </w:r>
      <w:r w:rsidR="000D0824">
        <w:t xml:space="preserve">is </w:t>
      </w:r>
      <w:r w:rsidR="00E02A8A">
        <w:t xml:space="preserve">precisely </w:t>
      </w:r>
      <w:r w:rsidR="000D0824">
        <w:t>what occurred in this case</w:t>
      </w:r>
      <w:r>
        <w:t>.</w:t>
      </w:r>
      <w:r w:rsidR="00A53AA9">
        <w:t xml:space="preserve"> </w:t>
      </w:r>
    </w:p>
    <w:p w14:paraId="53D8A468" w14:textId="34669A6C" w:rsidR="00E02A8A" w:rsidRPr="000B0C69" w:rsidRDefault="00A53AA9" w:rsidP="006D28AA">
      <w:pPr>
        <w:pStyle w:val="ParaLevel1"/>
      </w:pPr>
      <w:r>
        <w:t>The UKCA Submission addressed the re</w:t>
      </w:r>
      <w:r w:rsidR="00173E75">
        <w:t xml:space="preserve">levant </w:t>
      </w:r>
      <w:r>
        <w:t xml:space="preserve">DPA </w:t>
      </w:r>
      <w:r w:rsidR="00173E75">
        <w:t xml:space="preserve">considerations </w:t>
      </w:r>
      <w:r>
        <w:t>in detail</w:t>
      </w:r>
      <w:r w:rsidR="00173E75">
        <w:t>; it invited the Secretary of State in reaching her decision to confirm that she had given explicit consideration to those considerations and that she was content that the relevant criteria were fulfilled, which is what she then did</w:t>
      </w:r>
      <w:r w:rsidR="005B7FF4">
        <w:t>.</w:t>
      </w:r>
    </w:p>
    <w:p w14:paraId="1C430D6F" w14:textId="19972368" w:rsidR="004C2E97" w:rsidRPr="009F17C2" w:rsidRDefault="004C2E97" w:rsidP="006D28AA">
      <w:pPr>
        <w:pStyle w:val="ParaLevel1"/>
        <w:rPr>
          <w:rFonts w:eastAsiaTheme="minorHAnsi"/>
          <w:szCs w:val="24"/>
        </w:rPr>
      </w:pPr>
      <w:r w:rsidRPr="009F17C2">
        <w:rPr>
          <w:rFonts w:eastAsiaTheme="minorHAnsi"/>
          <w:szCs w:val="24"/>
        </w:rPr>
        <w:t xml:space="preserve">The </w:t>
      </w:r>
      <w:r>
        <w:rPr>
          <w:rFonts w:eastAsiaTheme="minorHAnsi"/>
          <w:szCs w:val="24"/>
        </w:rPr>
        <w:t xml:space="preserve">LED </w:t>
      </w:r>
      <w:r w:rsidRPr="009F17C2">
        <w:rPr>
          <w:rFonts w:eastAsiaTheme="minorHAnsi"/>
          <w:szCs w:val="24"/>
        </w:rPr>
        <w:t xml:space="preserve">recognises the dual objectives of facilitating the free flow of personal data for law enforcement purposes whilst ensuring </w:t>
      </w:r>
      <w:r w:rsidR="0036121E">
        <w:rPr>
          <w:rFonts w:eastAsiaTheme="minorHAnsi"/>
          <w:szCs w:val="24"/>
        </w:rPr>
        <w:t xml:space="preserve">the appropriate </w:t>
      </w:r>
      <w:r>
        <w:rPr>
          <w:rFonts w:eastAsiaTheme="minorHAnsi"/>
          <w:szCs w:val="24"/>
        </w:rPr>
        <w:t xml:space="preserve">level of </w:t>
      </w:r>
      <w:r w:rsidRPr="009F17C2">
        <w:rPr>
          <w:rFonts w:eastAsiaTheme="minorHAnsi"/>
          <w:szCs w:val="24"/>
        </w:rPr>
        <w:t>protection of personal data</w:t>
      </w:r>
      <w:r>
        <w:rPr>
          <w:rFonts w:eastAsiaTheme="minorHAnsi"/>
          <w:szCs w:val="24"/>
        </w:rPr>
        <w:t xml:space="preserve">: see Recitals 4 and 7 set out at para </w:t>
      </w:r>
      <w:r w:rsidR="00B45BF0">
        <w:rPr>
          <w:rFonts w:eastAsiaTheme="minorHAnsi"/>
          <w:szCs w:val="24"/>
        </w:rPr>
        <w:t>29</w:t>
      </w:r>
      <w:r>
        <w:rPr>
          <w:rFonts w:eastAsiaTheme="minorHAnsi"/>
          <w:szCs w:val="24"/>
        </w:rPr>
        <w:t xml:space="preserve"> </w:t>
      </w:r>
      <w:r w:rsidR="001939D3">
        <w:rPr>
          <w:rFonts w:eastAsiaTheme="minorHAnsi"/>
          <w:szCs w:val="24"/>
        </w:rPr>
        <w:t xml:space="preserve">and 30 </w:t>
      </w:r>
      <w:r>
        <w:rPr>
          <w:rFonts w:eastAsiaTheme="minorHAnsi"/>
          <w:szCs w:val="24"/>
        </w:rPr>
        <w:t>above.</w:t>
      </w:r>
      <w:r w:rsidRPr="009F17C2">
        <w:rPr>
          <w:rFonts w:eastAsiaTheme="minorHAnsi"/>
          <w:szCs w:val="24"/>
        </w:rPr>
        <w:t xml:space="preserve"> </w:t>
      </w:r>
      <w:r w:rsidR="009F31CF">
        <w:rPr>
          <w:rFonts w:eastAsiaTheme="minorHAnsi"/>
          <w:szCs w:val="24"/>
          <w:shd w:val="clear" w:color="auto" w:fill="FFFFFF"/>
        </w:rPr>
        <w:t xml:space="preserve"> </w:t>
      </w:r>
      <w:hyperlink r:id="rId22" w:history="1">
        <w:r w:rsidRPr="009F17C2">
          <w:rPr>
            <w:rFonts w:eastAsiaTheme="minorHAnsi"/>
            <w:szCs w:val="24"/>
            <w:bdr w:val="none" w:sz="0" w:space="0" w:color="auto" w:frame="1"/>
            <w:shd w:val="clear" w:color="auto" w:fill="FFFFFF"/>
          </w:rPr>
          <w:t>Part 3</w:t>
        </w:r>
      </w:hyperlink>
      <w:r w:rsidR="009F31CF">
        <w:rPr>
          <w:rFonts w:eastAsiaTheme="minorHAnsi"/>
          <w:szCs w:val="24"/>
          <w:shd w:val="clear" w:color="auto" w:fill="FFFFFF"/>
        </w:rPr>
        <w:t xml:space="preserve"> </w:t>
      </w:r>
      <w:r w:rsidRPr="009F17C2">
        <w:rPr>
          <w:rFonts w:eastAsiaTheme="minorHAnsi"/>
          <w:szCs w:val="24"/>
          <w:shd w:val="clear" w:color="auto" w:fill="FFFFFF"/>
        </w:rPr>
        <w:t xml:space="preserve">of the DPA makes provision </w:t>
      </w:r>
      <w:r>
        <w:rPr>
          <w:rFonts w:eastAsiaTheme="minorHAnsi"/>
          <w:szCs w:val="24"/>
          <w:shd w:val="clear" w:color="auto" w:fill="FFFFFF"/>
        </w:rPr>
        <w:t xml:space="preserve">for </w:t>
      </w:r>
      <w:r w:rsidRPr="009F17C2">
        <w:rPr>
          <w:rFonts w:eastAsiaTheme="minorHAnsi"/>
          <w:szCs w:val="24"/>
          <w:shd w:val="clear" w:color="auto" w:fill="FFFFFF"/>
        </w:rPr>
        <w:t>the processing of personal data by competent authorities for law enforcement purposes and implements the</w:t>
      </w:r>
      <w:r>
        <w:rPr>
          <w:rFonts w:eastAsiaTheme="minorHAnsi"/>
          <w:szCs w:val="24"/>
          <w:shd w:val="clear" w:color="auto" w:fill="FFFFFF"/>
        </w:rPr>
        <w:t xml:space="preserve"> LED</w:t>
      </w:r>
      <w:r w:rsidRPr="009F17C2">
        <w:rPr>
          <w:rFonts w:eastAsiaTheme="minorHAnsi"/>
          <w:szCs w:val="24"/>
          <w:shd w:val="clear" w:color="auto" w:fill="FFFFFF"/>
        </w:rPr>
        <w:t xml:space="preserve">. Chapter 5 of </w:t>
      </w:r>
      <w:r>
        <w:rPr>
          <w:rFonts w:eastAsiaTheme="minorHAnsi"/>
          <w:szCs w:val="24"/>
          <w:shd w:val="clear" w:color="auto" w:fill="FFFFFF"/>
        </w:rPr>
        <w:t>P</w:t>
      </w:r>
      <w:r w:rsidRPr="009F17C2">
        <w:rPr>
          <w:rFonts w:eastAsiaTheme="minorHAnsi"/>
          <w:szCs w:val="24"/>
          <w:shd w:val="clear" w:color="auto" w:fill="FFFFFF"/>
        </w:rPr>
        <w:t>art 3 of the</w:t>
      </w:r>
      <w:r>
        <w:rPr>
          <w:rFonts w:eastAsiaTheme="minorHAnsi"/>
          <w:szCs w:val="24"/>
          <w:shd w:val="clear" w:color="auto" w:fill="FFFFFF"/>
        </w:rPr>
        <w:t xml:space="preserve"> DPA</w:t>
      </w:r>
      <w:r w:rsidRPr="009F17C2">
        <w:rPr>
          <w:rFonts w:eastAsiaTheme="minorHAnsi"/>
          <w:szCs w:val="24"/>
          <w:shd w:val="clear" w:color="auto" w:fill="FFFFFF"/>
        </w:rPr>
        <w:t>, which includes s</w:t>
      </w:r>
      <w:r>
        <w:rPr>
          <w:rFonts w:eastAsiaTheme="minorHAnsi"/>
          <w:szCs w:val="24"/>
          <w:shd w:val="clear" w:color="auto" w:fill="FFFFFF"/>
        </w:rPr>
        <w:t xml:space="preserve">ections </w:t>
      </w:r>
      <w:r w:rsidRPr="009F17C2">
        <w:rPr>
          <w:rFonts w:eastAsiaTheme="minorHAnsi"/>
          <w:szCs w:val="24"/>
          <w:shd w:val="clear" w:color="auto" w:fill="FFFFFF"/>
        </w:rPr>
        <w:t>72</w:t>
      </w:r>
      <w:r>
        <w:rPr>
          <w:rFonts w:eastAsiaTheme="minorHAnsi"/>
          <w:szCs w:val="24"/>
          <w:shd w:val="clear" w:color="auto" w:fill="FFFFFF"/>
        </w:rPr>
        <w:t xml:space="preserve"> to </w:t>
      </w:r>
      <w:r w:rsidRPr="009F17C2">
        <w:rPr>
          <w:rFonts w:eastAsiaTheme="minorHAnsi"/>
          <w:szCs w:val="24"/>
          <w:shd w:val="clear" w:color="auto" w:fill="FFFFFF"/>
        </w:rPr>
        <w:t xml:space="preserve">78, </w:t>
      </w:r>
      <w:r>
        <w:rPr>
          <w:rFonts w:eastAsiaTheme="minorHAnsi"/>
          <w:szCs w:val="24"/>
          <w:shd w:val="clear" w:color="auto" w:fill="FFFFFF"/>
        </w:rPr>
        <w:t>applies to</w:t>
      </w:r>
      <w:r w:rsidRPr="009F17C2">
        <w:rPr>
          <w:rFonts w:eastAsiaTheme="minorHAnsi"/>
          <w:szCs w:val="24"/>
          <w:shd w:val="clear" w:color="auto" w:fill="FFFFFF"/>
        </w:rPr>
        <w:t xml:space="preserve"> transfers to third countries such as the USA.  </w:t>
      </w:r>
      <w:r w:rsidRPr="009F17C2">
        <w:rPr>
          <w:rFonts w:eastAsiaTheme="minorHAnsi"/>
          <w:szCs w:val="24"/>
        </w:rPr>
        <w:t xml:space="preserve">Neither the </w:t>
      </w:r>
      <w:r>
        <w:rPr>
          <w:rFonts w:eastAsiaTheme="minorHAnsi"/>
          <w:szCs w:val="24"/>
        </w:rPr>
        <w:t xml:space="preserve">LED </w:t>
      </w:r>
      <w:r w:rsidRPr="009F17C2">
        <w:rPr>
          <w:rFonts w:eastAsiaTheme="minorHAnsi"/>
          <w:szCs w:val="24"/>
        </w:rPr>
        <w:t xml:space="preserve">nor the </w:t>
      </w:r>
      <w:r>
        <w:rPr>
          <w:rFonts w:eastAsiaTheme="minorHAnsi"/>
          <w:szCs w:val="24"/>
        </w:rPr>
        <w:t xml:space="preserve">DPA </w:t>
      </w:r>
      <w:r w:rsidRPr="009F17C2">
        <w:rPr>
          <w:rFonts w:eastAsiaTheme="minorHAnsi"/>
          <w:szCs w:val="24"/>
        </w:rPr>
        <w:t>seek</w:t>
      </w:r>
      <w:r>
        <w:rPr>
          <w:rFonts w:eastAsiaTheme="minorHAnsi"/>
          <w:szCs w:val="24"/>
        </w:rPr>
        <w:t>s</w:t>
      </w:r>
      <w:r w:rsidRPr="009F17C2">
        <w:rPr>
          <w:rFonts w:eastAsiaTheme="minorHAnsi"/>
          <w:szCs w:val="24"/>
        </w:rPr>
        <w:t xml:space="preserve"> to reduce the ambit of MLA agreements.  Instead they require that when those agreements are in play</w:t>
      </w:r>
      <w:r>
        <w:rPr>
          <w:rFonts w:eastAsiaTheme="minorHAnsi"/>
          <w:szCs w:val="24"/>
        </w:rPr>
        <w:t>,</w:t>
      </w:r>
      <w:r w:rsidRPr="009F17C2">
        <w:rPr>
          <w:rFonts w:eastAsiaTheme="minorHAnsi"/>
          <w:szCs w:val="24"/>
        </w:rPr>
        <w:t xml:space="preserve"> the State </w:t>
      </w:r>
      <w:r>
        <w:rPr>
          <w:rFonts w:eastAsiaTheme="minorHAnsi"/>
          <w:szCs w:val="24"/>
        </w:rPr>
        <w:t xml:space="preserve">to </w:t>
      </w:r>
      <w:r w:rsidRPr="009F17C2">
        <w:rPr>
          <w:rFonts w:eastAsiaTheme="minorHAnsi"/>
          <w:szCs w:val="24"/>
        </w:rPr>
        <w:t xml:space="preserve">whom the request for MLA is </w:t>
      </w:r>
      <w:r>
        <w:rPr>
          <w:rFonts w:eastAsiaTheme="minorHAnsi"/>
          <w:szCs w:val="24"/>
        </w:rPr>
        <w:t xml:space="preserve">addressed </w:t>
      </w:r>
      <w:r w:rsidRPr="009F17C2">
        <w:rPr>
          <w:rFonts w:eastAsiaTheme="minorHAnsi"/>
          <w:szCs w:val="24"/>
        </w:rPr>
        <w:t xml:space="preserve">must apply the data protection principles in formulating its response.  </w:t>
      </w:r>
    </w:p>
    <w:p w14:paraId="53672188" w14:textId="06378FF7" w:rsidR="004C2E97" w:rsidRPr="000B0C69" w:rsidRDefault="004C2E97" w:rsidP="006D28AA">
      <w:pPr>
        <w:pStyle w:val="ParaLevel1"/>
        <w:rPr>
          <w:rFonts w:eastAsiaTheme="minorHAnsi"/>
          <w:szCs w:val="24"/>
        </w:rPr>
      </w:pPr>
      <w:r w:rsidRPr="002A6256">
        <w:rPr>
          <w:szCs w:val="24"/>
        </w:rPr>
        <w:t>Disclosure is only possible if it is necessary, to the appropriate degree, for the law enforcement purpose in question. But once that necessity is established</w:t>
      </w:r>
      <w:r>
        <w:rPr>
          <w:szCs w:val="24"/>
        </w:rPr>
        <w:t>,</w:t>
      </w:r>
      <w:r w:rsidRPr="002A6256">
        <w:rPr>
          <w:szCs w:val="24"/>
        </w:rPr>
        <w:t xml:space="preserve"> the </w:t>
      </w:r>
      <w:r>
        <w:rPr>
          <w:szCs w:val="24"/>
        </w:rPr>
        <w:t xml:space="preserve">process of mutual legal assistance </w:t>
      </w:r>
      <w:r w:rsidRPr="002A6256">
        <w:rPr>
          <w:szCs w:val="24"/>
        </w:rPr>
        <w:t>operates to ensure that co</w:t>
      </w:r>
      <w:r>
        <w:rPr>
          <w:szCs w:val="24"/>
        </w:rPr>
        <w:t>-</w:t>
      </w:r>
      <w:r w:rsidRPr="002A6256">
        <w:rPr>
          <w:szCs w:val="24"/>
        </w:rPr>
        <w:t>operation between States can take place as agreed in the relevant treaty. Th</w:t>
      </w:r>
      <w:r>
        <w:rPr>
          <w:szCs w:val="24"/>
        </w:rPr>
        <w:t>is</w:t>
      </w:r>
      <w:r w:rsidRPr="002A6256">
        <w:rPr>
          <w:szCs w:val="24"/>
        </w:rPr>
        <w:t xml:space="preserve"> applies to all data which </w:t>
      </w:r>
      <w:r>
        <w:rPr>
          <w:szCs w:val="24"/>
        </w:rPr>
        <w:t>is requested, which</w:t>
      </w:r>
      <w:r w:rsidRPr="002A6256">
        <w:rPr>
          <w:szCs w:val="24"/>
        </w:rPr>
        <w:t xml:space="preserve"> in the present case, includes the sensitive data of Mr El Sheikh and others whose data is included in the material to be disclosed.</w:t>
      </w:r>
    </w:p>
    <w:p w14:paraId="164C5897" w14:textId="7F82D072" w:rsidR="009F17C2" w:rsidRPr="002A6256" w:rsidRDefault="00BD0D88" w:rsidP="006D28AA">
      <w:pPr>
        <w:pStyle w:val="ParaLevel1"/>
        <w:rPr>
          <w:lang w:eastAsia="en-GB"/>
        </w:rPr>
      </w:pPr>
      <w:r>
        <w:rPr>
          <w:lang w:eastAsia="en-GB"/>
        </w:rPr>
        <w:t xml:space="preserve">The essence of the case for the claimant </w:t>
      </w:r>
      <w:r w:rsidR="006E69D5">
        <w:rPr>
          <w:lang w:eastAsia="en-GB"/>
        </w:rPr>
        <w:t xml:space="preserve">as we have said, </w:t>
      </w:r>
      <w:r w:rsidR="004E1CE7">
        <w:rPr>
          <w:lang w:eastAsia="en-GB"/>
        </w:rPr>
        <w:t xml:space="preserve">is </w:t>
      </w:r>
      <w:r>
        <w:rPr>
          <w:lang w:eastAsia="en-GB"/>
        </w:rPr>
        <w:t xml:space="preserve">that </w:t>
      </w:r>
      <w:r w:rsidR="00771CBB">
        <w:rPr>
          <w:lang w:eastAsia="en-GB"/>
        </w:rPr>
        <w:t xml:space="preserve">the ultimate objective of both the United Kingdom and United States Governments, was the prosecution of Mr El Sheikh; that </w:t>
      </w:r>
      <w:r>
        <w:rPr>
          <w:lang w:eastAsia="en-GB"/>
        </w:rPr>
        <w:t xml:space="preserve">when </w:t>
      </w:r>
      <w:r w:rsidR="009F17C2">
        <w:rPr>
          <w:lang w:eastAsia="en-GB"/>
        </w:rPr>
        <w:t>determining whether the proposed disclosure was strictly necessary or proportionate</w:t>
      </w:r>
      <w:r w:rsidR="00AE0AD2">
        <w:rPr>
          <w:lang w:eastAsia="en-GB"/>
        </w:rPr>
        <w:t>,</w:t>
      </w:r>
      <w:r w:rsidR="009F17C2">
        <w:rPr>
          <w:lang w:eastAsia="en-GB"/>
        </w:rPr>
        <w:t xml:space="preserve"> the </w:t>
      </w:r>
      <w:r w:rsidR="006D1147">
        <w:rPr>
          <w:lang w:eastAsia="en-GB"/>
        </w:rPr>
        <w:t xml:space="preserve">data </w:t>
      </w:r>
      <w:r w:rsidR="009F17C2">
        <w:rPr>
          <w:lang w:eastAsia="en-GB"/>
        </w:rPr>
        <w:t xml:space="preserve">controller </w:t>
      </w:r>
      <w:r w:rsidR="006D1147">
        <w:rPr>
          <w:lang w:eastAsia="en-GB"/>
        </w:rPr>
        <w:t>was required to</w:t>
      </w:r>
      <w:r w:rsidR="009F17C2">
        <w:rPr>
          <w:lang w:eastAsia="en-GB"/>
        </w:rPr>
        <w:t xml:space="preserve"> consider the alternative means of securing th</w:t>
      </w:r>
      <w:r w:rsidR="00771CBB">
        <w:rPr>
          <w:lang w:eastAsia="en-GB"/>
        </w:rPr>
        <w:t>at</w:t>
      </w:r>
      <w:r w:rsidR="009F17C2">
        <w:rPr>
          <w:lang w:eastAsia="en-GB"/>
        </w:rPr>
        <w:t xml:space="preserve"> ultimate objective</w:t>
      </w:r>
      <w:r w:rsidR="00BE6F01">
        <w:rPr>
          <w:lang w:eastAsia="en-GB"/>
        </w:rPr>
        <w:t xml:space="preserve"> and that</w:t>
      </w:r>
      <w:r w:rsidR="009F17C2">
        <w:rPr>
          <w:lang w:eastAsia="en-GB"/>
        </w:rPr>
        <w:t xml:space="preserve">  </w:t>
      </w:r>
      <w:r w:rsidR="00BE6F01">
        <w:rPr>
          <w:lang w:eastAsia="en-GB"/>
        </w:rPr>
        <w:t>b</w:t>
      </w:r>
      <w:r>
        <w:rPr>
          <w:lang w:eastAsia="en-GB"/>
        </w:rPr>
        <w:t>ecause</w:t>
      </w:r>
      <w:r w:rsidR="00BE6F01">
        <w:rPr>
          <w:lang w:eastAsia="en-GB"/>
        </w:rPr>
        <w:t xml:space="preserve"> a</w:t>
      </w:r>
      <w:r w:rsidR="004E1CE7">
        <w:rPr>
          <w:lang w:eastAsia="en-GB"/>
        </w:rPr>
        <w:t xml:space="preserve"> </w:t>
      </w:r>
      <w:r>
        <w:rPr>
          <w:lang w:eastAsia="en-GB"/>
        </w:rPr>
        <w:t>p</w:t>
      </w:r>
      <w:r w:rsidR="00AE0AD2">
        <w:rPr>
          <w:lang w:eastAsia="en-GB"/>
        </w:rPr>
        <w:t>rosecution</w:t>
      </w:r>
      <w:r w:rsidR="004E1CE7">
        <w:rPr>
          <w:lang w:eastAsia="en-GB"/>
        </w:rPr>
        <w:t xml:space="preserve"> of Mr El Sheikh</w:t>
      </w:r>
      <w:r w:rsidR="006D1147">
        <w:rPr>
          <w:lang w:eastAsia="en-GB"/>
        </w:rPr>
        <w:t xml:space="preserve"> was likely to be possible in England</w:t>
      </w:r>
      <w:r w:rsidR="00A0479B">
        <w:rPr>
          <w:lang w:eastAsia="en-GB"/>
        </w:rPr>
        <w:t xml:space="preserve">, </w:t>
      </w:r>
      <w:r w:rsidR="006D1147">
        <w:rPr>
          <w:lang w:eastAsia="en-GB"/>
        </w:rPr>
        <w:t>disclosure of material to the U</w:t>
      </w:r>
      <w:r>
        <w:rPr>
          <w:lang w:eastAsia="en-GB"/>
        </w:rPr>
        <w:t xml:space="preserve">nited </w:t>
      </w:r>
      <w:r w:rsidR="006D1147">
        <w:rPr>
          <w:lang w:eastAsia="en-GB"/>
        </w:rPr>
        <w:t>S</w:t>
      </w:r>
      <w:r>
        <w:rPr>
          <w:lang w:eastAsia="en-GB"/>
        </w:rPr>
        <w:t>tates</w:t>
      </w:r>
      <w:r w:rsidR="006D1147">
        <w:rPr>
          <w:lang w:eastAsia="en-GB"/>
        </w:rPr>
        <w:t xml:space="preserve"> was n</w:t>
      </w:r>
      <w:r w:rsidR="00771CBB">
        <w:rPr>
          <w:lang w:eastAsia="en-GB"/>
        </w:rPr>
        <w:t>ot</w:t>
      </w:r>
      <w:r w:rsidR="006D1147">
        <w:rPr>
          <w:lang w:eastAsia="en-GB"/>
        </w:rPr>
        <w:t xml:space="preserve"> necessary or proportionate. </w:t>
      </w:r>
    </w:p>
    <w:p w14:paraId="6AA47992" w14:textId="5883A338" w:rsidR="007669A0" w:rsidRDefault="00B65F6E" w:rsidP="006D28AA">
      <w:pPr>
        <w:pStyle w:val="ParaLevel1"/>
        <w:rPr>
          <w:rFonts w:eastAsiaTheme="minorHAnsi"/>
          <w:szCs w:val="24"/>
        </w:rPr>
      </w:pPr>
      <w:r>
        <w:rPr>
          <w:rFonts w:eastAsiaTheme="minorHAnsi"/>
          <w:szCs w:val="24"/>
        </w:rPr>
        <w:t>I</w:t>
      </w:r>
      <w:r w:rsidR="009F17C2" w:rsidRPr="009F17C2">
        <w:rPr>
          <w:rFonts w:eastAsiaTheme="minorHAnsi"/>
          <w:szCs w:val="24"/>
        </w:rPr>
        <w:t xml:space="preserve">n our judgment, </w:t>
      </w:r>
      <w:r w:rsidR="00A0479B">
        <w:rPr>
          <w:rFonts w:eastAsiaTheme="minorHAnsi"/>
          <w:szCs w:val="24"/>
        </w:rPr>
        <w:t xml:space="preserve">this fundamentally misstates the question the data controller is required to consider. </w:t>
      </w:r>
    </w:p>
    <w:p w14:paraId="44E3D791" w14:textId="2022D2A4" w:rsidR="000F550A" w:rsidRPr="00A0479B" w:rsidRDefault="00A0479B" w:rsidP="006D28AA">
      <w:pPr>
        <w:pStyle w:val="ParaLevel1"/>
        <w:rPr>
          <w:rFonts w:eastAsiaTheme="minorHAnsi"/>
          <w:szCs w:val="24"/>
        </w:rPr>
      </w:pPr>
      <w:r w:rsidRPr="00A0479B">
        <w:rPr>
          <w:rFonts w:eastAsiaTheme="minorHAnsi"/>
          <w:szCs w:val="24"/>
        </w:rPr>
        <w:t>T</w:t>
      </w:r>
      <w:r w:rsidR="009F17C2" w:rsidRPr="00A0479B">
        <w:rPr>
          <w:rFonts w:eastAsiaTheme="minorHAnsi"/>
          <w:szCs w:val="24"/>
        </w:rPr>
        <w:t xml:space="preserve">he </w:t>
      </w:r>
      <w:r w:rsidR="004E1CE7" w:rsidRPr="00A0479B">
        <w:rPr>
          <w:rFonts w:eastAsiaTheme="minorHAnsi"/>
          <w:szCs w:val="24"/>
        </w:rPr>
        <w:t>correct approach is to be found</w:t>
      </w:r>
      <w:r w:rsidR="009F17C2" w:rsidRPr="00A0479B">
        <w:rPr>
          <w:rFonts w:eastAsiaTheme="minorHAnsi"/>
          <w:szCs w:val="24"/>
        </w:rPr>
        <w:t xml:space="preserve"> in the wording of the LED and the DPA.  </w:t>
      </w:r>
      <w:r w:rsidR="00771CBB" w:rsidRPr="00A0479B">
        <w:rPr>
          <w:rFonts w:eastAsiaTheme="minorHAnsi"/>
          <w:szCs w:val="24"/>
        </w:rPr>
        <w:t xml:space="preserve">It is convenient to set out parts of the wording of both. </w:t>
      </w:r>
      <w:r w:rsidR="000F550A" w:rsidRPr="00A0479B">
        <w:rPr>
          <w:rFonts w:eastAsiaTheme="minorHAnsi"/>
          <w:szCs w:val="24"/>
        </w:rPr>
        <w:t>Art</w:t>
      </w:r>
      <w:r w:rsidR="00771CBB" w:rsidRPr="00A0479B">
        <w:rPr>
          <w:rFonts w:eastAsiaTheme="minorHAnsi"/>
          <w:szCs w:val="24"/>
        </w:rPr>
        <w:t>icle</w:t>
      </w:r>
      <w:r w:rsidR="000F550A" w:rsidRPr="00A0479B">
        <w:rPr>
          <w:rFonts w:eastAsiaTheme="minorHAnsi"/>
          <w:szCs w:val="24"/>
        </w:rPr>
        <w:t xml:space="preserve"> 8 of the LED provides that “</w:t>
      </w:r>
      <w:r w:rsidR="000F550A" w:rsidRPr="00A0479B">
        <w:rPr>
          <w:rFonts w:eastAsiaTheme="minorHAnsi"/>
          <w:i/>
          <w:iCs/>
          <w:szCs w:val="24"/>
        </w:rPr>
        <w:t>member states shall provide for processing to be lawful only if and to the extent that the purpose is necessary for the performance of a task carried out by a competent authority for the purpose set out in art 1(1), namely the prevention, investigation, detection or prosecution of criminal offences</w:t>
      </w:r>
      <w:r w:rsidR="000F550A" w:rsidRPr="00A0479B">
        <w:rPr>
          <w:rFonts w:eastAsiaTheme="minorHAnsi"/>
          <w:szCs w:val="24"/>
        </w:rPr>
        <w:t>”.  Article 1(1) is brought into domestic law by s</w:t>
      </w:r>
      <w:r w:rsidR="00AE0AD2" w:rsidRPr="00A0479B">
        <w:rPr>
          <w:rFonts w:eastAsiaTheme="minorHAnsi"/>
          <w:szCs w:val="24"/>
        </w:rPr>
        <w:t xml:space="preserve">ection </w:t>
      </w:r>
      <w:r w:rsidR="000F550A" w:rsidRPr="00A0479B">
        <w:rPr>
          <w:rFonts w:eastAsiaTheme="minorHAnsi"/>
          <w:szCs w:val="24"/>
        </w:rPr>
        <w:t>31</w:t>
      </w:r>
      <w:r w:rsidR="00AE0AD2" w:rsidRPr="00A0479B">
        <w:rPr>
          <w:rFonts w:eastAsiaTheme="minorHAnsi"/>
          <w:szCs w:val="24"/>
        </w:rPr>
        <w:t xml:space="preserve"> of the DPA</w:t>
      </w:r>
      <w:r w:rsidR="000F550A" w:rsidRPr="00A0479B">
        <w:rPr>
          <w:rFonts w:eastAsiaTheme="minorHAnsi"/>
          <w:szCs w:val="24"/>
        </w:rPr>
        <w:t>, which defines law enforcement purposes as including “</w:t>
      </w:r>
      <w:r w:rsidR="000F550A" w:rsidRPr="00A0479B">
        <w:rPr>
          <w:i/>
          <w:iCs/>
          <w:szCs w:val="24"/>
          <w:lang w:eastAsia="en-GB"/>
        </w:rPr>
        <w:t>the purposes of the prevention, investigation, detection or prosecution of criminal offences …”</w:t>
      </w:r>
      <w:r w:rsidR="00771CBB" w:rsidRPr="00A0479B">
        <w:rPr>
          <w:szCs w:val="24"/>
          <w:lang w:eastAsia="en-GB"/>
        </w:rPr>
        <w:t xml:space="preserve">. </w:t>
      </w:r>
      <w:r w:rsidR="000F550A" w:rsidRPr="00A0479B">
        <w:rPr>
          <w:szCs w:val="24"/>
          <w:lang w:eastAsia="en-GB"/>
        </w:rPr>
        <w:t>Article 8 is brought into domestic law by</w:t>
      </w:r>
      <w:r w:rsidR="000F550A" w:rsidRPr="00A0479B">
        <w:rPr>
          <w:rFonts w:eastAsiaTheme="minorHAnsi"/>
          <w:szCs w:val="24"/>
        </w:rPr>
        <w:t xml:space="preserve"> s</w:t>
      </w:r>
      <w:r w:rsidR="00AE0AD2" w:rsidRPr="00A0479B">
        <w:rPr>
          <w:rFonts w:eastAsiaTheme="minorHAnsi"/>
          <w:szCs w:val="24"/>
        </w:rPr>
        <w:t xml:space="preserve">ection </w:t>
      </w:r>
      <w:r w:rsidR="000F550A" w:rsidRPr="00A0479B">
        <w:rPr>
          <w:rFonts w:eastAsiaTheme="minorHAnsi"/>
          <w:szCs w:val="24"/>
        </w:rPr>
        <w:t xml:space="preserve">35(1) </w:t>
      </w:r>
      <w:r w:rsidR="00AE0AD2" w:rsidRPr="00A0479B">
        <w:rPr>
          <w:rFonts w:eastAsiaTheme="minorHAnsi"/>
          <w:szCs w:val="24"/>
        </w:rPr>
        <w:t xml:space="preserve">of the DPA </w:t>
      </w:r>
      <w:r w:rsidR="000F550A" w:rsidRPr="00A0479B">
        <w:rPr>
          <w:rFonts w:eastAsiaTheme="minorHAnsi"/>
          <w:szCs w:val="24"/>
        </w:rPr>
        <w:t xml:space="preserve">which sets out the first data protection principle, pursuant to which processing must be </w:t>
      </w:r>
      <w:r w:rsidR="000F550A" w:rsidRPr="00A0479B">
        <w:rPr>
          <w:rFonts w:eastAsiaTheme="minorHAnsi"/>
          <w:szCs w:val="24"/>
        </w:rPr>
        <w:lastRenderedPageBreak/>
        <w:t xml:space="preserve">necessary or, if sensitive processing, strictly necessary for the performance of a task carried out for a law enforcement purpose.  It follows from the wording of the Directive and the </w:t>
      </w:r>
      <w:r w:rsidR="007F3A77" w:rsidRPr="00A0479B">
        <w:rPr>
          <w:rFonts w:eastAsiaTheme="minorHAnsi"/>
          <w:szCs w:val="24"/>
        </w:rPr>
        <w:t>DPA</w:t>
      </w:r>
      <w:r w:rsidR="000F550A" w:rsidRPr="00A0479B">
        <w:rPr>
          <w:rFonts w:eastAsiaTheme="minorHAnsi"/>
          <w:szCs w:val="24"/>
        </w:rPr>
        <w:t xml:space="preserve"> that the necessity requirement attaches to the task in question.</w:t>
      </w:r>
      <w:r w:rsidR="00AE0AD2" w:rsidRPr="00A0479B">
        <w:rPr>
          <w:rFonts w:eastAsiaTheme="minorHAnsi"/>
          <w:szCs w:val="24"/>
        </w:rPr>
        <w:t xml:space="preserve"> </w:t>
      </w:r>
    </w:p>
    <w:p w14:paraId="73D1A46C" w14:textId="21F43030" w:rsidR="000F550A" w:rsidRPr="002A6256" w:rsidRDefault="00D64881" w:rsidP="006D28AA">
      <w:pPr>
        <w:pStyle w:val="ParaLevel1"/>
        <w:rPr>
          <w:rFonts w:eastAsiaTheme="minorHAnsi"/>
          <w:szCs w:val="24"/>
        </w:rPr>
      </w:pPr>
      <w:r>
        <w:rPr>
          <w:rFonts w:eastAsiaTheme="minorHAnsi"/>
          <w:szCs w:val="24"/>
        </w:rPr>
        <w:t>T</w:t>
      </w:r>
      <w:r w:rsidR="000F550A" w:rsidRPr="002A6256">
        <w:rPr>
          <w:rFonts w:eastAsiaTheme="minorHAnsi"/>
          <w:szCs w:val="24"/>
        </w:rPr>
        <w:t>he second data protection principle set out in s</w:t>
      </w:r>
      <w:r w:rsidR="007F3A77">
        <w:rPr>
          <w:rFonts w:eastAsiaTheme="minorHAnsi"/>
          <w:szCs w:val="24"/>
        </w:rPr>
        <w:t xml:space="preserve">ection </w:t>
      </w:r>
      <w:r w:rsidR="000F550A" w:rsidRPr="002A6256">
        <w:rPr>
          <w:rFonts w:eastAsiaTheme="minorHAnsi"/>
          <w:szCs w:val="24"/>
        </w:rPr>
        <w:t xml:space="preserve">36 requires that the law enforcement purpose for which personal data is collected must be specific, explicit and legitimate and processed in a manner which is compatible with the purpose for which it was collected.  Personal data collected for one law enforcement purpose may be processed for another law enforcement purpose provided the processing is necessary and proportionate to that other purpose.  Again, the test is directed to </w:t>
      </w:r>
      <w:r w:rsidR="007F3A77">
        <w:rPr>
          <w:rFonts w:eastAsiaTheme="minorHAnsi"/>
          <w:szCs w:val="24"/>
        </w:rPr>
        <w:t xml:space="preserve">the </w:t>
      </w:r>
      <w:r w:rsidR="000F550A" w:rsidRPr="002A6256">
        <w:rPr>
          <w:rFonts w:eastAsiaTheme="minorHAnsi"/>
          <w:szCs w:val="24"/>
        </w:rPr>
        <w:t>particular law enforcement purpose in question.</w:t>
      </w:r>
    </w:p>
    <w:p w14:paraId="7D55584F" w14:textId="5D7A97A6" w:rsidR="009F31CF" w:rsidRPr="00261FB4" w:rsidRDefault="000F550A" w:rsidP="006D28AA">
      <w:pPr>
        <w:pStyle w:val="ParaLevel1"/>
        <w:rPr>
          <w:rFonts w:eastAsiaTheme="minorHAnsi"/>
        </w:rPr>
      </w:pPr>
      <w:r w:rsidRPr="002A6256">
        <w:rPr>
          <w:rFonts w:eastAsiaTheme="minorHAnsi"/>
          <w:szCs w:val="24"/>
        </w:rPr>
        <w:t>The same principle applies when data is transferred to a third country.  S</w:t>
      </w:r>
      <w:r w:rsidR="007F3A77">
        <w:rPr>
          <w:rFonts w:eastAsiaTheme="minorHAnsi"/>
          <w:szCs w:val="24"/>
        </w:rPr>
        <w:t xml:space="preserve">ection </w:t>
      </w:r>
      <w:r w:rsidRPr="002A6256">
        <w:rPr>
          <w:rFonts w:eastAsiaTheme="minorHAnsi"/>
          <w:szCs w:val="24"/>
        </w:rPr>
        <w:t>73(2) requires that the transfer must be necessary for any of the law enforcement purposes.  Accordingly, when a controller contemplates a transfer of data to a third country, she must be sure that it is necessary for a law enforcement purpose such as the investigation or prosecution of a criminal offence.</w:t>
      </w:r>
    </w:p>
    <w:p w14:paraId="768CCB09" w14:textId="664D97A2" w:rsidR="00475E2D" w:rsidRDefault="00475E2D" w:rsidP="006D28AA">
      <w:pPr>
        <w:pStyle w:val="ParaLevel1"/>
        <w:rPr>
          <w:rFonts w:eastAsiaTheme="minorHAnsi"/>
        </w:rPr>
      </w:pPr>
      <w:r w:rsidRPr="002A6256">
        <w:rPr>
          <w:rFonts w:eastAsiaTheme="minorHAnsi"/>
        </w:rPr>
        <w:t>In the present case the propose</w:t>
      </w:r>
      <w:r>
        <w:rPr>
          <w:rFonts w:eastAsiaTheme="minorHAnsi"/>
        </w:rPr>
        <w:t>d transfer of</w:t>
      </w:r>
      <w:r w:rsidRPr="002A6256">
        <w:rPr>
          <w:rFonts w:eastAsiaTheme="minorHAnsi"/>
        </w:rPr>
        <w:t xml:space="preserve"> </w:t>
      </w:r>
      <w:r>
        <w:rPr>
          <w:rFonts w:eastAsiaTheme="minorHAnsi"/>
        </w:rPr>
        <w:t xml:space="preserve">data </w:t>
      </w:r>
      <w:r w:rsidRPr="002A6256">
        <w:rPr>
          <w:rFonts w:eastAsiaTheme="minorHAnsi"/>
        </w:rPr>
        <w:t xml:space="preserve">to </w:t>
      </w:r>
      <w:r>
        <w:rPr>
          <w:rFonts w:eastAsiaTheme="minorHAnsi"/>
        </w:rPr>
        <w:t xml:space="preserve">the </w:t>
      </w:r>
      <w:r w:rsidRPr="002A6256">
        <w:rPr>
          <w:rFonts w:eastAsiaTheme="minorHAnsi"/>
        </w:rPr>
        <w:t>U</w:t>
      </w:r>
      <w:r>
        <w:rPr>
          <w:rFonts w:eastAsiaTheme="minorHAnsi"/>
        </w:rPr>
        <w:t xml:space="preserve">nited </w:t>
      </w:r>
      <w:r w:rsidRPr="002A6256">
        <w:rPr>
          <w:rFonts w:eastAsiaTheme="minorHAnsi"/>
        </w:rPr>
        <w:t>S</w:t>
      </w:r>
      <w:r>
        <w:rPr>
          <w:rFonts w:eastAsiaTheme="minorHAnsi"/>
        </w:rPr>
        <w:t>tates</w:t>
      </w:r>
      <w:r w:rsidRPr="002A6256">
        <w:rPr>
          <w:rFonts w:eastAsiaTheme="minorHAnsi"/>
        </w:rPr>
        <w:t xml:space="preserve"> authorities </w:t>
      </w:r>
      <w:r>
        <w:rPr>
          <w:rFonts w:eastAsiaTheme="minorHAnsi"/>
        </w:rPr>
        <w:t xml:space="preserve">pursuant to its request, is </w:t>
      </w:r>
      <w:r w:rsidRPr="002A6256">
        <w:rPr>
          <w:rFonts w:eastAsiaTheme="minorHAnsi"/>
        </w:rPr>
        <w:t>for the purpose of investigation and prosecution of Mr El Sheikh in the U</w:t>
      </w:r>
      <w:r>
        <w:rPr>
          <w:rFonts w:eastAsiaTheme="minorHAnsi"/>
        </w:rPr>
        <w:t xml:space="preserve">nited </w:t>
      </w:r>
      <w:r w:rsidRPr="002A6256">
        <w:rPr>
          <w:rFonts w:eastAsiaTheme="minorHAnsi"/>
        </w:rPr>
        <w:t>S</w:t>
      </w:r>
      <w:r>
        <w:rPr>
          <w:rFonts w:eastAsiaTheme="minorHAnsi"/>
        </w:rPr>
        <w:t xml:space="preserve">tates. This is </w:t>
      </w:r>
      <w:r w:rsidRPr="002A6256">
        <w:rPr>
          <w:rFonts w:eastAsiaTheme="minorHAnsi"/>
        </w:rPr>
        <w:t xml:space="preserve">a valid law enforcement purpose.  </w:t>
      </w:r>
      <w:r w:rsidR="003E36FF">
        <w:rPr>
          <w:rFonts w:eastAsiaTheme="minorHAnsi"/>
        </w:rPr>
        <w:t xml:space="preserve">On </w:t>
      </w:r>
      <w:r w:rsidR="000F550A" w:rsidRPr="002A6256">
        <w:rPr>
          <w:rFonts w:eastAsiaTheme="minorHAnsi"/>
        </w:rPr>
        <w:t xml:space="preserve">a proper reading of the </w:t>
      </w:r>
      <w:r w:rsidR="001939D3">
        <w:rPr>
          <w:rFonts w:eastAsiaTheme="minorHAnsi"/>
        </w:rPr>
        <w:t xml:space="preserve"> LED</w:t>
      </w:r>
      <w:r w:rsidR="000F550A" w:rsidRPr="002A6256">
        <w:rPr>
          <w:rFonts w:eastAsiaTheme="minorHAnsi"/>
        </w:rPr>
        <w:t xml:space="preserve"> and the </w:t>
      </w:r>
      <w:r w:rsidR="009D10A2">
        <w:rPr>
          <w:rFonts w:eastAsiaTheme="minorHAnsi"/>
        </w:rPr>
        <w:t>DPA</w:t>
      </w:r>
      <w:r w:rsidR="009F31CF">
        <w:rPr>
          <w:rFonts w:eastAsiaTheme="minorHAnsi"/>
        </w:rPr>
        <w:t>,</w:t>
      </w:r>
      <w:r w:rsidR="009D10A2">
        <w:rPr>
          <w:rFonts w:eastAsiaTheme="minorHAnsi"/>
        </w:rPr>
        <w:t xml:space="preserve"> </w:t>
      </w:r>
      <w:r w:rsidR="007F3A77">
        <w:rPr>
          <w:rFonts w:eastAsiaTheme="minorHAnsi"/>
        </w:rPr>
        <w:t xml:space="preserve">whether processing </w:t>
      </w:r>
      <w:r w:rsidR="003E36FF">
        <w:rPr>
          <w:rFonts w:eastAsiaTheme="minorHAnsi"/>
        </w:rPr>
        <w:t>(for the specified law enforcement purpose) is strictly necessary or proportionate is a question to be answered by reference</w:t>
      </w:r>
      <w:r w:rsidR="003E36FF" w:rsidRPr="00771CBB">
        <w:rPr>
          <w:rFonts w:eastAsiaTheme="minorHAnsi"/>
        </w:rPr>
        <w:t xml:space="preserve"> </w:t>
      </w:r>
      <w:r w:rsidR="000F550A" w:rsidRPr="00771CBB">
        <w:rPr>
          <w:rFonts w:eastAsiaTheme="minorHAnsi"/>
        </w:rPr>
        <w:t xml:space="preserve">to </w:t>
      </w:r>
      <w:r w:rsidR="000F550A" w:rsidRPr="00261FB4">
        <w:rPr>
          <w:rFonts w:eastAsiaTheme="minorHAnsi"/>
          <w:i/>
          <w:iCs/>
        </w:rPr>
        <w:t>th</w:t>
      </w:r>
      <w:r w:rsidRPr="00261FB4">
        <w:rPr>
          <w:rFonts w:eastAsiaTheme="minorHAnsi"/>
          <w:i/>
          <w:iCs/>
        </w:rPr>
        <w:t>at</w:t>
      </w:r>
      <w:r w:rsidR="000F550A" w:rsidRPr="00261FB4">
        <w:rPr>
          <w:rFonts w:eastAsiaTheme="minorHAnsi"/>
          <w:i/>
          <w:iCs/>
        </w:rPr>
        <w:t xml:space="preserve"> </w:t>
      </w:r>
      <w:r w:rsidR="000F550A" w:rsidRPr="00771CBB">
        <w:rPr>
          <w:rFonts w:eastAsiaTheme="minorHAnsi"/>
        </w:rPr>
        <w:t xml:space="preserve">particular task </w:t>
      </w:r>
      <w:r w:rsidR="003E36FF">
        <w:rPr>
          <w:rFonts w:eastAsiaTheme="minorHAnsi"/>
        </w:rPr>
        <w:t xml:space="preserve">and </w:t>
      </w:r>
      <w:r w:rsidR="000F550A" w:rsidRPr="002A6256">
        <w:rPr>
          <w:rFonts w:eastAsiaTheme="minorHAnsi"/>
        </w:rPr>
        <w:t xml:space="preserve">not </w:t>
      </w:r>
      <w:r w:rsidR="003E36FF">
        <w:rPr>
          <w:rFonts w:eastAsiaTheme="minorHAnsi"/>
        </w:rPr>
        <w:t>(as Mr H</w:t>
      </w:r>
      <w:r w:rsidR="002A23A3">
        <w:rPr>
          <w:rFonts w:eastAsiaTheme="minorHAnsi"/>
        </w:rPr>
        <w:t>e</w:t>
      </w:r>
      <w:r w:rsidR="003E36FF">
        <w:rPr>
          <w:rFonts w:eastAsiaTheme="minorHAnsi"/>
        </w:rPr>
        <w:t xml:space="preserve">rmer submits) by reference </w:t>
      </w:r>
      <w:r w:rsidR="000F550A" w:rsidRPr="002A6256">
        <w:rPr>
          <w:rFonts w:eastAsiaTheme="minorHAnsi"/>
        </w:rPr>
        <w:t xml:space="preserve">to an inchoate or generalised objective. </w:t>
      </w:r>
      <w:r w:rsidR="00A81E16" w:rsidRPr="002A6256">
        <w:rPr>
          <w:rFonts w:eastAsiaTheme="minorHAnsi"/>
        </w:rPr>
        <w:t>There is</w:t>
      </w:r>
      <w:r w:rsidR="00A81E16">
        <w:rPr>
          <w:rFonts w:eastAsiaTheme="minorHAnsi"/>
        </w:rPr>
        <w:t xml:space="preserve"> no scope </w:t>
      </w:r>
      <w:r>
        <w:rPr>
          <w:rFonts w:eastAsiaTheme="minorHAnsi"/>
        </w:rPr>
        <w:t xml:space="preserve">therefore </w:t>
      </w:r>
      <w:r w:rsidR="00A81E16">
        <w:rPr>
          <w:rFonts w:eastAsiaTheme="minorHAnsi"/>
        </w:rPr>
        <w:t xml:space="preserve">for arguing </w:t>
      </w:r>
      <w:r w:rsidR="00A81E16" w:rsidRPr="002A6256">
        <w:rPr>
          <w:rFonts w:eastAsiaTheme="minorHAnsi"/>
        </w:rPr>
        <w:t xml:space="preserve">that the processing is not necessary </w:t>
      </w:r>
      <w:r w:rsidR="00A81E16">
        <w:rPr>
          <w:rFonts w:eastAsiaTheme="minorHAnsi"/>
        </w:rPr>
        <w:t>(</w:t>
      </w:r>
      <w:r w:rsidR="00A81E16" w:rsidRPr="002A6256">
        <w:rPr>
          <w:rFonts w:eastAsiaTheme="minorHAnsi"/>
        </w:rPr>
        <w:t xml:space="preserve">or is disproportionate </w:t>
      </w:r>
      <w:r w:rsidR="00A81E16">
        <w:rPr>
          <w:rFonts w:eastAsiaTheme="minorHAnsi"/>
        </w:rPr>
        <w:t xml:space="preserve">for that matter) </w:t>
      </w:r>
      <w:r w:rsidR="00A81E16" w:rsidRPr="002A6256">
        <w:rPr>
          <w:rFonts w:eastAsiaTheme="minorHAnsi"/>
        </w:rPr>
        <w:t xml:space="preserve">because </w:t>
      </w:r>
      <w:r w:rsidR="00A81E16">
        <w:rPr>
          <w:rFonts w:eastAsiaTheme="minorHAnsi"/>
        </w:rPr>
        <w:t xml:space="preserve">the relevant objective is “prosecution” and Mr El Sheikh might be prosecuted here.  </w:t>
      </w:r>
    </w:p>
    <w:p w14:paraId="2B512402" w14:textId="6898526C" w:rsidR="00A878C8" w:rsidRDefault="0050472E" w:rsidP="006D28AA">
      <w:pPr>
        <w:pStyle w:val="ParaLevel1"/>
        <w:rPr>
          <w:rFonts w:eastAsiaTheme="minorHAnsi"/>
        </w:rPr>
      </w:pPr>
      <w:r>
        <w:rPr>
          <w:rFonts w:eastAsiaTheme="minorHAnsi"/>
        </w:rPr>
        <w:t>In short, t</w:t>
      </w:r>
      <w:r w:rsidR="00475E2D" w:rsidRPr="002A6256">
        <w:rPr>
          <w:rFonts w:eastAsiaTheme="minorHAnsi"/>
        </w:rPr>
        <w:t>he</w:t>
      </w:r>
      <w:r w:rsidR="00475E2D">
        <w:rPr>
          <w:rFonts w:eastAsiaTheme="minorHAnsi"/>
        </w:rPr>
        <w:t xml:space="preserve"> </w:t>
      </w:r>
      <w:r w:rsidR="00475E2D" w:rsidRPr="002A6256">
        <w:rPr>
          <w:rFonts w:eastAsiaTheme="minorHAnsi"/>
        </w:rPr>
        <w:t xml:space="preserve">structure </w:t>
      </w:r>
      <w:r w:rsidR="00475E2D">
        <w:rPr>
          <w:rFonts w:eastAsiaTheme="minorHAnsi"/>
        </w:rPr>
        <w:t xml:space="preserve">and the wording </w:t>
      </w:r>
      <w:r w:rsidR="00475E2D" w:rsidRPr="002A6256">
        <w:rPr>
          <w:rFonts w:eastAsiaTheme="minorHAnsi"/>
        </w:rPr>
        <w:t xml:space="preserve">of the </w:t>
      </w:r>
      <w:r w:rsidR="00475E2D">
        <w:rPr>
          <w:rFonts w:eastAsiaTheme="minorHAnsi"/>
        </w:rPr>
        <w:t xml:space="preserve">DPA </w:t>
      </w:r>
      <w:r w:rsidR="00475E2D" w:rsidRPr="002A6256">
        <w:rPr>
          <w:rFonts w:eastAsiaTheme="minorHAnsi"/>
        </w:rPr>
        <w:t xml:space="preserve">and the </w:t>
      </w:r>
      <w:r w:rsidR="00475E2D">
        <w:rPr>
          <w:rFonts w:eastAsiaTheme="minorHAnsi"/>
        </w:rPr>
        <w:t xml:space="preserve">LED </w:t>
      </w:r>
      <w:r w:rsidR="00475E2D" w:rsidRPr="002A6256">
        <w:rPr>
          <w:rFonts w:eastAsiaTheme="minorHAnsi"/>
        </w:rPr>
        <w:t xml:space="preserve">requires focus on specified and identified functions by those with responsibility for data processing.  Both the </w:t>
      </w:r>
      <w:r w:rsidR="00475E2D">
        <w:rPr>
          <w:rFonts w:eastAsiaTheme="minorHAnsi"/>
        </w:rPr>
        <w:t xml:space="preserve">DPA </w:t>
      </w:r>
      <w:r w:rsidR="00475E2D" w:rsidRPr="002A6256">
        <w:rPr>
          <w:rFonts w:eastAsiaTheme="minorHAnsi"/>
        </w:rPr>
        <w:t xml:space="preserve">and the </w:t>
      </w:r>
      <w:r w:rsidR="00475E2D">
        <w:rPr>
          <w:rFonts w:eastAsiaTheme="minorHAnsi"/>
        </w:rPr>
        <w:t xml:space="preserve">LED </w:t>
      </w:r>
      <w:r w:rsidR="00475E2D" w:rsidRPr="002A6256">
        <w:rPr>
          <w:rFonts w:eastAsiaTheme="minorHAnsi"/>
        </w:rPr>
        <w:t xml:space="preserve">test the validity of any processing by reference to the precise task for which the processing will be carried out.  Here </w:t>
      </w:r>
      <w:r w:rsidR="00475E2D">
        <w:rPr>
          <w:rFonts w:eastAsiaTheme="minorHAnsi"/>
        </w:rPr>
        <w:t xml:space="preserve">the task is </w:t>
      </w:r>
      <w:r w:rsidR="00475E2D" w:rsidRPr="002A6256">
        <w:rPr>
          <w:rFonts w:eastAsiaTheme="minorHAnsi"/>
        </w:rPr>
        <w:t>prosecution by the US authorities</w:t>
      </w:r>
      <w:r w:rsidR="00475E2D">
        <w:rPr>
          <w:rFonts w:eastAsiaTheme="minorHAnsi"/>
        </w:rPr>
        <w:t>; and</w:t>
      </w:r>
      <w:r w:rsidR="00475E2D" w:rsidRPr="002A6256">
        <w:rPr>
          <w:rFonts w:eastAsiaTheme="minorHAnsi"/>
        </w:rPr>
        <w:t xml:space="preserve"> for that </w:t>
      </w:r>
      <w:r w:rsidR="00475E2D">
        <w:rPr>
          <w:rFonts w:eastAsiaTheme="minorHAnsi"/>
        </w:rPr>
        <w:t xml:space="preserve">task, </w:t>
      </w:r>
      <w:r w:rsidR="00475E2D" w:rsidRPr="002A6256">
        <w:rPr>
          <w:rFonts w:eastAsiaTheme="minorHAnsi"/>
        </w:rPr>
        <w:t>disclosure of the re</w:t>
      </w:r>
      <w:r w:rsidR="00475E2D">
        <w:rPr>
          <w:rFonts w:eastAsiaTheme="minorHAnsi"/>
        </w:rPr>
        <w:t>quested</w:t>
      </w:r>
      <w:r w:rsidR="00475E2D" w:rsidRPr="002A6256">
        <w:rPr>
          <w:rFonts w:eastAsiaTheme="minorHAnsi"/>
        </w:rPr>
        <w:t xml:space="preserve"> material is strictly necessary and proportionate</w:t>
      </w:r>
      <w:r w:rsidR="00475E2D">
        <w:rPr>
          <w:rFonts w:eastAsiaTheme="minorHAnsi"/>
        </w:rPr>
        <w:t>.</w:t>
      </w:r>
      <w:r w:rsidR="00475E2D" w:rsidRPr="003E36FF">
        <w:rPr>
          <w:rFonts w:eastAsiaTheme="minorHAnsi"/>
        </w:rPr>
        <w:t xml:space="preserve"> </w:t>
      </w:r>
      <w:r w:rsidR="00475E2D">
        <w:rPr>
          <w:rFonts w:eastAsiaTheme="minorHAnsi"/>
        </w:rPr>
        <w:t>With regard to necessity, the evidence is that wi</w:t>
      </w:r>
      <w:r w:rsidR="00475E2D" w:rsidRPr="002A6256">
        <w:rPr>
          <w:rFonts w:eastAsiaTheme="minorHAnsi"/>
        </w:rPr>
        <w:t>th the data the U</w:t>
      </w:r>
      <w:r w:rsidR="00475E2D">
        <w:rPr>
          <w:rFonts w:eastAsiaTheme="minorHAnsi"/>
        </w:rPr>
        <w:t xml:space="preserve">nited </w:t>
      </w:r>
      <w:r w:rsidR="00475E2D" w:rsidRPr="002A6256">
        <w:rPr>
          <w:rFonts w:eastAsiaTheme="minorHAnsi"/>
        </w:rPr>
        <w:t>S</w:t>
      </w:r>
      <w:r w:rsidR="00475E2D">
        <w:rPr>
          <w:rFonts w:eastAsiaTheme="minorHAnsi"/>
        </w:rPr>
        <w:t>tates</w:t>
      </w:r>
      <w:r w:rsidR="00475E2D" w:rsidRPr="002A6256">
        <w:rPr>
          <w:rFonts w:eastAsiaTheme="minorHAnsi"/>
        </w:rPr>
        <w:t xml:space="preserve"> authorities </w:t>
      </w:r>
      <w:r w:rsidR="00475E2D" w:rsidRPr="00C24A6C">
        <w:rPr>
          <w:rFonts w:eastAsiaTheme="minorHAnsi"/>
          <w:u w:val="single"/>
        </w:rPr>
        <w:t>will</w:t>
      </w:r>
      <w:r w:rsidR="00475E2D" w:rsidRPr="002A6256">
        <w:rPr>
          <w:rFonts w:eastAsiaTheme="minorHAnsi"/>
        </w:rPr>
        <w:t xml:space="preserve"> prosecute; without it</w:t>
      </w:r>
      <w:r w:rsidR="00475E2D">
        <w:rPr>
          <w:rFonts w:eastAsiaTheme="minorHAnsi"/>
        </w:rPr>
        <w:t>,</w:t>
      </w:r>
      <w:r w:rsidR="00475E2D" w:rsidRPr="002A6256">
        <w:rPr>
          <w:rFonts w:eastAsiaTheme="minorHAnsi"/>
        </w:rPr>
        <w:t xml:space="preserve"> th</w:t>
      </w:r>
      <w:r w:rsidR="00475E2D">
        <w:rPr>
          <w:rFonts w:eastAsiaTheme="minorHAnsi"/>
        </w:rPr>
        <w:t>e United States authorities</w:t>
      </w:r>
      <w:r w:rsidR="00475E2D" w:rsidRPr="002A6256">
        <w:rPr>
          <w:rFonts w:eastAsiaTheme="minorHAnsi"/>
        </w:rPr>
        <w:t xml:space="preserve"> </w:t>
      </w:r>
      <w:r w:rsidR="00475E2D" w:rsidRPr="00C24A6C">
        <w:rPr>
          <w:rFonts w:eastAsiaTheme="minorHAnsi"/>
          <w:u w:val="single"/>
        </w:rPr>
        <w:t>cannot</w:t>
      </w:r>
      <w:r w:rsidR="00475E2D" w:rsidRPr="002A6256">
        <w:rPr>
          <w:rFonts w:eastAsiaTheme="minorHAnsi"/>
        </w:rPr>
        <w:t xml:space="preserve"> prosecute. </w:t>
      </w:r>
      <w:r w:rsidR="00475E2D">
        <w:rPr>
          <w:rFonts w:eastAsiaTheme="minorHAnsi"/>
        </w:rPr>
        <w:t xml:space="preserve">Since </w:t>
      </w:r>
      <w:r w:rsidR="00475E2D" w:rsidRPr="002A6256">
        <w:rPr>
          <w:rFonts w:eastAsiaTheme="minorHAnsi"/>
        </w:rPr>
        <w:t>the objective of facilitating a prosecution in the requesting state can only be achieved by</w:t>
      </w:r>
      <w:r w:rsidR="00475E2D">
        <w:rPr>
          <w:rFonts w:eastAsiaTheme="minorHAnsi"/>
        </w:rPr>
        <w:t xml:space="preserve"> </w:t>
      </w:r>
      <w:r w:rsidR="00475E2D" w:rsidRPr="002A6256">
        <w:rPr>
          <w:rFonts w:eastAsiaTheme="minorHAnsi"/>
        </w:rPr>
        <w:t>disclosure of the material</w:t>
      </w:r>
      <w:r w:rsidR="00475E2D">
        <w:rPr>
          <w:rFonts w:eastAsiaTheme="minorHAnsi"/>
        </w:rPr>
        <w:t>, disclosure</w:t>
      </w:r>
      <w:r w:rsidR="00475E2D" w:rsidRPr="002A6256">
        <w:rPr>
          <w:rFonts w:eastAsiaTheme="minorHAnsi"/>
        </w:rPr>
        <w:t xml:space="preserve"> is also proportionate</w:t>
      </w:r>
      <w:r w:rsidR="00475E2D">
        <w:rPr>
          <w:rFonts w:eastAsiaTheme="minorHAnsi"/>
        </w:rPr>
        <w:t>.</w:t>
      </w:r>
    </w:p>
    <w:p w14:paraId="6C1760BC" w14:textId="5450319C" w:rsidR="00A878C8" w:rsidRDefault="00A878C8" w:rsidP="006D28AA">
      <w:pPr>
        <w:numPr>
          <w:ilvl w:val="0"/>
          <w:numId w:val="1"/>
        </w:numPr>
        <w:suppressAutoHyphens/>
        <w:spacing w:before="240" w:after="240"/>
        <w:jc w:val="both"/>
        <w:outlineLvl w:val="0"/>
        <w:rPr>
          <w:lang w:eastAsia="en-GB"/>
        </w:rPr>
      </w:pPr>
      <w:r>
        <w:rPr>
          <w:lang w:eastAsia="en-GB"/>
        </w:rPr>
        <w:t>We consider the reliance placed on Lord Car</w:t>
      </w:r>
      <w:r w:rsidR="00A20925">
        <w:rPr>
          <w:lang w:eastAsia="en-GB"/>
        </w:rPr>
        <w:t>n</w:t>
      </w:r>
      <w:r>
        <w:rPr>
          <w:lang w:eastAsia="en-GB"/>
        </w:rPr>
        <w:t xml:space="preserve">wath’s observations set out at para </w:t>
      </w:r>
      <w:r w:rsidR="006D77F8">
        <w:rPr>
          <w:lang w:eastAsia="en-GB"/>
        </w:rPr>
        <w:t>42</w:t>
      </w:r>
      <w:r>
        <w:rPr>
          <w:lang w:eastAsia="en-GB"/>
        </w:rPr>
        <w:t xml:space="preserve"> above, to be misplaced (whether for the purposes of the argument under the DPA or on rationality, and there was some suggestion it was material to both). </w:t>
      </w:r>
    </w:p>
    <w:p w14:paraId="54420E8E" w14:textId="73212C1B" w:rsidR="00A878C8" w:rsidRPr="002A6256" w:rsidRDefault="00A20925" w:rsidP="006D28AA">
      <w:pPr>
        <w:pStyle w:val="ParaLevel1"/>
        <w:rPr>
          <w:rFonts w:eastAsiaTheme="minorHAnsi"/>
          <w:i/>
          <w:iCs/>
          <w:szCs w:val="24"/>
        </w:rPr>
      </w:pPr>
      <w:r>
        <w:rPr>
          <w:rFonts w:eastAsiaTheme="minorHAnsi"/>
          <w:szCs w:val="24"/>
        </w:rPr>
        <w:t xml:space="preserve">It is to be noted that </w:t>
      </w:r>
      <w:r w:rsidR="00BB26E5">
        <w:rPr>
          <w:rFonts w:eastAsiaTheme="minorHAnsi"/>
          <w:szCs w:val="24"/>
        </w:rPr>
        <w:t xml:space="preserve">the </w:t>
      </w:r>
      <w:r>
        <w:rPr>
          <w:rFonts w:eastAsiaTheme="minorHAnsi"/>
          <w:szCs w:val="24"/>
        </w:rPr>
        <w:t xml:space="preserve">UKCA Submission </w:t>
      </w:r>
      <w:r w:rsidR="00A878C8" w:rsidRPr="002A6256">
        <w:rPr>
          <w:rFonts w:eastAsiaTheme="minorHAnsi"/>
          <w:szCs w:val="24"/>
        </w:rPr>
        <w:t>refer</w:t>
      </w:r>
      <w:r w:rsidR="00A878C8">
        <w:rPr>
          <w:rFonts w:eastAsiaTheme="minorHAnsi"/>
          <w:szCs w:val="24"/>
        </w:rPr>
        <w:t>red expressly</w:t>
      </w:r>
      <w:r w:rsidR="00A878C8" w:rsidRPr="002A6256">
        <w:rPr>
          <w:rFonts w:eastAsiaTheme="minorHAnsi"/>
          <w:szCs w:val="24"/>
        </w:rPr>
        <w:t xml:space="preserve"> to </w:t>
      </w:r>
      <w:r w:rsidR="00A878C8">
        <w:rPr>
          <w:rFonts w:eastAsiaTheme="minorHAnsi"/>
        </w:rPr>
        <w:t>this part of</w:t>
      </w:r>
      <w:r w:rsidR="00A878C8" w:rsidRPr="002A6256">
        <w:rPr>
          <w:rFonts w:eastAsiaTheme="minorHAnsi"/>
          <w:szCs w:val="24"/>
        </w:rPr>
        <w:t xml:space="preserve"> Lord Carnwath’s judgment</w:t>
      </w:r>
      <w:r w:rsidR="00BF16EB">
        <w:rPr>
          <w:rFonts w:eastAsiaTheme="minorHAnsi"/>
          <w:szCs w:val="24"/>
        </w:rPr>
        <w:t xml:space="preserve"> (thus, on the issue of rationality, </w:t>
      </w:r>
      <w:r w:rsidR="00BF16EB" w:rsidRPr="002A6256">
        <w:rPr>
          <w:rFonts w:eastAsiaTheme="minorHAnsi"/>
          <w:szCs w:val="24"/>
        </w:rPr>
        <w:t>even if the ability to prosecute in the UK was a relevant factor, it was expressly considered</w:t>
      </w:r>
      <w:r w:rsidR="00BF16EB">
        <w:rPr>
          <w:rFonts w:eastAsiaTheme="minorHAnsi"/>
          <w:szCs w:val="24"/>
        </w:rPr>
        <w:t>)</w:t>
      </w:r>
      <w:r w:rsidR="00A878C8" w:rsidRPr="002A6256">
        <w:rPr>
          <w:rFonts w:eastAsiaTheme="minorHAnsi"/>
          <w:szCs w:val="24"/>
        </w:rPr>
        <w:t xml:space="preserve">.  </w:t>
      </w:r>
      <w:r>
        <w:rPr>
          <w:rFonts w:eastAsiaTheme="minorHAnsi"/>
          <w:szCs w:val="24"/>
        </w:rPr>
        <w:t>T</w:t>
      </w:r>
      <w:r w:rsidR="00A878C8" w:rsidRPr="002A6256">
        <w:rPr>
          <w:rFonts w:eastAsiaTheme="minorHAnsi"/>
          <w:szCs w:val="24"/>
        </w:rPr>
        <w:t xml:space="preserve">he annex dealing with the DPA </w:t>
      </w:r>
      <w:r w:rsidR="00A878C8">
        <w:rPr>
          <w:rFonts w:eastAsiaTheme="minorHAnsi"/>
          <w:szCs w:val="24"/>
        </w:rPr>
        <w:t>said</w:t>
      </w:r>
      <w:r w:rsidR="00A878C8" w:rsidRPr="002A6256">
        <w:rPr>
          <w:rFonts w:eastAsiaTheme="minorHAnsi"/>
          <w:szCs w:val="24"/>
        </w:rPr>
        <w:t>:</w:t>
      </w:r>
    </w:p>
    <w:p w14:paraId="6879214A" w14:textId="43563CE5" w:rsidR="00A878C8" w:rsidRPr="002A6256" w:rsidRDefault="00A878C8" w:rsidP="002D1644">
      <w:pPr>
        <w:spacing w:after="160"/>
        <w:ind w:left="1440" w:right="1374"/>
        <w:jc w:val="both"/>
        <w:rPr>
          <w:rFonts w:eastAsiaTheme="minorHAnsi"/>
        </w:rPr>
      </w:pPr>
      <w:r>
        <w:rPr>
          <w:rFonts w:eastAsiaTheme="minorHAnsi"/>
        </w:rPr>
        <w:t>“</w:t>
      </w:r>
      <w:r w:rsidRPr="002A6256">
        <w:rPr>
          <w:rFonts w:eastAsiaTheme="minorHAnsi"/>
        </w:rPr>
        <w:t xml:space="preserve">In the context of assessing necessity and proportionality, you should be aware that Lord Carnwath held that the ability to prosecute in the UK is relevant to the necessity of transfer when there are no death penalty assurances in place. We do not consider </w:t>
      </w:r>
      <w:r w:rsidRPr="002A6256">
        <w:rPr>
          <w:rFonts w:eastAsiaTheme="minorHAnsi"/>
        </w:rPr>
        <w:lastRenderedPageBreak/>
        <w:t>that the same applies where there are such assurances. However, even if it is relevant to consider the possibility of domestic prosecution now that we have assurances, there is no general preference for a domestic prosecution inherent either generally or in our data protection obligations. So even if it were possible to say now that El Sheikh could be prosecuted in the UK, as Kotey himself could be, it would be still be possible, consistently with a necessity and proportionality test, to transfer the evidence. In this regard, you will want to take into account all the considerations set out in the main submission and in this Annex, including the UK’s obligations under the US/UK MLA Treaty. As already noted in the submission, there is particular urgency to transfer the evidence in this case given the 15 October deadline that the US have set.</w:t>
      </w:r>
      <w:r>
        <w:rPr>
          <w:rFonts w:eastAsiaTheme="minorHAnsi"/>
        </w:rPr>
        <w:t>”</w:t>
      </w:r>
    </w:p>
    <w:p w14:paraId="4E683DAC" w14:textId="6972C5F5" w:rsidR="003E36FF" w:rsidRPr="00261FB4" w:rsidRDefault="00BB26E5" w:rsidP="006D28AA">
      <w:pPr>
        <w:pStyle w:val="ParaLevel1"/>
        <w:rPr>
          <w:rFonts w:eastAsiaTheme="minorHAnsi"/>
          <w:i/>
          <w:iCs/>
          <w:szCs w:val="24"/>
        </w:rPr>
      </w:pPr>
      <w:r>
        <w:rPr>
          <w:rFonts w:eastAsiaTheme="minorHAnsi"/>
          <w:szCs w:val="24"/>
        </w:rPr>
        <w:t>T</w:t>
      </w:r>
      <w:r w:rsidR="00A878C8" w:rsidRPr="002A6256">
        <w:rPr>
          <w:rFonts w:eastAsiaTheme="minorHAnsi"/>
          <w:szCs w:val="24"/>
        </w:rPr>
        <w:t xml:space="preserve">he possibility of the US providing a death penalty assurance was not canvassed in the previous proceedings </w:t>
      </w:r>
      <w:r w:rsidR="00A20925">
        <w:rPr>
          <w:rFonts w:eastAsiaTheme="minorHAnsi"/>
          <w:szCs w:val="24"/>
        </w:rPr>
        <w:t xml:space="preserve">for judicial review </w:t>
      </w:r>
      <w:r w:rsidR="00A878C8">
        <w:rPr>
          <w:rFonts w:eastAsiaTheme="minorHAnsi"/>
          <w:szCs w:val="24"/>
        </w:rPr>
        <w:t xml:space="preserve">either </w:t>
      </w:r>
      <w:r w:rsidR="00A878C8" w:rsidRPr="002A6256">
        <w:rPr>
          <w:rFonts w:eastAsiaTheme="minorHAnsi"/>
          <w:szCs w:val="24"/>
        </w:rPr>
        <w:t xml:space="preserve">before this court or the Supreme Court; that possibility appeared to have been entirely ruled out by the US authorities.  </w:t>
      </w:r>
      <w:r w:rsidR="00A878C8">
        <w:rPr>
          <w:rFonts w:eastAsiaTheme="minorHAnsi"/>
          <w:szCs w:val="24"/>
        </w:rPr>
        <w:t>As Sir James observe</w:t>
      </w:r>
      <w:r w:rsidR="00BF16EB">
        <w:rPr>
          <w:rFonts w:eastAsiaTheme="minorHAnsi"/>
          <w:szCs w:val="24"/>
        </w:rPr>
        <w:t>d</w:t>
      </w:r>
      <w:r w:rsidR="00A878C8">
        <w:rPr>
          <w:rFonts w:eastAsiaTheme="minorHAnsi"/>
          <w:szCs w:val="24"/>
        </w:rPr>
        <w:t xml:space="preserve">, </w:t>
      </w:r>
      <w:r w:rsidR="00A878C8" w:rsidRPr="002A6256">
        <w:rPr>
          <w:rFonts w:eastAsiaTheme="minorHAnsi"/>
          <w:szCs w:val="24"/>
        </w:rPr>
        <w:t xml:space="preserve">Lord Carnwath </w:t>
      </w:r>
      <w:r w:rsidR="00A20925">
        <w:rPr>
          <w:rFonts w:eastAsiaTheme="minorHAnsi"/>
          <w:szCs w:val="24"/>
        </w:rPr>
        <w:t xml:space="preserve">made his </w:t>
      </w:r>
      <w:r w:rsidR="00A878C8" w:rsidRPr="002A6256">
        <w:rPr>
          <w:rFonts w:eastAsiaTheme="minorHAnsi"/>
          <w:szCs w:val="24"/>
        </w:rPr>
        <w:t>observations in the context of a case where the death penalty was a real risk if the UK data made possible a US trial.  No argument was addressed to the Supreme Court on the position if a death penalty assurance was provided, and the Supreme Court’s judgment does not determine that issue.</w:t>
      </w:r>
      <w:r w:rsidR="00BF16EB" w:rsidRPr="00261FB4">
        <w:rPr>
          <w:rFonts w:eastAsiaTheme="minorHAnsi"/>
          <w:i/>
          <w:iCs/>
          <w:szCs w:val="24"/>
        </w:rPr>
        <w:t xml:space="preserve"> </w:t>
      </w:r>
      <w:r w:rsidR="00A878C8" w:rsidRPr="00261FB4">
        <w:rPr>
          <w:rFonts w:eastAsiaTheme="minorHAnsi"/>
          <w:szCs w:val="24"/>
        </w:rPr>
        <w:t>The conclusion that, even if Mr El Sheikh could be prosecuted in England, it would still be necessary and proportionate to transfer the data to the US authorities remained a conclusion properly open to the Secretary of State.</w:t>
      </w:r>
    </w:p>
    <w:p w14:paraId="48EDAE11" w14:textId="6D7FE208" w:rsidR="00896936" w:rsidRPr="00261FB4" w:rsidRDefault="00896936" w:rsidP="006D28AA">
      <w:pPr>
        <w:pStyle w:val="ParaLevel1"/>
        <w:numPr>
          <w:ilvl w:val="0"/>
          <w:numId w:val="0"/>
        </w:numPr>
        <w:rPr>
          <w:rFonts w:eastAsiaTheme="minorHAnsi"/>
          <w:i/>
          <w:iCs/>
          <w:szCs w:val="24"/>
        </w:rPr>
      </w:pPr>
      <w:r>
        <w:rPr>
          <w:i/>
          <w:iCs/>
          <w:szCs w:val="24"/>
        </w:rPr>
        <w:t>Discussion: Rationality</w:t>
      </w:r>
    </w:p>
    <w:p w14:paraId="4BA5C507" w14:textId="5C7BA3AE" w:rsidR="003123E6" w:rsidRDefault="008F6632" w:rsidP="006D28AA">
      <w:pPr>
        <w:pStyle w:val="ParaLevel1"/>
        <w:rPr>
          <w:rFonts w:eastAsiaTheme="minorHAnsi"/>
        </w:rPr>
      </w:pPr>
      <w:r>
        <w:rPr>
          <w:rFonts w:eastAsiaTheme="minorHAnsi"/>
        </w:rPr>
        <w:t xml:space="preserve">So far as rationality is concerned, </w:t>
      </w:r>
      <w:r w:rsidR="00705C9D">
        <w:rPr>
          <w:rFonts w:eastAsiaTheme="minorHAnsi"/>
        </w:rPr>
        <w:t xml:space="preserve"> </w:t>
      </w:r>
      <w:r w:rsidR="00C12663">
        <w:rPr>
          <w:rFonts w:eastAsiaTheme="minorHAnsi"/>
        </w:rPr>
        <w:t xml:space="preserve">as we have said, </w:t>
      </w:r>
      <w:r w:rsidR="00705C9D">
        <w:rPr>
          <w:rFonts w:eastAsiaTheme="minorHAnsi"/>
        </w:rPr>
        <w:t xml:space="preserve">this </w:t>
      </w:r>
      <w:r w:rsidR="00B45BF0">
        <w:rPr>
          <w:rFonts w:eastAsiaTheme="minorHAnsi"/>
        </w:rPr>
        <w:t xml:space="preserve">ground </w:t>
      </w:r>
      <w:r w:rsidR="00705C9D">
        <w:rPr>
          <w:rFonts w:eastAsiaTheme="minorHAnsi"/>
        </w:rPr>
        <w:t xml:space="preserve">was shortly taken by Mr Hermer – in our view, rightly so.  </w:t>
      </w:r>
      <w:r w:rsidR="003123E6">
        <w:rPr>
          <w:rFonts w:eastAsiaTheme="minorHAnsi"/>
        </w:rPr>
        <w:t>On the face of the decision, as the defendant submits, all the relevant issues, including the obligations under the DPA, were carefully and conscientiously considered; the</w:t>
      </w:r>
      <w:r w:rsidR="00C12663">
        <w:rPr>
          <w:rFonts w:eastAsiaTheme="minorHAnsi"/>
        </w:rPr>
        <w:t>re were good reasons</w:t>
      </w:r>
      <w:r w:rsidR="003123E6">
        <w:rPr>
          <w:rFonts w:eastAsiaTheme="minorHAnsi"/>
        </w:rPr>
        <w:t xml:space="preserve"> to accede </w:t>
      </w:r>
      <w:r w:rsidR="00C12663">
        <w:rPr>
          <w:rFonts w:eastAsiaTheme="minorHAnsi"/>
        </w:rPr>
        <w:t xml:space="preserve">to the request for </w:t>
      </w:r>
      <w:r w:rsidR="003123E6">
        <w:rPr>
          <w:rFonts w:eastAsiaTheme="minorHAnsi"/>
        </w:rPr>
        <w:t>MLA</w:t>
      </w:r>
      <w:r w:rsidR="00C12663">
        <w:rPr>
          <w:rFonts w:eastAsiaTheme="minorHAnsi"/>
        </w:rPr>
        <w:t>, which arose out of an ongoing US investigation into the most shocking of criminal offences, including the murder by beheading of US citizens</w:t>
      </w:r>
      <w:r w:rsidR="007E1B9F">
        <w:rPr>
          <w:rFonts w:eastAsiaTheme="minorHAnsi"/>
        </w:rPr>
        <w:t>,</w:t>
      </w:r>
      <w:r w:rsidR="003123E6">
        <w:rPr>
          <w:rFonts w:eastAsiaTheme="minorHAnsi"/>
        </w:rPr>
        <w:t xml:space="preserve"> </w:t>
      </w:r>
      <w:r w:rsidR="00C12663">
        <w:rPr>
          <w:rFonts w:eastAsiaTheme="minorHAnsi"/>
        </w:rPr>
        <w:t>and the nature of the material sought and the purpose to which it would be put by the US fell plainly within the scope of the UK-US MLA Treaty.</w:t>
      </w:r>
    </w:p>
    <w:p w14:paraId="54942382" w14:textId="7D9E8BB7" w:rsidR="005D4B13" w:rsidRPr="007077A1" w:rsidRDefault="005D4B13" w:rsidP="006D28AA">
      <w:pPr>
        <w:pStyle w:val="ParaLevel1"/>
        <w:rPr>
          <w:rFonts w:eastAsiaTheme="minorHAnsi"/>
          <w:szCs w:val="24"/>
        </w:rPr>
      </w:pPr>
      <w:r>
        <w:rPr>
          <w:rFonts w:eastAsiaTheme="minorHAnsi"/>
          <w:szCs w:val="24"/>
        </w:rPr>
        <w:t xml:space="preserve">The </w:t>
      </w:r>
      <w:r w:rsidRPr="007077A1">
        <w:rPr>
          <w:rFonts w:eastAsiaTheme="minorHAnsi"/>
          <w:szCs w:val="24"/>
        </w:rPr>
        <w:t xml:space="preserve">requirements of the DPA and the MLA were addressed separately </w:t>
      </w:r>
      <w:r>
        <w:rPr>
          <w:rFonts w:eastAsiaTheme="minorHAnsi"/>
          <w:szCs w:val="24"/>
        </w:rPr>
        <w:t xml:space="preserve">in the UKCA Submission, </w:t>
      </w:r>
      <w:r w:rsidRPr="007077A1">
        <w:rPr>
          <w:rFonts w:eastAsiaTheme="minorHAnsi"/>
          <w:szCs w:val="24"/>
        </w:rPr>
        <w:t>and the Secretary of State was invited to consider</w:t>
      </w:r>
      <w:r>
        <w:rPr>
          <w:rFonts w:eastAsiaTheme="minorHAnsi"/>
          <w:szCs w:val="24"/>
        </w:rPr>
        <w:t xml:space="preserve"> and apply the correct discrete legal considerations to each</w:t>
      </w:r>
      <w:r w:rsidRPr="007077A1">
        <w:rPr>
          <w:rFonts w:eastAsiaTheme="minorHAnsi"/>
          <w:szCs w:val="24"/>
        </w:rPr>
        <w:t xml:space="preserve">.  </w:t>
      </w:r>
      <w:r>
        <w:rPr>
          <w:rFonts w:eastAsiaTheme="minorHAnsi"/>
          <w:szCs w:val="24"/>
        </w:rPr>
        <w:t>In particular, t</w:t>
      </w:r>
      <w:r w:rsidRPr="007077A1">
        <w:rPr>
          <w:rFonts w:eastAsiaTheme="minorHAnsi"/>
          <w:szCs w:val="24"/>
        </w:rPr>
        <w:t>he submission on the DPA was contained in a separate annex</w:t>
      </w:r>
      <w:r w:rsidR="00F45B8B">
        <w:rPr>
          <w:rFonts w:eastAsiaTheme="minorHAnsi"/>
          <w:szCs w:val="24"/>
        </w:rPr>
        <w:t xml:space="preserve"> which addressed the requirements of (strict) necessity and proportionality;</w:t>
      </w:r>
      <w:r w:rsidRPr="007077A1">
        <w:rPr>
          <w:rFonts w:eastAsiaTheme="minorHAnsi"/>
          <w:szCs w:val="24"/>
        </w:rPr>
        <w:t xml:space="preserve"> </w:t>
      </w:r>
      <w:r>
        <w:rPr>
          <w:rFonts w:eastAsiaTheme="minorHAnsi"/>
          <w:szCs w:val="24"/>
        </w:rPr>
        <w:t xml:space="preserve">whereas the </w:t>
      </w:r>
      <w:r w:rsidRPr="007077A1">
        <w:rPr>
          <w:rFonts w:eastAsiaTheme="minorHAnsi"/>
          <w:szCs w:val="24"/>
        </w:rPr>
        <w:t xml:space="preserve">reference to MLA refusals being rare and exceptional related to the application of the MLA </w:t>
      </w:r>
      <w:r>
        <w:rPr>
          <w:rFonts w:eastAsiaTheme="minorHAnsi"/>
          <w:szCs w:val="24"/>
        </w:rPr>
        <w:t>T</w:t>
      </w:r>
      <w:r w:rsidRPr="007077A1">
        <w:rPr>
          <w:rFonts w:eastAsiaTheme="minorHAnsi"/>
          <w:szCs w:val="24"/>
        </w:rPr>
        <w:t xml:space="preserve">reaty when </w:t>
      </w:r>
      <w:r>
        <w:rPr>
          <w:rFonts w:eastAsiaTheme="minorHAnsi"/>
          <w:szCs w:val="24"/>
        </w:rPr>
        <w:t xml:space="preserve"> looked on its own</w:t>
      </w:r>
      <w:r w:rsidRPr="007077A1">
        <w:rPr>
          <w:rFonts w:eastAsiaTheme="minorHAnsi"/>
          <w:szCs w:val="24"/>
        </w:rPr>
        <w:t xml:space="preserve">. </w:t>
      </w:r>
      <w:r>
        <w:rPr>
          <w:rFonts w:eastAsiaTheme="minorHAnsi"/>
          <w:szCs w:val="24"/>
        </w:rPr>
        <w:t xml:space="preserve">Mr Hermer is right to say that rarity and exceptionality is not the right test under the DPA. However, in considering what was required by the DPA,  this was plainly not the test that the Secretary of State applied.  </w:t>
      </w:r>
    </w:p>
    <w:p w14:paraId="73A81A89" w14:textId="636F8FE5" w:rsidR="007E1B9F" w:rsidRPr="00261FB4" w:rsidRDefault="00705C9D" w:rsidP="006D28AA">
      <w:pPr>
        <w:pStyle w:val="ParaLevel1"/>
        <w:rPr>
          <w:rFonts w:eastAsiaTheme="minorHAnsi"/>
        </w:rPr>
      </w:pPr>
      <w:r>
        <w:rPr>
          <w:rFonts w:eastAsiaTheme="minorHAnsi"/>
        </w:rPr>
        <w:t xml:space="preserve">In our view there is no </w:t>
      </w:r>
      <w:r w:rsidR="00691FCC">
        <w:rPr>
          <w:rFonts w:eastAsiaTheme="minorHAnsi"/>
        </w:rPr>
        <w:t xml:space="preserve">principled </w:t>
      </w:r>
      <w:r>
        <w:rPr>
          <w:rFonts w:eastAsiaTheme="minorHAnsi"/>
        </w:rPr>
        <w:t xml:space="preserve">basis </w:t>
      </w:r>
      <w:r w:rsidR="00691FCC">
        <w:rPr>
          <w:rFonts w:eastAsiaTheme="minorHAnsi"/>
        </w:rPr>
        <w:t>and no</w:t>
      </w:r>
      <w:r w:rsidR="00173E75">
        <w:rPr>
          <w:rFonts w:eastAsiaTheme="minorHAnsi"/>
        </w:rPr>
        <w:t xml:space="preserve"> authority </w:t>
      </w:r>
      <w:r>
        <w:rPr>
          <w:rFonts w:eastAsiaTheme="minorHAnsi"/>
        </w:rPr>
        <w:t>for the su</w:t>
      </w:r>
      <w:r w:rsidR="003123E6">
        <w:rPr>
          <w:rFonts w:eastAsiaTheme="minorHAnsi"/>
        </w:rPr>
        <w:t xml:space="preserve">bmission </w:t>
      </w:r>
      <w:r>
        <w:rPr>
          <w:rFonts w:eastAsiaTheme="minorHAnsi"/>
        </w:rPr>
        <w:t xml:space="preserve">that </w:t>
      </w:r>
      <w:r w:rsidR="003123E6">
        <w:rPr>
          <w:rFonts w:eastAsiaTheme="minorHAnsi"/>
        </w:rPr>
        <w:t xml:space="preserve">it </w:t>
      </w:r>
      <w:r w:rsidR="007E1B9F">
        <w:rPr>
          <w:rFonts w:eastAsiaTheme="minorHAnsi"/>
        </w:rPr>
        <w:t xml:space="preserve">is </w:t>
      </w:r>
      <w:r w:rsidR="003123E6">
        <w:rPr>
          <w:rFonts w:eastAsiaTheme="minorHAnsi"/>
        </w:rPr>
        <w:t xml:space="preserve">irrational for the Secretary of State to provide mutual legal assistance to US authorities </w:t>
      </w:r>
      <w:r>
        <w:rPr>
          <w:rFonts w:eastAsiaTheme="minorHAnsi"/>
        </w:rPr>
        <w:t>because Mr El Sheikh may be prosecuted here</w:t>
      </w:r>
      <w:r w:rsidR="003123E6">
        <w:rPr>
          <w:rFonts w:eastAsiaTheme="minorHAnsi"/>
        </w:rPr>
        <w:t>.</w:t>
      </w:r>
      <w:r>
        <w:rPr>
          <w:rFonts w:eastAsiaTheme="minorHAnsi"/>
        </w:rPr>
        <w:t xml:space="preserve"> </w:t>
      </w:r>
      <w:r w:rsidR="00173E75">
        <w:rPr>
          <w:rFonts w:eastAsiaTheme="minorHAnsi"/>
          <w:szCs w:val="24"/>
        </w:rPr>
        <w:t xml:space="preserve">As the defendant puts it, the particular proposition that the Secretary of State was under an obligation not to accede to the MLA </w:t>
      </w:r>
      <w:r w:rsidR="00173E75">
        <w:rPr>
          <w:rFonts w:eastAsiaTheme="minorHAnsi"/>
          <w:szCs w:val="24"/>
        </w:rPr>
        <w:lastRenderedPageBreak/>
        <w:t>request unless and until a decision on prosecution was made here, or because a prosecution might take place here</w:t>
      </w:r>
      <w:r w:rsidR="001939D3">
        <w:rPr>
          <w:rFonts w:eastAsiaTheme="minorHAnsi"/>
          <w:szCs w:val="24"/>
        </w:rPr>
        <w:t>,</w:t>
      </w:r>
      <w:r w:rsidR="00173E75">
        <w:rPr>
          <w:rFonts w:eastAsiaTheme="minorHAnsi"/>
          <w:szCs w:val="24"/>
        </w:rPr>
        <w:t xml:space="preserve"> is simply wrong. It equates to an argument that no MLA request </w:t>
      </w:r>
      <w:r w:rsidR="00691FCC">
        <w:rPr>
          <w:rFonts w:eastAsiaTheme="minorHAnsi"/>
          <w:szCs w:val="24"/>
        </w:rPr>
        <w:t xml:space="preserve">should be acceded to where the person that is the subject of the criminal investigation may be liable to prosecution in the requested state, unless and until that prosecution is first dealt with. There is no warrant under the UK-US MLA Treaty for such an approach, and the basis of mutual legal assistance would be fundamentally undermined were such an approach to be adopted. </w:t>
      </w:r>
    </w:p>
    <w:p w14:paraId="16447E71" w14:textId="5E6B0664" w:rsidR="00F71C48" w:rsidRPr="00BE6F01" w:rsidRDefault="00E61691" w:rsidP="006D28AA">
      <w:pPr>
        <w:pStyle w:val="ParaLevel1"/>
        <w:rPr>
          <w:rFonts w:eastAsiaTheme="minorHAnsi"/>
          <w:szCs w:val="24"/>
        </w:rPr>
      </w:pPr>
      <w:r>
        <w:rPr>
          <w:rFonts w:eastAsiaTheme="minorHAnsi"/>
        </w:rPr>
        <w:t xml:space="preserve">Nor is there any foundation for the suggestion that the prospect of prosecution here was a matter which the Secretary of State failed properly to consider. </w:t>
      </w:r>
      <w:r w:rsidR="004F231B">
        <w:rPr>
          <w:rFonts w:eastAsiaTheme="minorHAnsi"/>
        </w:rPr>
        <w:t xml:space="preserve">The </w:t>
      </w:r>
      <w:r w:rsidR="00C746F6" w:rsidRPr="00BE6F01">
        <w:rPr>
          <w:rFonts w:eastAsiaTheme="minorHAnsi"/>
          <w:szCs w:val="24"/>
        </w:rPr>
        <w:t xml:space="preserve">UKCA </w:t>
      </w:r>
      <w:r w:rsidR="00A20925">
        <w:rPr>
          <w:rFonts w:eastAsiaTheme="minorHAnsi"/>
          <w:szCs w:val="24"/>
        </w:rPr>
        <w:t>S</w:t>
      </w:r>
      <w:r w:rsidR="00C746F6" w:rsidRPr="00BE6F01">
        <w:rPr>
          <w:rFonts w:eastAsiaTheme="minorHAnsi"/>
          <w:szCs w:val="24"/>
        </w:rPr>
        <w:t xml:space="preserve">ubmission </w:t>
      </w:r>
      <w:r w:rsidR="00F71C48" w:rsidRPr="00BE6F01">
        <w:rPr>
          <w:rFonts w:eastAsiaTheme="minorHAnsi"/>
          <w:szCs w:val="24"/>
        </w:rPr>
        <w:t xml:space="preserve">fairly and properly addressed </w:t>
      </w:r>
      <w:r w:rsidR="007249AE">
        <w:rPr>
          <w:rFonts w:eastAsiaTheme="minorHAnsi"/>
          <w:szCs w:val="24"/>
        </w:rPr>
        <w:t xml:space="preserve">both </w:t>
      </w:r>
      <w:r w:rsidR="00F71C48" w:rsidRPr="00BE6F01">
        <w:rPr>
          <w:rFonts w:eastAsiaTheme="minorHAnsi"/>
          <w:szCs w:val="24"/>
        </w:rPr>
        <w:t xml:space="preserve">the possibility and </w:t>
      </w:r>
      <w:r w:rsidR="00BE6F01">
        <w:rPr>
          <w:rFonts w:eastAsiaTheme="minorHAnsi"/>
          <w:szCs w:val="24"/>
        </w:rPr>
        <w:t xml:space="preserve">potential </w:t>
      </w:r>
      <w:r w:rsidR="00F71C48" w:rsidRPr="00BE6F01">
        <w:rPr>
          <w:rFonts w:eastAsiaTheme="minorHAnsi"/>
          <w:szCs w:val="24"/>
        </w:rPr>
        <w:t>relevance of a prosecution in England.</w:t>
      </w:r>
    </w:p>
    <w:p w14:paraId="596AC69B" w14:textId="57993319" w:rsidR="00C746F6" w:rsidRDefault="004F231B" w:rsidP="006D28AA">
      <w:pPr>
        <w:pStyle w:val="ParaLevel1"/>
        <w:rPr>
          <w:rFonts w:eastAsiaTheme="minorHAnsi"/>
          <w:szCs w:val="24"/>
        </w:rPr>
      </w:pPr>
      <w:r>
        <w:rPr>
          <w:rFonts w:eastAsiaTheme="minorHAnsi"/>
          <w:szCs w:val="24"/>
        </w:rPr>
        <w:t>In particular,</w:t>
      </w:r>
      <w:r w:rsidR="00F45B8B">
        <w:rPr>
          <w:rFonts w:eastAsiaTheme="minorHAnsi"/>
          <w:szCs w:val="24"/>
        </w:rPr>
        <w:t xml:space="preserve"> </w:t>
      </w:r>
      <w:r>
        <w:rPr>
          <w:rFonts w:eastAsiaTheme="minorHAnsi"/>
          <w:szCs w:val="24"/>
        </w:rPr>
        <w:t>i</w:t>
      </w:r>
      <w:r w:rsidR="00C746F6">
        <w:rPr>
          <w:rFonts w:eastAsiaTheme="minorHAnsi"/>
          <w:szCs w:val="24"/>
        </w:rPr>
        <w:t xml:space="preserve">t </w:t>
      </w:r>
      <w:r w:rsidR="00F71C48">
        <w:rPr>
          <w:rFonts w:eastAsiaTheme="minorHAnsi"/>
          <w:szCs w:val="24"/>
        </w:rPr>
        <w:t>said</w:t>
      </w:r>
      <w:r w:rsidR="00C746F6">
        <w:rPr>
          <w:rFonts w:eastAsiaTheme="minorHAnsi"/>
          <w:szCs w:val="24"/>
        </w:rPr>
        <w:t>:</w:t>
      </w:r>
    </w:p>
    <w:p w14:paraId="70520D3C" w14:textId="52C54AB4" w:rsidR="00C746F6" w:rsidRPr="001171FB" w:rsidRDefault="00A37FA7" w:rsidP="006D28AA">
      <w:pPr>
        <w:pStyle w:val="Quote"/>
        <w:ind w:right="1374"/>
        <w:rPr>
          <w:color w:val="000000" w:themeColor="text1"/>
          <w:szCs w:val="24"/>
          <w:lang w:eastAsia="en-GB"/>
        </w:rPr>
      </w:pPr>
      <w:r>
        <w:rPr>
          <w:color w:val="000000" w:themeColor="text1"/>
          <w:szCs w:val="24"/>
          <w:lang w:eastAsia="en-GB"/>
        </w:rPr>
        <w:t>“</w:t>
      </w:r>
      <w:r w:rsidR="00C746F6">
        <w:rPr>
          <w:color w:val="000000" w:themeColor="text1"/>
          <w:szCs w:val="24"/>
          <w:lang w:eastAsia="en-GB"/>
        </w:rPr>
        <w:t>12</w:t>
      </w:r>
      <w:r w:rsidR="00C746F6" w:rsidRPr="001171FB">
        <w:rPr>
          <w:color w:val="000000" w:themeColor="text1"/>
          <w:szCs w:val="24"/>
          <w:lang w:eastAsia="en-GB"/>
        </w:rPr>
        <w:t>…The Crown Prosecution Service are reviewing whether there is now sufficient evidence to charge El Sheikh (and whether any additional charges arise for Kotey).  If a charging decision is reached by the CPS, some (or all) of the charges under consideration will need the consent of the Attorney General.  The process is expected to take several weeks…</w:t>
      </w:r>
    </w:p>
    <w:p w14:paraId="741124DB" w14:textId="4AE10511" w:rsidR="00F71C48" w:rsidRPr="00261FB4" w:rsidRDefault="00C746F6" w:rsidP="002D1644">
      <w:pPr>
        <w:pStyle w:val="Quote"/>
        <w:ind w:right="1374"/>
        <w:rPr>
          <w:lang w:eastAsia="en-GB"/>
        </w:rPr>
      </w:pPr>
      <w:r>
        <w:rPr>
          <w:color w:val="000000" w:themeColor="text1"/>
          <w:szCs w:val="24"/>
          <w:lang w:eastAsia="en-GB"/>
        </w:rPr>
        <w:t xml:space="preserve">13. </w:t>
      </w:r>
      <w:r w:rsidRPr="001171FB">
        <w:rPr>
          <w:color w:val="000000" w:themeColor="text1"/>
          <w:szCs w:val="24"/>
          <w:lang w:eastAsia="en-GB"/>
        </w:rPr>
        <w:t>The absence of a CPS charging decision does not preclude the sharing of evidence with the US for the use in their investigation and/or prosecution.  It is perfectly legitimate for two countries to be investigating individuals at the same time and parallel investigations are not uncommon.  Execution of the MLA request does not interfere with our own domestic investigation.  Providing the remaining evidence to the US could lead to the transfer of Kotey and El Sheikh for a US federal prosecution before a decision is made whether to charge El Sheikh in the UK. However, we do not see that as a good reason to delay execution of the MLA request. There is no obligation to that effect in the US/UK MLA treaty. A US prosecution with death penalty assurances would support our longstanding objective to secure justice for the victims and their families whilst maintaining national security and supporting our opposition to the death penalty…”</w:t>
      </w:r>
    </w:p>
    <w:p w14:paraId="176A9652" w14:textId="77777777" w:rsidR="005B7FF4" w:rsidRDefault="005B7FF4" w:rsidP="006D28AA">
      <w:pPr>
        <w:pStyle w:val="ParaLevel1"/>
        <w:rPr>
          <w:rFonts w:eastAsiaTheme="minorHAnsi"/>
          <w:szCs w:val="24"/>
        </w:rPr>
      </w:pPr>
      <w:r>
        <w:rPr>
          <w:rFonts w:eastAsiaTheme="minorHAnsi"/>
          <w:szCs w:val="24"/>
        </w:rPr>
        <w:t xml:space="preserve">The </w:t>
      </w:r>
      <w:r w:rsidRPr="002A6256">
        <w:rPr>
          <w:rFonts w:eastAsiaTheme="minorHAnsi"/>
          <w:szCs w:val="24"/>
        </w:rPr>
        <w:t xml:space="preserve">question </w:t>
      </w:r>
      <w:r>
        <w:rPr>
          <w:rFonts w:eastAsiaTheme="minorHAnsi"/>
          <w:szCs w:val="24"/>
        </w:rPr>
        <w:t xml:space="preserve">as to </w:t>
      </w:r>
      <w:r w:rsidRPr="002A6256">
        <w:rPr>
          <w:rFonts w:eastAsiaTheme="minorHAnsi"/>
          <w:szCs w:val="24"/>
        </w:rPr>
        <w:t xml:space="preserve">which was the better forum for a prosecution </w:t>
      </w:r>
      <w:r>
        <w:rPr>
          <w:rFonts w:eastAsiaTheme="minorHAnsi"/>
          <w:szCs w:val="24"/>
        </w:rPr>
        <w:t xml:space="preserve">of Mr El Sheikh </w:t>
      </w:r>
      <w:r w:rsidRPr="002A6256">
        <w:rPr>
          <w:rFonts w:eastAsiaTheme="minorHAnsi"/>
          <w:szCs w:val="24"/>
        </w:rPr>
        <w:t xml:space="preserve">was not the question before the Secretary of State.  She was being asked to provide material that would assist in a contemplated US prosecution, pursuant to a treaty that provided for material to be shared between prosecuting authorities in such circumstances.  </w:t>
      </w:r>
    </w:p>
    <w:p w14:paraId="25BA445C" w14:textId="718C30EB" w:rsidR="000F550A" w:rsidRPr="007249AE" w:rsidRDefault="007249AE" w:rsidP="006D28AA">
      <w:pPr>
        <w:pStyle w:val="ParaLevel1"/>
        <w:rPr>
          <w:rFonts w:eastAsiaTheme="minorHAnsi"/>
          <w:szCs w:val="24"/>
        </w:rPr>
      </w:pPr>
      <w:r>
        <w:rPr>
          <w:rFonts w:eastAsiaTheme="minorHAnsi"/>
          <w:szCs w:val="24"/>
        </w:rPr>
        <w:t xml:space="preserve">Moreover, </w:t>
      </w:r>
      <w:r w:rsidR="00BE6F01">
        <w:rPr>
          <w:rFonts w:eastAsiaTheme="minorHAnsi"/>
          <w:szCs w:val="24"/>
        </w:rPr>
        <w:t xml:space="preserve">a positive </w:t>
      </w:r>
      <w:r w:rsidR="000F550A" w:rsidRPr="002A6256">
        <w:rPr>
          <w:rFonts w:eastAsiaTheme="minorHAnsi"/>
          <w:szCs w:val="24"/>
        </w:rPr>
        <w:t>response to th</w:t>
      </w:r>
      <w:r w:rsidR="00BE6F01">
        <w:rPr>
          <w:rFonts w:eastAsiaTheme="minorHAnsi"/>
          <w:szCs w:val="24"/>
        </w:rPr>
        <w:t xml:space="preserve">e request for MLA did not mean </w:t>
      </w:r>
      <w:r w:rsidR="000F550A" w:rsidRPr="002A6256">
        <w:rPr>
          <w:rFonts w:eastAsiaTheme="minorHAnsi"/>
          <w:szCs w:val="24"/>
        </w:rPr>
        <w:t xml:space="preserve"> there could be no prosecution </w:t>
      </w:r>
      <w:r w:rsidR="00BE6F01">
        <w:rPr>
          <w:rFonts w:eastAsiaTheme="minorHAnsi"/>
          <w:szCs w:val="24"/>
        </w:rPr>
        <w:t xml:space="preserve">of Mr El Sheikh </w:t>
      </w:r>
      <w:r w:rsidR="000F550A" w:rsidRPr="002A6256">
        <w:rPr>
          <w:rFonts w:eastAsiaTheme="minorHAnsi"/>
          <w:szCs w:val="24"/>
        </w:rPr>
        <w:t xml:space="preserve">in England.  </w:t>
      </w:r>
      <w:r>
        <w:rPr>
          <w:rFonts w:eastAsiaTheme="minorHAnsi"/>
          <w:szCs w:val="24"/>
        </w:rPr>
        <w:t>It is not uncommon for the</w:t>
      </w:r>
      <w:r w:rsidR="000F550A" w:rsidRPr="007249AE">
        <w:rPr>
          <w:rFonts w:eastAsiaTheme="minorHAnsi"/>
          <w:szCs w:val="24"/>
        </w:rPr>
        <w:t xml:space="preserve"> prosecution </w:t>
      </w:r>
      <w:r w:rsidR="006B1035" w:rsidRPr="007249AE">
        <w:rPr>
          <w:rFonts w:eastAsiaTheme="minorHAnsi"/>
          <w:szCs w:val="24"/>
        </w:rPr>
        <w:t xml:space="preserve">of individuals </w:t>
      </w:r>
      <w:r>
        <w:rPr>
          <w:rFonts w:eastAsiaTheme="minorHAnsi"/>
          <w:szCs w:val="24"/>
        </w:rPr>
        <w:t xml:space="preserve">to be </w:t>
      </w:r>
      <w:r w:rsidR="000F550A" w:rsidRPr="007249AE">
        <w:rPr>
          <w:rFonts w:eastAsiaTheme="minorHAnsi"/>
          <w:szCs w:val="24"/>
        </w:rPr>
        <w:t>contemplated in more than one jurisdiction</w:t>
      </w:r>
      <w:r w:rsidR="006A7E2A" w:rsidRPr="007249AE">
        <w:rPr>
          <w:rFonts w:eastAsiaTheme="minorHAnsi"/>
          <w:szCs w:val="24"/>
        </w:rPr>
        <w:t>;</w:t>
      </w:r>
      <w:r w:rsidR="000F550A" w:rsidRPr="007249AE">
        <w:rPr>
          <w:rFonts w:eastAsiaTheme="minorHAnsi"/>
          <w:szCs w:val="24"/>
        </w:rPr>
        <w:t xml:space="preserve"> and </w:t>
      </w:r>
      <w:r w:rsidR="00460458">
        <w:rPr>
          <w:rFonts w:eastAsiaTheme="minorHAnsi"/>
          <w:szCs w:val="24"/>
        </w:rPr>
        <w:t xml:space="preserve">this is not a bar to </w:t>
      </w:r>
      <w:r w:rsidR="00460458" w:rsidRPr="007249AE">
        <w:rPr>
          <w:rFonts w:eastAsiaTheme="minorHAnsi"/>
          <w:szCs w:val="24"/>
        </w:rPr>
        <w:t>a state party acceding to an MLA reques</w:t>
      </w:r>
      <w:r w:rsidR="00460458">
        <w:rPr>
          <w:rFonts w:eastAsiaTheme="minorHAnsi"/>
          <w:szCs w:val="24"/>
        </w:rPr>
        <w:t xml:space="preserve">t whether </w:t>
      </w:r>
      <w:r w:rsidR="000F550A" w:rsidRPr="007249AE">
        <w:rPr>
          <w:rFonts w:eastAsiaTheme="minorHAnsi"/>
          <w:szCs w:val="24"/>
        </w:rPr>
        <w:t>under  the MLA treaty or the DPA</w:t>
      </w:r>
      <w:r w:rsidR="00460458">
        <w:rPr>
          <w:rFonts w:eastAsiaTheme="minorHAnsi"/>
          <w:szCs w:val="24"/>
        </w:rPr>
        <w:t>.</w:t>
      </w:r>
      <w:r w:rsidR="000F550A" w:rsidRPr="007249AE">
        <w:rPr>
          <w:rFonts w:eastAsiaTheme="minorHAnsi"/>
          <w:szCs w:val="24"/>
        </w:rPr>
        <w:t xml:space="preserve"> </w:t>
      </w:r>
      <w:r w:rsidR="00C746F6" w:rsidRPr="007249AE">
        <w:rPr>
          <w:rFonts w:eastAsiaTheme="minorHAnsi"/>
          <w:szCs w:val="24"/>
        </w:rPr>
        <w:t>The decision to accede to an MLA request d</w:t>
      </w:r>
      <w:r w:rsidR="00134476">
        <w:rPr>
          <w:rFonts w:eastAsiaTheme="minorHAnsi"/>
          <w:szCs w:val="24"/>
        </w:rPr>
        <w:t>id</w:t>
      </w:r>
      <w:r w:rsidR="00C746F6" w:rsidRPr="007249AE">
        <w:rPr>
          <w:rFonts w:eastAsiaTheme="minorHAnsi"/>
          <w:szCs w:val="24"/>
        </w:rPr>
        <w:t xml:space="preserve"> not </w:t>
      </w:r>
      <w:r w:rsidR="00C746F6" w:rsidRPr="002A6256">
        <w:rPr>
          <w:lang w:eastAsia="en-GB"/>
        </w:rPr>
        <w:t xml:space="preserve">prevent the CPS </w:t>
      </w:r>
      <w:r w:rsidR="00C746F6">
        <w:rPr>
          <w:lang w:eastAsia="en-GB"/>
        </w:rPr>
        <w:t>formulating charges against Mr El Sheikh</w:t>
      </w:r>
      <w:r w:rsidR="006A7E2A">
        <w:rPr>
          <w:lang w:eastAsia="en-GB"/>
        </w:rPr>
        <w:t xml:space="preserve">, </w:t>
      </w:r>
      <w:r w:rsidR="00C746F6">
        <w:rPr>
          <w:lang w:eastAsia="en-GB"/>
        </w:rPr>
        <w:t xml:space="preserve"> </w:t>
      </w:r>
      <w:r w:rsidR="006A7E2A">
        <w:rPr>
          <w:lang w:eastAsia="en-GB"/>
        </w:rPr>
        <w:t xml:space="preserve">and it will not preclude </w:t>
      </w:r>
      <w:r w:rsidR="005B7FF4">
        <w:rPr>
          <w:lang w:eastAsia="en-GB"/>
        </w:rPr>
        <w:t xml:space="preserve">bilateral discussion by the independent prosecuting authorities </w:t>
      </w:r>
      <w:r w:rsidR="00360439" w:rsidRPr="009873A6">
        <w:rPr>
          <w:lang w:eastAsia="en-GB"/>
        </w:rPr>
        <w:t>about</w:t>
      </w:r>
      <w:r w:rsidR="00360439">
        <w:rPr>
          <w:lang w:eastAsia="en-GB"/>
        </w:rPr>
        <w:t xml:space="preserve"> the appropriate forum for any subsequent trial</w:t>
      </w:r>
      <w:r w:rsidR="00A20925">
        <w:rPr>
          <w:rFonts w:eastAsiaTheme="minorHAnsi"/>
          <w:szCs w:val="24"/>
        </w:rPr>
        <w:t xml:space="preserve">. </w:t>
      </w:r>
      <w:r w:rsidR="00A20925">
        <w:rPr>
          <w:lang w:eastAsia="en-GB"/>
        </w:rPr>
        <w:t>S</w:t>
      </w:r>
      <w:r w:rsidR="005B7FF4">
        <w:rPr>
          <w:lang w:eastAsia="en-GB"/>
        </w:rPr>
        <w:t>ee</w:t>
      </w:r>
      <w:r w:rsidR="001939D3">
        <w:rPr>
          <w:lang w:eastAsia="en-GB"/>
        </w:rPr>
        <w:t>,</w:t>
      </w:r>
      <w:r w:rsidR="005B7FF4">
        <w:rPr>
          <w:lang w:eastAsia="en-GB"/>
        </w:rPr>
        <w:t xml:space="preserve"> for </w:t>
      </w:r>
      <w:r w:rsidR="005B7FF4">
        <w:rPr>
          <w:lang w:eastAsia="en-GB"/>
        </w:rPr>
        <w:lastRenderedPageBreak/>
        <w:t xml:space="preserve">example, the </w:t>
      </w:r>
      <w:r w:rsidR="005B7FF4">
        <w:rPr>
          <w:i/>
          <w:iCs/>
          <w:lang w:eastAsia="en-GB"/>
        </w:rPr>
        <w:t xml:space="preserve">Guidance for handling criminal cases with concurrent jurisdiction </w:t>
      </w:r>
      <w:r w:rsidR="00360439">
        <w:rPr>
          <w:i/>
          <w:iCs/>
          <w:lang w:eastAsia="en-GB"/>
        </w:rPr>
        <w:t xml:space="preserve">between the UK and </w:t>
      </w:r>
      <w:r w:rsidR="00360439" w:rsidRPr="00261FB4">
        <w:rPr>
          <w:lang w:eastAsia="en-GB"/>
        </w:rPr>
        <w:t>US</w:t>
      </w:r>
      <w:r w:rsidR="00360439">
        <w:rPr>
          <w:lang w:eastAsia="en-GB"/>
        </w:rPr>
        <w:t xml:space="preserve">; and the </w:t>
      </w:r>
      <w:r w:rsidR="00360439">
        <w:rPr>
          <w:i/>
          <w:iCs/>
          <w:lang w:eastAsia="en-GB"/>
        </w:rPr>
        <w:t xml:space="preserve">CPS Guidance on the handling of cases where the jurisdiction to prosecute is shared with prosecuting authorities overseas. </w:t>
      </w:r>
      <w:r w:rsidRPr="007249AE">
        <w:rPr>
          <w:rFonts w:eastAsiaTheme="minorHAnsi"/>
          <w:szCs w:val="24"/>
        </w:rPr>
        <w:t xml:space="preserve">Mr El Sheikh is </w:t>
      </w:r>
      <w:r w:rsidR="00360439">
        <w:rPr>
          <w:rFonts w:eastAsiaTheme="minorHAnsi"/>
          <w:szCs w:val="24"/>
        </w:rPr>
        <w:t xml:space="preserve">of course </w:t>
      </w:r>
      <w:r w:rsidRPr="007249AE">
        <w:rPr>
          <w:rFonts w:eastAsiaTheme="minorHAnsi"/>
          <w:szCs w:val="24"/>
        </w:rPr>
        <w:t xml:space="preserve">accused of the murder of both US and UK citizens; and it is not known whether the proposed US prosecution will relate to all </w:t>
      </w:r>
      <w:r w:rsidR="00134476">
        <w:rPr>
          <w:rFonts w:eastAsiaTheme="minorHAnsi"/>
          <w:szCs w:val="24"/>
        </w:rPr>
        <w:t xml:space="preserve">of those </w:t>
      </w:r>
      <w:r w:rsidRPr="007249AE">
        <w:rPr>
          <w:rFonts w:eastAsiaTheme="minorHAnsi"/>
          <w:szCs w:val="24"/>
        </w:rPr>
        <w:t>murders or only those of US citizens.</w:t>
      </w:r>
    </w:p>
    <w:p w14:paraId="75DD41D4" w14:textId="5EF68852" w:rsidR="000F550A" w:rsidRPr="002A6256" w:rsidRDefault="000F550A" w:rsidP="006D28AA">
      <w:pPr>
        <w:pStyle w:val="ParaLevel1"/>
        <w:rPr>
          <w:rFonts w:eastAsiaTheme="minorHAnsi"/>
          <w:szCs w:val="24"/>
        </w:rPr>
      </w:pPr>
      <w:r w:rsidRPr="002A6256">
        <w:rPr>
          <w:rFonts w:eastAsiaTheme="minorHAnsi"/>
          <w:szCs w:val="24"/>
        </w:rPr>
        <w:t xml:space="preserve">Whilst the UK </w:t>
      </w:r>
      <w:r w:rsidR="003305BF">
        <w:rPr>
          <w:rFonts w:eastAsiaTheme="minorHAnsi"/>
          <w:szCs w:val="24"/>
        </w:rPr>
        <w:t>G</w:t>
      </w:r>
      <w:r w:rsidRPr="002A6256">
        <w:rPr>
          <w:rFonts w:eastAsiaTheme="minorHAnsi"/>
          <w:szCs w:val="24"/>
        </w:rPr>
        <w:t>overnment was proposing to provide MLA without a death penalty assurance</w:t>
      </w:r>
      <w:r w:rsidR="006A7E2A">
        <w:rPr>
          <w:rFonts w:eastAsiaTheme="minorHAnsi"/>
          <w:szCs w:val="24"/>
        </w:rPr>
        <w:t>,</w:t>
      </w:r>
      <w:r w:rsidRPr="002A6256">
        <w:rPr>
          <w:rFonts w:eastAsiaTheme="minorHAnsi"/>
          <w:szCs w:val="24"/>
        </w:rPr>
        <w:t xml:space="preserve"> this was an unusual case.  </w:t>
      </w:r>
      <w:r w:rsidR="006A7E2A">
        <w:rPr>
          <w:rFonts w:eastAsiaTheme="minorHAnsi"/>
          <w:szCs w:val="24"/>
        </w:rPr>
        <w:t>N</w:t>
      </w:r>
      <w:r w:rsidR="006A7E2A" w:rsidRPr="002A6256">
        <w:rPr>
          <w:rFonts w:eastAsiaTheme="minorHAnsi"/>
          <w:szCs w:val="24"/>
        </w:rPr>
        <w:t xml:space="preserve">otwithstanding the </w:t>
      </w:r>
      <w:r w:rsidR="00A20925">
        <w:rPr>
          <w:rFonts w:eastAsiaTheme="minorHAnsi"/>
          <w:szCs w:val="24"/>
        </w:rPr>
        <w:t xml:space="preserve">barbaric </w:t>
      </w:r>
      <w:r w:rsidR="006A7E2A" w:rsidRPr="002A6256">
        <w:rPr>
          <w:rFonts w:eastAsiaTheme="minorHAnsi"/>
          <w:szCs w:val="24"/>
        </w:rPr>
        <w:t>nature of the offences alleged</w:t>
      </w:r>
      <w:r w:rsidR="006A7E2A">
        <w:rPr>
          <w:rFonts w:eastAsiaTheme="minorHAnsi"/>
          <w:szCs w:val="24"/>
        </w:rPr>
        <w:t>, n</w:t>
      </w:r>
      <w:r w:rsidRPr="002A6256">
        <w:rPr>
          <w:rFonts w:eastAsiaTheme="minorHAnsi"/>
          <w:szCs w:val="24"/>
        </w:rPr>
        <w:t xml:space="preserve">ow that </w:t>
      </w:r>
      <w:r w:rsidR="006A7E2A">
        <w:rPr>
          <w:rFonts w:eastAsiaTheme="minorHAnsi"/>
          <w:szCs w:val="24"/>
        </w:rPr>
        <w:t xml:space="preserve">the death penalty </w:t>
      </w:r>
      <w:r w:rsidRPr="002A6256">
        <w:rPr>
          <w:rFonts w:eastAsiaTheme="minorHAnsi"/>
          <w:szCs w:val="24"/>
        </w:rPr>
        <w:t xml:space="preserve">assurance has been given it </w:t>
      </w:r>
      <w:r w:rsidR="006A7E2A">
        <w:rPr>
          <w:rFonts w:eastAsiaTheme="minorHAnsi"/>
          <w:szCs w:val="24"/>
        </w:rPr>
        <w:t xml:space="preserve">has </w:t>
      </w:r>
      <w:r w:rsidRPr="002A6256">
        <w:rPr>
          <w:rFonts w:eastAsiaTheme="minorHAnsi"/>
          <w:szCs w:val="24"/>
        </w:rPr>
        <w:t>become</w:t>
      </w:r>
      <w:r w:rsidR="006A7E2A">
        <w:rPr>
          <w:rFonts w:eastAsiaTheme="minorHAnsi"/>
          <w:szCs w:val="24"/>
        </w:rPr>
        <w:t xml:space="preserve">, </w:t>
      </w:r>
      <w:r w:rsidR="00BF16EB">
        <w:rPr>
          <w:rFonts w:eastAsiaTheme="minorHAnsi"/>
          <w:szCs w:val="24"/>
        </w:rPr>
        <w:t xml:space="preserve">as </w:t>
      </w:r>
      <w:r w:rsidR="006A7E2A">
        <w:rPr>
          <w:rFonts w:eastAsiaTheme="minorHAnsi"/>
          <w:szCs w:val="24"/>
        </w:rPr>
        <w:t>Sir James</w:t>
      </w:r>
      <w:r w:rsidR="00BF16EB">
        <w:rPr>
          <w:rFonts w:eastAsiaTheme="minorHAnsi"/>
          <w:szCs w:val="24"/>
        </w:rPr>
        <w:t xml:space="preserve"> put it</w:t>
      </w:r>
      <w:r w:rsidR="006A7E2A">
        <w:rPr>
          <w:rFonts w:eastAsiaTheme="minorHAnsi"/>
          <w:szCs w:val="24"/>
        </w:rPr>
        <w:t xml:space="preserve">, “run of the mill”. </w:t>
      </w:r>
      <w:r w:rsidRPr="002A6256">
        <w:rPr>
          <w:rFonts w:eastAsiaTheme="minorHAnsi"/>
          <w:szCs w:val="24"/>
        </w:rPr>
        <w:t xml:space="preserve"> </w:t>
      </w:r>
      <w:r w:rsidR="005306C7">
        <w:rPr>
          <w:rFonts w:eastAsiaTheme="minorHAnsi"/>
          <w:szCs w:val="24"/>
        </w:rPr>
        <w:t xml:space="preserve">Provided the conditions of necessity and proportionality </w:t>
      </w:r>
      <w:r w:rsidR="006A7E2A">
        <w:rPr>
          <w:rFonts w:eastAsiaTheme="minorHAnsi"/>
          <w:szCs w:val="24"/>
        </w:rPr>
        <w:t xml:space="preserve">under </w:t>
      </w:r>
      <w:r w:rsidR="005306C7">
        <w:rPr>
          <w:rFonts w:eastAsiaTheme="minorHAnsi"/>
          <w:szCs w:val="24"/>
        </w:rPr>
        <w:t>the DPA were</w:t>
      </w:r>
      <w:r w:rsidR="006A7E2A">
        <w:rPr>
          <w:rFonts w:eastAsiaTheme="minorHAnsi"/>
          <w:szCs w:val="24"/>
        </w:rPr>
        <w:t xml:space="preserve"> satisfied</w:t>
      </w:r>
      <w:r w:rsidR="005306C7">
        <w:rPr>
          <w:rFonts w:eastAsiaTheme="minorHAnsi"/>
          <w:szCs w:val="24"/>
        </w:rPr>
        <w:t>,</w:t>
      </w:r>
      <w:r w:rsidR="006A7E2A">
        <w:rPr>
          <w:rFonts w:eastAsiaTheme="minorHAnsi"/>
          <w:szCs w:val="24"/>
        </w:rPr>
        <w:t xml:space="preserve"> </w:t>
      </w:r>
      <w:r w:rsidR="00360439">
        <w:rPr>
          <w:rFonts w:eastAsiaTheme="minorHAnsi"/>
          <w:szCs w:val="24"/>
        </w:rPr>
        <w:t xml:space="preserve">in our view </w:t>
      </w:r>
      <w:r w:rsidR="006A7E2A">
        <w:rPr>
          <w:rFonts w:eastAsiaTheme="minorHAnsi"/>
          <w:szCs w:val="24"/>
        </w:rPr>
        <w:t>the Secretary of State</w:t>
      </w:r>
      <w:r w:rsidR="005306C7">
        <w:rPr>
          <w:rFonts w:eastAsiaTheme="minorHAnsi"/>
          <w:szCs w:val="24"/>
        </w:rPr>
        <w:t xml:space="preserve"> was entitled to accede to the MLA request.</w:t>
      </w:r>
    </w:p>
    <w:p w14:paraId="7F13D0DB" w14:textId="78B63F03" w:rsidR="007E1BAC" w:rsidRPr="00261FB4" w:rsidRDefault="006A04A8" w:rsidP="006D28AA">
      <w:pPr>
        <w:pStyle w:val="ParaLevel1"/>
        <w:rPr>
          <w:rFonts w:eastAsiaTheme="minorHAnsi"/>
          <w:szCs w:val="24"/>
        </w:rPr>
      </w:pPr>
      <w:r w:rsidRPr="002A6256">
        <w:rPr>
          <w:rFonts w:eastAsiaTheme="minorHAnsi"/>
          <w:szCs w:val="24"/>
        </w:rPr>
        <w:t>We remind ourselves</w:t>
      </w:r>
      <w:r>
        <w:rPr>
          <w:rFonts w:eastAsiaTheme="minorHAnsi"/>
          <w:szCs w:val="24"/>
        </w:rPr>
        <w:t xml:space="preserve"> </w:t>
      </w:r>
      <w:r w:rsidRPr="002A6256">
        <w:rPr>
          <w:rFonts w:eastAsiaTheme="minorHAnsi"/>
          <w:szCs w:val="24"/>
        </w:rPr>
        <w:t xml:space="preserve">that this is an application for permission to apply for judicial review.  We are not the primary decision-makers exercising our own judgment as to the appropriate forum for a prosecution.  We are concerned only with the lawfulness and rationality of the Secretary of State’s decision.  </w:t>
      </w:r>
      <w:r w:rsidR="00364801">
        <w:rPr>
          <w:rFonts w:eastAsiaTheme="minorHAnsi"/>
          <w:szCs w:val="24"/>
        </w:rPr>
        <w:t>P</w:t>
      </w:r>
      <w:r w:rsidR="000F550A" w:rsidRPr="002A6256">
        <w:rPr>
          <w:rFonts w:eastAsiaTheme="minorHAnsi"/>
          <w:szCs w:val="24"/>
        </w:rPr>
        <w:t xml:space="preserve">revious expressions of preference as to where the prosecution should take place </w:t>
      </w:r>
      <w:r w:rsidR="006A7E2A">
        <w:rPr>
          <w:rFonts w:eastAsiaTheme="minorHAnsi"/>
          <w:szCs w:val="24"/>
        </w:rPr>
        <w:t xml:space="preserve">are </w:t>
      </w:r>
      <w:r w:rsidR="000F550A" w:rsidRPr="002A6256">
        <w:rPr>
          <w:rFonts w:eastAsiaTheme="minorHAnsi"/>
          <w:szCs w:val="24"/>
        </w:rPr>
        <w:t>of no relevance to the challenge mounted</w:t>
      </w:r>
      <w:r w:rsidR="006A7E2A">
        <w:rPr>
          <w:rFonts w:eastAsiaTheme="minorHAnsi"/>
          <w:szCs w:val="24"/>
        </w:rPr>
        <w:t xml:space="preserve"> before us</w:t>
      </w:r>
      <w:r w:rsidR="000F550A" w:rsidRPr="002A6256">
        <w:rPr>
          <w:rFonts w:eastAsiaTheme="minorHAnsi"/>
          <w:szCs w:val="24"/>
        </w:rPr>
        <w:t>.</w:t>
      </w:r>
    </w:p>
    <w:p w14:paraId="7A8926FC" w14:textId="4240B059" w:rsidR="00364801" w:rsidRPr="00DE29AA" w:rsidRDefault="00364801" w:rsidP="006D28AA">
      <w:pPr>
        <w:pStyle w:val="ParaLevel1"/>
        <w:rPr>
          <w:rFonts w:eastAsiaTheme="minorHAnsi"/>
          <w:szCs w:val="24"/>
        </w:rPr>
      </w:pPr>
      <w:r>
        <w:rPr>
          <w:szCs w:val="24"/>
        </w:rPr>
        <w:t xml:space="preserve">Finally, it is to be observed that intrinsic to the claimant’s case under the DPA and with regard to rationality are speculative assertions, rather than “objective facts” viz. that if the CPS decide to prosecute Mr El Sheikh, it is possible that the US authorities will decide not prosecute, the request for MLA will be withdrawn and the law enforcement purpose will become redundant in the near future. Furthermore, </w:t>
      </w:r>
      <w:r>
        <w:rPr>
          <w:lang w:eastAsia="en-GB"/>
        </w:rPr>
        <w:t xml:space="preserve">when asked in the course of argument about what might be regarded as a curious feature of this litigation, namely that it could </w:t>
      </w:r>
      <w:r w:rsidR="00BB26E5">
        <w:rPr>
          <w:lang w:eastAsia="en-GB"/>
        </w:rPr>
        <w:t xml:space="preserve">bring about </w:t>
      </w:r>
      <w:r>
        <w:rPr>
          <w:lang w:eastAsia="en-GB"/>
        </w:rPr>
        <w:t>the very result the claimant is concerned to avoid (the transfer of Mr El Sheikh to the Government of Iraq) Mr H</w:t>
      </w:r>
      <w:r w:rsidR="002A23A3">
        <w:rPr>
          <w:lang w:eastAsia="en-GB"/>
        </w:rPr>
        <w:t>e</w:t>
      </w:r>
      <w:r>
        <w:rPr>
          <w:lang w:eastAsia="en-GB"/>
        </w:rPr>
        <w:t xml:space="preserve">rmer said </w:t>
      </w:r>
      <w:r w:rsidRPr="00583785">
        <w:rPr>
          <w:lang w:eastAsia="en-GB"/>
        </w:rPr>
        <w:t>that if there was a real possibility of a U</w:t>
      </w:r>
      <w:r>
        <w:rPr>
          <w:lang w:eastAsia="en-GB"/>
        </w:rPr>
        <w:t xml:space="preserve">nited </w:t>
      </w:r>
      <w:r w:rsidRPr="00583785">
        <w:rPr>
          <w:lang w:eastAsia="en-GB"/>
        </w:rPr>
        <w:t>K</w:t>
      </w:r>
      <w:r>
        <w:rPr>
          <w:lang w:eastAsia="en-GB"/>
        </w:rPr>
        <w:t>ingdom</w:t>
      </w:r>
      <w:r w:rsidRPr="00583785">
        <w:rPr>
          <w:lang w:eastAsia="en-GB"/>
        </w:rPr>
        <w:t xml:space="preserve"> prosecution it was likely that the 15 October deadline set out in Attorney General</w:t>
      </w:r>
      <w:r>
        <w:rPr>
          <w:lang w:eastAsia="en-GB"/>
        </w:rPr>
        <w:t xml:space="preserve"> Barr’s</w:t>
      </w:r>
      <w:r w:rsidRPr="00583785">
        <w:rPr>
          <w:lang w:eastAsia="en-GB"/>
        </w:rPr>
        <w:t xml:space="preserve"> letter</w:t>
      </w:r>
      <w:r>
        <w:rPr>
          <w:lang w:eastAsia="en-GB"/>
        </w:rPr>
        <w:t xml:space="preserve"> would be extended</w:t>
      </w:r>
      <w:r w:rsidRPr="00583785">
        <w:rPr>
          <w:lang w:eastAsia="en-GB"/>
        </w:rPr>
        <w:t xml:space="preserve">. </w:t>
      </w:r>
    </w:p>
    <w:p w14:paraId="11999DAD" w14:textId="08A6BD31" w:rsidR="00CF455F" w:rsidRPr="00261FB4" w:rsidRDefault="00364801" w:rsidP="006D28AA">
      <w:pPr>
        <w:pStyle w:val="ParaLevel1"/>
        <w:rPr>
          <w:rFonts w:eastAsiaTheme="minorHAnsi"/>
        </w:rPr>
      </w:pPr>
      <w:r>
        <w:t>None of the pronouncements made by the US Government</w:t>
      </w:r>
      <w:r w:rsidR="008F3FAA" w:rsidRPr="005F73B6">
        <w:rPr>
          <w:rFonts w:ascii="Book Antiqua" w:hAnsi="Book Antiqua"/>
          <w:i/>
          <w:iCs/>
          <w:sz w:val="22"/>
          <w:szCs w:val="22"/>
        </w:rPr>
        <w:t xml:space="preserve"> </w:t>
      </w:r>
      <w:r w:rsidR="008F3FAA" w:rsidRPr="005F73B6">
        <w:rPr>
          <w:rFonts w:ascii="Book Antiqua" w:hAnsi="Book Antiqua"/>
          <w:sz w:val="22"/>
          <w:szCs w:val="22"/>
        </w:rPr>
        <w:t>after the judgment of the Supreme Court</w:t>
      </w:r>
      <w:r w:rsidRPr="005F73B6">
        <w:t xml:space="preserve"> </w:t>
      </w:r>
      <w:r>
        <w:t>to which Mr Hermer drew our attention in this context (to the effect that they would prefer foreign terrorists to be prosecuted in their country of origin) related specifically to Mr El Sheikh.</w:t>
      </w:r>
      <w:r w:rsidRPr="00705C9D">
        <w:rPr>
          <w:rStyle w:val="FootnoteReference"/>
          <w:rFonts w:eastAsiaTheme="minorHAnsi"/>
          <w:szCs w:val="24"/>
        </w:rPr>
        <w:t xml:space="preserve"> </w:t>
      </w:r>
      <w:r>
        <w:t>He is, after all, alleged to be concerned in the murder of US citizens. But in any event, the evidence before the Secretary of State is contained in the letter from Attorney General Barr</w:t>
      </w:r>
      <w:r w:rsidRPr="0012777B">
        <w:t xml:space="preserve"> </w:t>
      </w:r>
      <w:r>
        <w:t xml:space="preserve">which is unequivocal as to the US authorities’ intentions.  </w:t>
      </w:r>
      <w:r w:rsidRPr="002A6256">
        <w:rPr>
          <w:lang w:eastAsia="en-GB"/>
        </w:rPr>
        <w:t xml:space="preserve">The August letter says nothing to support the inference that the US would abandon its prosecution of Mr El Sheikh if the UK </w:t>
      </w:r>
      <w:r>
        <w:rPr>
          <w:lang w:eastAsia="en-GB"/>
        </w:rPr>
        <w:t>is</w:t>
      </w:r>
      <w:r w:rsidRPr="002A6256">
        <w:rPr>
          <w:lang w:eastAsia="en-GB"/>
        </w:rPr>
        <w:t xml:space="preserve"> prepared to prosecute</w:t>
      </w:r>
      <w:r>
        <w:rPr>
          <w:lang w:eastAsia="en-GB"/>
        </w:rPr>
        <w:t xml:space="preserve">, let alone extend the 15 October 2020 deadline.  </w:t>
      </w:r>
      <w:r w:rsidRPr="002A6256">
        <w:rPr>
          <w:lang w:eastAsia="en-GB"/>
        </w:rPr>
        <w:t xml:space="preserve"> </w:t>
      </w:r>
      <w:r>
        <w:t>It is to be noted, as Sir James point</w:t>
      </w:r>
      <w:r w:rsidR="00981D6D">
        <w:t>ed</w:t>
      </w:r>
      <w:r>
        <w:t xml:space="preserve"> out, that </w:t>
      </w:r>
      <w:r w:rsidRPr="002A6256">
        <w:rPr>
          <w:lang w:eastAsia="en-GB"/>
        </w:rPr>
        <w:t xml:space="preserve">the US </w:t>
      </w:r>
      <w:r>
        <w:rPr>
          <w:lang w:eastAsia="en-GB"/>
        </w:rPr>
        <w:t xml:space="preserve">authorities </w:t>
      </w:r>
      <w:r w:rsidRPr="002A6256">
        <w:rPr>
          <w:lang w:eastAsia="en-GB"/>
        </w:rPr>
        <w:t xml:space="preserve">have made and maintained their request </w:t>
      </w:r>
      <w:r>
        <w:rPr>
          <w:lang w:eastAsia="en-GB"/>
        </w:rPr>
        <w:t xml:space="preserve">for MLA when they </w:t>
      </w:r>
      <w:r w:rsidRPr="002A6256">
        <w:rPr>
          <w:lang w:eastAsia="en-GB"/>
        </w:rPr>
        <w:t>were aware of the judgment of the Supreme Court</w:t>
      </w:r>
      <w:r>
        <w:rPr>
          <w:lang w:eastAsia="en-GB"/>
        </w:rPr>
        <w:t xml:space="preserve"> which made reference to the prospect of prosecution in the United Kingdom</w:t>
      </w:r>
      <w:r w:rsidRPr="002A6256">
        <w:rPr>
          <w:lang w:eastAsia="en-GB"/>
        </w:rPr>
        <w:t xml:space="preserve">. </w:t>
      </w:r>
    </w:p>
    <w:p w14:paraId="3B5CEAC1" w14:textId="6E1BD758" w:rsidR="00364801" w:rsidRPr="00261FB4" w:rsidRDefault="00364801" w:rsidP="006D28AA">
      <w:pPr>
        <w:pStyle w:val="ParaLevel1"/>
        <w:rPr>
          <w:rFonts w:eastAsiaTheme="minorHAnsi"/>
          <w:i/>
          <w:iCs/>
        </w:rPr>
      </w:pPr>
      <w:r w:rsidRPr="00261FB4">
        <w:rPr>
          <w:rFonts w:eastAsiaTheme="minorHAnsi"/>
        </w:rPr>
        <w:t xml:space="preserve">The Secretary of State was plainly entitled, if not positively obliged, to have regard to the views of the US authorities as expressed, and to take Attorney </w:t>
      </w:r>
      <w:r w:rsidR="00CF455F">
        <w:rPr>
          <w:rFonts w:eastAsiaTheme="minorHAnsi"/>
        </w:rPr>
        <w:t xml:space="preserve">General Barr </w:t>
      </w:r>
      <w:r w:rsidRPr="00261FB4">
        <w:rPr>
          <w:rFonts w:eastAsiaTheme="minorHAnsi"/>
        </w:rPr>
        <w:t xml:space="preserve">at his word in formulating her response.  We see no possible basis on which it could properly be argued that the Secretary of State fell into error by so doing.  She was not obliged to go behind </w:t>
      </w:r>
      <w:r w:rsidR="00CF455F">
        <w:rPr>
          <w:rFonts w:eastAsiaTheme="minorHAnsi"/>
        </w:rPr>
        <w:t xml:space="preserve">his </w:t>
      </w:r>
      <w:r w:rsidRPr="00261FB4">
        <w:rPr>
          <w:rFonts w:eastAsiaTheme="minorHAnsi"/>
        </w:rPr>
        <w:t xml:space="preserve">letter which was entirely unambiguous: the US authorities wanted the data from the UK for the purpose of a prosecution of </w:t>
      </w:r>
      <w:r w:rsidR="003305BF">
        <w:rPr>
          <w:rFonts w:eastAsiaTheme="minorHAnsi"/>
        </w:rPr>
        <w:t>Mr</w:t>
      </w:r>
      <w:r w:rsidRPr="00261FB4">
        <w:rPr>
          <w:rFonts w:eastAsiaTheme="minorHAnsi"/>
        </w:rPr>
        <w:t xml:space="preserve"> Kotey and Mr El Sheikh in the </w:t>
      </w:r>
      <w:r w:rsidRPr="00261FB4">
        <w:rPr>
          <w:rFonts w:eastAsiaTheme="minorHAnsi"/>
        </w:rPr>
        <w:lastRenderedPageBreak/>
        <w:t xml:space="preserve">United States.  If the material sought was received the US intended to proceed with a prosecution.  That was the reason why the death penalty assurance was given.  If the data were not provided by 15 October 2020 there would be no US prosecution and the US would transfer the two men to the Iraqi justice system. </w:t>
      </w:r>
    </w:p>
    <w:p w14:paraId="0A9BC28E" w14:textId="77777777" w:rsidR="000F550A" w:rsidRPr="00261FB4" w:rsidRDefault="000F550A" w:rsidP="006D28AA">
      <w:pPr>
        <w:pStyle w:val="ParaLevel1"/>
        <w:numPr>
          <w:ilvl w:val="0"/>
          <w:numId w:val="0"/>
        </w:numPr>
        <w:ind w:left="720" w:hanging="720"/>
        <w:rPr>
          <w:rFonts w:eastAsiaTheme="minorHAnsi"/>
          <w:i/>
          <w:iCs/>
        </w:rPr>
      </w:pPr>
      <w:r w:rsidRPr="00261FB4">
        <w:rPr>
          <w:rFonts w:eastAsiaTheme="minorHAnsi"/>
          <w:i/>
          <w:iCs/>
        </w:rPr>
        <w:t>Conclusions</w:t>
      </w:r>
    </w:p>
    <w:p w14:paraId="14838267" w14:textId="55A0ABB5" w:rsidR="000F550A" w:rsidRPr="002A6256" w:rsidRDefault="000F550A" w:rsidP="005F73B6">
      <w:pPr>
        <w:pStyle w:val="ParaLevel1"/>
        <w:rPr>
          <w:rFonts w:eastAsiaTheme="minorHAnsi"/>
          <w:szCs w:val="24"/>
        </w:rPr>
      </w:pPr>
      <w:r w:rsidRPr="002A6256">
        <w:rPr>
          <w:rFonts w:eastAsiaTheme="minorHAnsi"/>
          <w:szCs w:val="24"/>
        </w:rPr>
        <w:t xml:space="preserve">For the reasons </w:t>
      </w:r>
      <w:r w:rsidR="00134476">
        <w:rPr>
          <w:rFonts w:eastAsiaTheme="minorHAnsi"/>
          <w:szCs w:val="24"/>
        </w:rPr>
        <w:t xml:space="preserve">given, </w:t>
      </w:r>
      <w:r w:rsidR="00364801">
        <w:rPr>
          <w:rFonts w:eastAsiaTheme="minorHAnsi"/>
          <w:szCs w:val="24"/>
        </w:rPr>
        <w:t xml:space="preserve">we have </w:t>
      </w:r>
      <w:r w:rsidRPr="002A6256">
        <w:rPr>
          <w:rFonts w:eastAsiaTheme="minorHAnsi"/>
          <w:szCs w:val="24"/>
        </w:rPr>
        <w:t>conclu</w:t>
      </w:r>
      <w:r w:rsidR="00364801">
        <w:rPr>
          <w:rFonts w:eastAsiaTheme="minorHAnsi"/>
          <w:szCs w:val="24"/>
        </w:rPr>
        <w:t>ded</w:t>
      </w:r>
      <w:r w:rsidRPr="002A6256">
        <w:rPr>
          <w:rFonts w:eastAsiaTheme="minorHAnsi"/>
          <w:szCs w:val="24"/>
        </w:rPr>
        <w:t xml:space="preserve"> that this application is not properly </w:t>
      </w:r>
      <w:r w:rsidR="000E0EDE" w:rsidRPr="002A6256">
        <w:rPr>
          <w:rFonts w:eastAsiaTheme="minorHAnsi"/>
          <w:szCs w:val="24"/>
        </w:rPr>
        <w:t>arguable,</w:t>
      </w:r>
      <w:r w:rsidRPr="002A6256">
        <w:rPr>
          <w:rFonts w:eastAsiaTheme="minorHAnsi"/>
          <w:szCs w:val="24"/>
        </w:rPr>
        <w:t xml:space="preserve"> and we refuse permission to apply for judicial review.</w:t>
      </w:r>
      <w:r w:rsidR="005F73B6">
        <w:rPr>
          <w:rFonts w:eastAsiaTheme="minorHAnsi"/>
          <w:szCs w:val="24"/>
        </w:rPr>
        <w:t xml:space="preserve">  </w:t>
      </w:r>
      <w:r w:rsidR="00981D6D">
        <w:rPr>
          <w:rFonts w:eastAsiaTheme="minorHAnsi"/>
          <w:szCs w:val="24"/>
        </w:rPr>
        <w:t xml:space="preserve">On </w:t>
      </w:r>
      <w:r w:rsidR="005F73B6">
        <w:rPr>
          <w:rFonts w:eastAsiaTheme="minorHAnsi"/>
          <w:szCs w:val="24"/>
        </w:rPr>
        <w:t xml:space="preserve">the handing down of this judgment, the Order referred to </w:t>
      </w:r>
      <w:r w:rsidR="00981D6D">
        <w:rPr>
          <w:rFonts w:eastAsiaTheme="minorHAnsi"/>
          <w:szCs w:val="24"/>
        </w:rPr>
        <w:t>at</w:t>
      </w:r>
      <w:r w:rsidR="005F73B6">
        <w:rPr>
          <w:rFonts w:eastAsiaTheme="minorHAnsi"/>
          <w:szCs w:val="24"/>
        </w:rPr>
        <w:t xml:space="preserve"> para 24 above, </w:t>
      </w:r>
      <w:r w:rsidR="00C8485A" w:rsidRPr="00261FB4">
        <w:rPr>
          <w:noProof/>
          <w:lang w:eastAsia="en-GB"/>
        </w:rPr>
        <w:t>prohibiting the Secretary of State from providing any further material to the United States Governmen</w:t>
      </w:r>
      <w:r w:rsidR="00C8485A">
        <w:rPr>
          <w:noProof/>
          <w:lang w:eastAsia="en-GB"/>
        </w:rPr>
        <w:t xml:space="preserve">t, </w:t>
      </w:r>
      <w:r w:rsidR="005F73B6">
        <w:rPr>
          <w:rFonts w:eastAsiaTheme="minorHAnsi"/>
          <w:szCs w:val="24"/>
        </w:rPr>
        <w:t>has now ceased to have effect</w:t>
      </w:r>
      <w:r w:rsidR="005F73B6" w:rsidRPr="005F73B6">
        <w:rPr>
          <w:rFonts w:eastAsiaTheme="minorHAnsi"/>
          <w:szCs w:val="24"/>
        </w:rPr>
        <w:t xml:space="preserve">.  </w:t>
      </w:r>
    </w:p>
    <w:p w14:paraId="13023E4D" w14:textId="77777777" w:rsidR="005E2342" w:rsidRPr="002A6256" w:rsidRDefault="005E2342" w:rsidP="006D28AA">
      <w:pPr>
        <w:pStyle w:val="ParaLevel1"/>
        <w:numPr>
          <w:ilvl w:val="0"/>
          <w:numId w:val="0"/>
        </w:numPr>
        <w:rPr>
          <w:szCs w:val="24"/>
        </w:rPr>
      </w:pPr>
    </w:p>
    <w:sectPr w:rsidR="005E2342" w:rsidRPr="002A6256" w:rsidSect="006D28AA">
      <w:headerReference w:type="default" r:id="rId23"/>
      <w:footerReference w:type="default" r:id="rId24"/>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16713" w14:textId="77777777" w:rsidR="00664169" w:rsidRDefault="00664169">
      <w:r>
        <w:separator/>
      </w:r>
    </w:p>
  </w:endnote>
  <w:endnote w:type="continuationSeparator" w:id="0">
    <w:p w14:paraId="1993382B" w14:textId="77777777" w:rsidR="00664169" w:rsidRDefault="0066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Univers (W1)">
    <w:altName w:val="Arial"/>
    <w:charset w:val="00"/>
    <w:family w:val="swiss"/>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CD992" w14:textId="77777777" w:rsidR="005A1234" w:rsidRDefault="005A1234">
    <w:pPr>
      <w:pStyle w:val="Footer"/>
      <w:jc w:val="center"/>
      <w:rPr>
        <w:rFonts w:ascii="Times New Roman" w:hAnsi="Times New Roman"/>
        <w:sz w:val="16"/>
      </w:rPr>
    </w:pPr>
  </w:p>
  <w:p w14:paraId="32339FEA" w14:textId="7180BE42" w:rsidR="005A1234" w:rsidRDefault="005A1234">
    <w:pPr>
      <w:pStyle w:val="Footer"/>
      <w:rPr>
        <w:rFonts w:ascii="Times New Roman" w:hAnsi="Times New Roman"/>
        <w:sz w:val="16"/>
      </w:rPr>
    </w:pPr>
    <w:r>
      <w:rPr>
        <w:rFonts w:ascii="Times New Roman" w:hAnsi="Times New Roman"/>
        <w:sz w:val="16"/>
      </w:rPr>
      <w:t xml:space="preserve">Draft </w:t>
    </w:r>
    <w:r>
      <w:rPr>
        <w:rFonts w:ascii="Times New Roman" w:hAnsi="Times New Roman"/>
        <w:sz w:val="16"/>
      </w:rPr>
      <w:fldChar w:fldCharType="begin"/>
    </w:r>
    <w:r>
      <w:rPr>
        <w:rFonts w:ascii="Times New Roman" w:hAnsi="Times New Roman"/>
        <w:sz w:val="16"/>
      </w:rPr>
      <w:instrText xml:space="preserve">time \@ "' 'd' 'MMMM' 'yyyy" </w:instrText>
    </w:r>
    <w:r>
      <w:rPr>
        <w:rFonts w:ascii="Times New Roman" w:hAnsi="Times New Roman"/>
        <w:sz w:val="16"/>
      </w:rPr>
      <w:fldChar w:fldCharType="separate"/>
    </w:r>
    <w:r w:rsidR="001439E9">
      <w:rPr>
        <w:rFonts w:ascii="Times New Roman" w:hAnsi="Times New Roman"/>
        <w:noProof/>
        <w:sz w:val="16"/>
      </w:rPr>
      <w:t xml:space="preserve"> 22 September 2020</w:t>
    </w:r>
    <w:r>
      <w:rPr>
        <w:rFonts w:ascii="Times New Roman" w:hAnsi="Times New Roman"/>
        <w:sz w:val="16"/>
      </w:rPr>
      <w:fldChar w:fldCharType="end"/>
    </w:r>
    <w:r>
      <w:rPr>
        <w:rFonts w:ascii="Times New Roman" w:hAnsi="Times New Roman"/>
        <w:sz w:val="16"/>
      </w:rPr>
      <w:t xml:space="preserve"> </w:t>
    </w:r>
    <w:r>
      <w:rPr>
        <w:rFonts w:ascii="Times New Roman" w:hAnsi="Times New Roman"/>
        <w:sz w:val="16"/>
      </w:rPr>
      <w:fldChar w:fldCharType="begin"/>
    </w:r>
    <w:r>
      <w:rPr>
        <w:rFonts w:ascii="Times New Roman" w:hAnsi="Times New Roman"/>
        <w:sz w:val="16"/>
      </w:rPr>
      <w:instrText xml:space="preserve">time \@ "HH:mm" </w:instrText>
    </w:r>
    <w:r>
      <w:rPr>
        <w:rFonts w:ascii="Times New Roman" w:hAnsi="Times New Roman"/>
        <w:sz w:val="16"/>
      </w:rPr>
      <w:fldChar w:fldCharType="separate"/>
    </w:r>
    <w:r w:rsidR="001439E9">
      <w:rPr>
        <w:rFonts w:ascii="Times New Roman" w:hAnsi="Times New Roman"/>
        <w:noProof/>
        <w:sz w:val="16"/>
      </w:rPr>
      <w:t>10:49</w:t>
    </w:r>
    <w:r>
      <w:rPr>
        <w:rFonts w:ascii="Times New Roman" w:hAnsi="Times New Roman"/>
        <w:sz w:val="16"/>
      </w:rPr>
      <w:fldChar w:fldCharType="end"/>
    </w:r>
    <w:r>
      <w:rPr>
        <w:rFonts w:ascii="Times New Roman" w:hAnsi="Times New Roman"/>
        <w:sz w:val="16"/>
      </w:rPr>
      <w:tab/>
      <w:t xml:space="preserve">Page </w:t>
    </w:r>
    <w:r>
      <w:rPr>
        <w:rFonts w:ascii="Times New Roman" w:hAnsi="Times New Roman"/>
        <w:sz w:val="16"/>
      </w:rPr>
      <w:fldChar w:fldCharType="begin"/>
    </w:r>
    <w:r>
      <w:rPr>
        <w:rFonts w:ascii="Times New Roman" w:hAnsi="Times New Roman"/>
        <w:sz w:val="16"/>
      </w:rPr>
      <w:instrText xml:space="preserve"> PAGE </w:instrText>
    </w:r>
    <w:r>
      <w:rPr>
        <w:rFonts w:ascii="Times New Roman" w:hAnsi="Times New Roman"/>
        <w:sz w:val="16"/>
      </w:rPr>
      <w:fldChar w:fldCharType="separate"/>
    </w:r>
    <w:r>
      <w:rPr>
        <w:rFonts w:ascii="Times New Roman" w:hAnsi="Times New Roman"/>
        <w:noProof/>
        <w:sz w:val="16"/>
      </w:rPr>
      <w:t>2</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B6C50" w14:textId="77777777" w:rsidR="00664169" w:rsidRDefault="00664169">
      <w:r>
        <w:separator/>
      </w:r>
    </w:p>
  </w:footnote>
  <w:footnote w:type="continuationSeparator" w:id="0">
    <w:p w14:paraId="021253A9" w14:textId="77777777" w:rsidR="00664169" w:rsidRDefault="00664169">
      <w:r>
        <w:continuationSeparator/>
      </w:r>
    </w:p>
  </w:footnote>
  <w:footnote w:id="1">
    <w:p w14:paraId="1DACB54E" w14:textId="6F3C0C52" w:rsidR="005A1234" w:rsidRDefault="005A1234" w:rsidP="00261FB4">
      <w:pPr>
        <w:pStyle w:val="FootnoteText"/>
        <w:jc w:val="both"/>
      </w:pPr>
      <w:r>
        <w:rPr>
          <w:rStyle w:val="FootnoteReference"/>
        </w:rPr>
        <w:footnoteRef/>
      </w:r>
      <w:r>
        <w:t xml:space="preserve"> The UK-US MLA Treaty was signed on 6 January 1994, entered into force on 2 December 1996 and was amended by an Exchange of Notes on 16 December 2004.</w:t>
      </w:r>
      <w:r w:rsidR="00754487">
        <w:t xml:space="preserve"> </w:t>
      </w:r>
      <w:r w:rsidR="00754487" w:rsidRPr="00F9576D">
        <w:t xml:space="preserve">On June 25, 2003, the United States and the European Union signed a Mutual Legal Assistance Agreement (the 2003 US-EU MLA Agreement). </w:t>
      </w:r>
      <w:r w:rsidR="00754487" w:rsidRPr="006D5FF3">
        <w:rPr>
          <w:iCs/>
          <w:lang w:eastAsia="en-GB"/>
        </w:rPr>
        <w:t>Article 3(2) of that agreement contemplated</w:t>
      </w:r>
      <w:r w:rsidR="00754487" w:rsidRPr="00F9576D">
        <w:t xml:space="preserve"> the signing of bilateral implementing instruments with all the then 25 EU member states.</w:t>
      </w:r>
      <w:r w:rsidR="00754487" w:rsidRPr="006D5FF3">
        <w:rPr>
          <w:iCs/>
          <w:lang w:eastAsia="en-GB"/>
        </w:rPr>
        <w:t xml:space="preserve">  As so contemplated, in May 2009 the United Kingdom signed an implementing instrument with the United States, </w:t>
      </w:r>
      <w:r w:rsidR="00754487" w:rsidRPr="00F9576D">
        <w:rPr>
          <w:iCs/>
        </w:rPr>
        <w:t>as to the application of the UK-US MLA Treaty.  The Annex to that instrument reflects the integrated text of the operative provisions of the 2003 US-EU MLA Agreement and the UK-US MLA treaty signed on 6 January 1994.</w:t>
      </w:r>
    </w:p>
  </w:footnote>
  <w:footnote w:id="2">
    <w:p w14:paraId="28A514D7" w14:textId="27930B17" w:rsidR="005A1234" w:rsidRDefault="005A1234" w:rsidP="00261FB4">
      <w:pPr>
        <w:pStyle w:val="FootnoteText"/>
        <w:jc w:val="both"/>
      </w:pPr>
      <w:r>
        <w:rPr>
          <w:rStyle w:val="FootnoteReference"/>
        </w:rPr>
        <w:footnoteRef/>
      </w:r>
      <w:r>
        <w:t xml:space="preserve"> The EU-US Data Protection and Privacy Agreement (DPPA). </w:t>
      </w:r>
      <w:r w:rsidR="00104DC4">
        <w:t xml:space="preserve"> The DPPA is dealt with </w:t>
      </w:r>
      <w:r>
        <w:t xml:space="preserve">in the annex, </w:t>
      </w:r>
      <w:r w:rsidR="00104DC4">
        <w:t xml:space="preserve">and </w:t>
      </w:r>
      <w:r w:rsidR="009F4103">
        <w:t xml:space="preserve">paras 34 to 36 of </w:t>
      </w:r>
      <w:r w:rsidR="00104DC4">
        <w:t>the witness statement dated 8 September 2020 of Christine Hayes, the International Director in the Home Office served on behalf of the defendant in these proceedings. T</w:t>
      </w:r>
      <w:r>
        <w:t xml:space="preserve">he DPPA is an agreement concluded by the US and EU which </w:t>
      </w:r>
      <w:r w:rsidR="00104DC4">
        <w:t>the UK opted into</w:t>
      </w:r>
      <w:r w:rsidR="009F4103">
        <w:t>. It</w:t>
      </w:r>
      <w:r w:rsidR="00104DC4">
        <w:t xml:space="preserve"> </w:t>
      </w:r>
      <w:r>
        <w:t xml:space="preserve">provides extensive safeguards for data transferred to the US for law enforcement purposes. See further </w:t>
      </w:r>
      <w:r w:rsidR="00104DC4">
        <w:t>p</w:t>
      </w:r>
      <w:r>
        <w:t xml:space="preserve">ara 30 of the annex which states it is not legally binding as between the UK and US in relation to MLA matters, but both States have agreed to apply the safeguards in the MLA context as a matter of policy, and wish to make the DPPA’s provisions legally binding for MLA purposes as soon as possible.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5A1234" w14:paraId="65C954C4" w14:textId="77777777">
      <w:tc>
        <w:tcPr>
          <w:tcW w:w="4680" w:type="dxa"/>
        </w:tcPr>
        <w:p w14:paraId="3DCAB5C2" w14:textId="626C86E0" w:rsidR="005A1234" w:rsidRPr="006D28AA" w:rsidRDefault="006D28AA">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320" w:type="dxa"/>
        </w:tcPr>
        <w:p w14:paraId="24AB96EA" w14:textId="05953FDF" w:rsidR="005A1234" w:rsidRDefault="005A1234">
          <w:pPr>
            <w:pStyle w:val="Header"/>
            <w:jc w:val="right"/>
            <w:rPr>
              <w:rFonts w:ascii="Times New Roman" w:hAnsi="Times New Roman"/>
              <w:sz w:val="16"/>
            </w:rPr>
          </w:pPr>
          <w:r>
            <w:rPr>
              <w:rFonts w:ascii="Times New Roman" w:hAnsi="Times New Roman"/>
              <w:sz w:val="16"/>
            </w:rPr>
            <w:t>R(Elgizouli) v SoS</w:t>
          </w:r>
        </w:p>
      </w:tc>
    </w:tr>
  </w:tbl>
  <w:p w14:paraId="77C5C129" w14:textId="77777777" w:rsidR="005A1234" w:rsidRDefault="005A1234">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452D2"/>
    <w:multiLevelType w:val="hybridMultilevel"/>
    <w:tmpl w:val="16089890"/>
    <w:lvl w:ilvl="0" w:tplc="6EFAFD9E">
      <w:start w:val="1"/>
      <w:numFmt w:val="decimal"/>
      <w:lvlText w:val="%1."/>
      <w:lvlJc w:val="left"/>
      <w:pPr>
        <w:ind w:left="720" w:hanging="360"/>
      </w:pPr>
      <w:rPr>
        <w:rFonts w:hint="default"/>
        <w:b w:val="0"/>
        <w:bCs w:val="0"/>
        <w:i w:val="0"/>
        <w:iCs w:val="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2158D"/>
    <w:multiLevelType w:val="hybridMultilevel"/>
    <w:tmpl w:val="FFE6AA4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D4E7F82"/>
    <w:multiLevelType w:val="hybridMultilevel"/>
    <w:tmpl w:val="04F0AF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05B6DCC"/>
    <w:multiLevelType w:val="hybridMultilevel"/>
    <w:tmpl w:val="F4C002E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20E11ADC"/>
    <w:multiLevelType w:val="multilevel"/>
    <w:tmpl w:val="A516D46E"/>
    <w:lvl w:ilvl="0">
      <w:start w:val="8"/>
      <w:numFmt w:val="decimal"/>
      <w:lvlText w:val="%1)"/>
      <w:lvlJc w:val="left"/>
      <w:pPr>
        <w:ind w:left="-492" w:hanging="360"/>
      </w:pPr>
      <w:rPr>
        <w:rFonts w:hint="default"/>
      </w:rPr>
    </w:lvl>
    <w:lvl w:ilvl="1">
      <w:start w:val="1"/>
      <w:numFmt w:val="lowerLetter"/>
      <w:lvlText w:val="%2)"/>
      <w:lvlJc w:val="left"/>
      <w:pPr>
        <w:ind w:left="-132" w:hanging="360"/>
      </w:pPr>
      <w:rPr>
        <w:rFonts w:hint="default"/>
      </w:rPr>
    </w:lvl>
    <w:lvl w:ilvl="2">
      <w:start w:val="1"/>
      <w:numFmt w:val="lowerRoman"/>
      <w:lvlText w:val="%3)"/>
      <w:lvlJc w:val="left"/>
      <w:pPr>
        <w:ind w:left="228" w:hanging="360"/>
      </w:pPr>
      <w:rPr>
        <w:rFonts w:hint="default"/>
      </w:rPr>
    </w:lvl>
    <w:lvl w:ilvl="3">
      <w:start w:val="1"/>
      <w:numFmt w:val="decimal"/>
      <w:lvlText w:val="(%4)"/>
      <w:lvlJc w:val="left"/>
      <w:pPr>
        <w:ind w:left="588" w:hanging="360"/>
      </w:pPr>
      <w:rPr>
        <w:rFonts w:hint="default"/>
      </w:rPr>
    </w:lvl>
    <w:lvl w:ilvl="4">
      <w:start w:val="1"/>
      <w:numFmt w:val="lowerRoman"/>
      <w:lvlText w:val="%5."/>
      <w:lvlJc w:val="right"/>
      <w:pPr>
        <w:ind w:left="948" w:hanging="360"/>
      </w:pPr>
      <w:rPr>
        <w:rFonts w:hint="default"/>
      </w:rPr>
    </w:lvl>
    <w:lvl w:ilvl="5">
      <w:start w:val="1"/>
      <w:numFmt w:val="lowerRoman"/>
      <w:lvlText w:val="(%6)"/>
      <w:lvlJc w:val="left"/>
      <w:pPr>
        <w:ind w:left="1308" w:hanging="360"/>
      </w:pPr>
      <w:rPr>
        <w:rFonts w:hint="default"/>
      </w:rPr>
    </w:lvl>
    <w:lvl w:ilvl="6">
      <w:start w:val="1"/>
      <w:numFmt w:val="decimal"/>
      <w:lvlText w:val="%7."/>
      <w:lvlJc w:val="left"/>
      <w:pPr>
        <w:ind w:left="1668" w:hanging="360"/>
      </w:pPr>
      <w:rPr>
        <w:rFonts w:hint="default"/>
      </w:rPr>
    </w:lvl>
    <w:lvl w:ilvl="7">
      <w:start w:val="1"/>
      <w:numFmt w:val="lowerLetter"/>
      <w:lvlText w:val="%8."/>
      <w:lvlJc w:val="left"/>
      <w:pPr>
        <w:ind w:left="2028" w:hanging="360"/>
      </w:pPr>
      <w:rPr>
        <w:rFonts w:hint="default"/>
      </w:rPr>
    </w:lvl>
    <w:lvl w:ilvl="8">
      <w:start w:val="1"/>
      <w:numFmt w:val="lowerRoman"/>
      <w:lvlText w:val="%9."/>
      <w:lvlJc w:val="left"/>
      <w:pPr>
        <w:ind w:left="2388" w:hanging="360"/>
      </w:pPr>
      <w:rPr>
        <w:rFonts w:hint="default"/>
      </w:rPr>
    </w:lvl>
  </w:abstractNum>
  <w:abstractNum w:abstractNumId="5" w15:restartNumberingAfterBreak="0">
    <w:nsid w:val="2329068A"/>
    <w:multiLevelType w:val="multilevel"/>
    <w:tmpl w:val="221AC4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6238A1"/>
    <w:multiLevelType w:val="hybridMultilevel"/>
    <w:tmpl w:val="8CEA92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8C01ECB"/>
    <w:multiLevelType w:val="multilevel"/>
    <w:tmpl w:val="8CFAFAA2"/>
    <w:lvl w:ilvl="0">
      <w:start w:val="1"/>
      <w:numFmt w:val="ideographDigital"/>
      <w:lvlText w:val=""/>
      <w:lvlJc w:val="left"/>
      <w:pPr>
        <w:ind w:left="0" w:firstLine="0"/>
      </w:pPr>
    </w:lvl>
    <w:lvl w:ilvl="1">
      <w:start w:val="1"/>
      <w:numFmt w:val="lowerLetter"/>
      <w:lvlText w:val=""/>
      <w:lvlJc w:val="left"/>
      <w:pPr>
        <w:ind w:left="0" w:firstLine="0"/>
      </w:pPr>
    </w:lvl>
    <w:lvl w:ilvl="2">
      <w:start w:val="1"/>
      <w:numFmt w:val="lowerRoman"/>
      <w:lvlText w:val="%1"/>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268704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5F39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6D520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331BF9"/>
    <w:multiLevelType w:val="hybridMultilevel"/>
    <w:tmpl w:val="A4246BFE"/>
    <w:lvl w:ilvl="0" w:tplc="283E5878">
      <w:start w:val="5"/>
      <w:numFmt w:val="decimal"/>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5718E0"/>
    <w:multiLevelType w:val="hybridMultilevel"/>
    <w:tmpl w:val="FDC63D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48E1A3B"/>
    <w:multiLevelType w:val="hybridMultilevel"/>
    <w:tmpl w:val="E3BC34A8"/>
    <w:lvl w:ilvl="0" w:tplc="283E5878">
      <w:start w:val="5"/>
      <w:numFmt w:val="decimal"/>
      <w:lvlText w:val="%1."/>
      <w:lvlJc w:val="left"/>
      <w:pPr>
        <w:ind w:left="3600" w:hanging="360"/>
      </w:pPr>
      <w:rPr>
        <w:rFonts w:hint="default"/>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5C1E227A"/>
    <w:multiLevelType w:val="hybridMultilevel"/>
    <w:tmpl w:val="89D2DDD4"/>
    <w:lvl w:ilvl="0" w:tplc="88C68666">
      <w:start w:val="1"/>
      <w:numFmt w:val="decimal"/>
      <w:lvlText w:val="%1)"/>
      <w:lvlJc w:val="left"/>
      <w:pPr>
        <w:ind w:left="2865" w:hanging="360"/>
      </w:pPr>
      <w:rPr>
        <w:rFonts w:hint="default"/>
        <w:color w:val="auto"/>
      </w:rPr>
    </w:lvl>
    <w:lvl w:ilvl="1" w:tplc="08090019">
      <w:start w:val="1"/>
      <w:numFmt w:val="lowerLetter"/>
      <w:lvlText w:val="%2."/>
      <w:lvlJc w:val="left"/>
      <w:pPr>
        <w:ind w:left="3585" w:hanging="360"/>
      </w:pPr>
    </w:lvl>
    <w:lvl w:ilvl="2" w:tplc="0809001B" w:tentative="1">
      <w:start w:val="1"/>
      <w:numFmt w:val="lowerRoman"/>
      <w:lvlText w:val="%3."/>
      <w:lvlJc w:val="right"/>
      <w:pPr>
        <w:ind w:left="4305" w:hanging="180"/>
      </w:pPr>
    </w:lvl>
    <w:lvl w:ilvl="3" w:tplc="0809000F" w:tentative="1">
      <w:start w:val="1"/>
      <w:numFmt w:val="decimal"/>
      <w:lvlText w:val="%4."/>
      <w:lvlJc w:val="left"/>
      <w:pPr>
        <w:ind w:left="5025" w:hanging="360"/>
      </w:pPr>
    </w:lvl>
    <w:lvl w:ilvl="4" w:tplc="08090019" w:tentative="1">
      <w:start w:val="1"/>
      <w:numFmt w:val="lowerLetter"/>
      <w:lvlText w:val="%5."/>
      <w:lvlJc w:val="left"/>
      <w:pPr>
        <w:ind w:left="5745" w:hanging="360"/>
      </w:pPr>
    </w:lvl>
    <w:lvl w:ilvl="5" w:tplc="0809001B" w:tentative="1">
      <w:start w:val="1"/>
      <w:numFmt w:val="lowerRoman"/>
      <w:lvlText w:val="%6."/>
      <w:lvlJc w:val="right"/>
      <w:pPr>
        <w:ind w:left="6465" w:hanging="180"/>
      </w:pPr>
    </w:lvl>
    <w:lvl w:ilvl="6" w:tplc="0809000F" w:tentative="1">
      <w:start w:val="1"/>
      <w:numFmt w:val="decimal"/>
      <w:lvlText w:val="%7."/>
      <w:lvlJc w:val="left"/>
      <w:pPr>
        <w:ind w:left="7185" w:hanging="360"/>
      </w:pPr>
    </w:lvl>
    <w:lvl w:ilvl="7" w:tplc="08090019" w:tentative="1">
      <w:start w:val="1"/>
      <w:numFmt w:val="lowerLetter"/>
      <w:lvlText w:val="%8."/>
      <w:lvlJc w:val="left"/>
      <w:pPr>
        <w:ind w:left="7905" w:hanging="360"/>
      </w:pPr>
    </w:lvl>
    <w:lvl w:ilvl="8" w:tplc="0809001B" w:tentative="1">
      <w:start w:val="1"/>
      <w:numFmt w:val="lowerRoman"/>
      <w:lvlText w:val="%9."/>
      <w:lvlJc w:val="right"/>
      <w:pPr>
        <w:ind w:left="8625" w:hanging="180"/>
      </w:pPr>
    </w:lvl>
  </w:abstractNum>
  <w:abstractNum w:abstractNumId="15" w15:restartNumberingAfterBreak="0">
    <w:nsid w:val="5D4C74AB"/>
    <w:multiLevelType w:val="hybridMultilevel"/>
    <w:tmpl w:val="298ADEF8"/>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6"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7" w15:restartNumberingAfterBreak="0">
    <w:nsid w:val="630206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9520A1"/>
    <w:multiLevelType w:val="multilevel"/>
    <w:tmpl w:val="11A2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DE0EC8"/>
    <w:multiLevelType w:val="multilevel"/>
    <w:tmpl w:val="711E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3D4BD2"/>
    <w:multiLevelType w:val="multilevel"/>
    <w:tmpl w:val="FEE6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E856F9"/>
    <w:multiLevelType w:val="hybridMultilevel"/>
    <w:tmpl w:val="B754BC40"/>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75D70B9F"/>
    <w:multiLevelType w:val="multilevel"/>
    <w:tmpl w:val="B77CC52A"/>
    <w:lvl w:ilvl="0">
      <w:start w:val="1"/>
      <w:numFmt w:val="decimal"/>
      <w:pStyle w:val="ParaLevel1"/>
      <w:lvlText w:val="%1."/>
      <w:lvlJc w:val="left"/>
      <w:pPr>
        <w:tabs>
          <w:tab w:val="num" w:pos="720"/>
        </w:tabs>
        <w:ind w:left="720" w:hanging="720"/>
      </w:pPr>
      <w:rPr>
        <w:rFonts w:hint="default"/>
        <w:b w:val="0"/>
        <w:i w:val="0"/>
        <w:color w:val="000000" w:themeColor="text1"/>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23" w15:restartNumberingAfterBreak="0">
    <w:nsid w:val="7AFD1C38"/>
    <w:multiLevelType w:val="hybridMultilevel"/>
    <w:tmpl w:val="F1EEFBBA"/>
    <w:lvl w:ilvl="0" w:tplc="C652C0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B361E25"/>
    <w:multiLevelType w:val="multilevel"/>
    <w:tmpl w:val="58C2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16"/>
  </w:num>
  <w:num w:numId="11">
    <w:abstractNumId w:val="23"/>
  </w:num>
  <w:num w:numId="12">
    <w:abstractNumId w:val="14"/>
  </w:num>
  <w:num w:numId="13">
    <w:abstractNumId w:val="19"/>
  </w:num>
  <w:num w:numId="14">
    <w:abstractNumId w:val="21"/>
  </w:num>
  <w:num w:numId="15">
    <w:abstractNumId w:val="24"/>
  </w:num>
  <w:num w:numId="16">
    <w:abstractNumId w:val="20"/>
  </w:num>
  <w:num w:numId="17">
    <w:abstractNumId w:val="18"/>
  </w:num>
  <w:num w:numId="18">
    <w:abstractNumId w:val="6"/>
  </w:num>
  <w:num w:numId="19">
    <w:abstractNumId w:val="12"/>
  </w:num>
  <w:num w:numId="20">
    <w:abstractNumId w:val="2"/>
  </w:num>
  <w:num w:numId="21">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
  </w:num>
  <w:num w:numId="24">
    <w:abstractNumId w:val="15"/>
  </w:num>
  <w:num w:numId="25">
    <w:abstractNumId w:val="11"/>
  </w:num>
  <w:num w:numId="26">
    <w:abstractNumId w:val="13"/>
  </w:num>
  <w:num w:numId="27">
    <w:abstractNumId w:val="8"/>
  </w:num>
  <w:num w:numId="28">
    <w:abstractNumId w:val="5"/>
  </w:num>
  <w:num w:numId="29">
    <w:abstractNumId w:val="4"/>
  </w:num>
  <w:num w:numId="30">
    <w:abstractNumId w:val="10"/>
  </w:num>
  <w:num w:numId="31">
    <w:abstractNumId w:val="0"/>
  </w:num>
  <w:num w:numId="32">
    <w:abstractNumId w:val="17"/>
  </w:num>
  <w:num w:numId="33">
    <w:abstractNumId w:val="9"/>
  </w:num>
  <w:num w:numId="34">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E5"/>
    <w:rsid w:val="00010CE4"/>
    <w:rsid w:val="00014E01"/>
    <w:rsid w:val="000224DC"/>
    <w:rsid w:val="00024077"/>
    <w:rsid w:val="000301A0"/>
    <w:rsid w:val="00035F15"/>
    <w:rsid w:val="00042D4C"/>
    <w:rsid w:val="0004467F"/>
    <w:rsid w:val="00050A9B"/>
    <w:rsid w:val="00051C55"/>
    <w:rsid w:val="00052528"/>
    <w:rsid w:val="00056B52"/>
    <w:rsid w:val="00061EB7"/>
    <w:rsid w:val="00063005"/>
    <w:rsid w:val="00064CFD"/>
    <w:rsid w:val="00065F88"/>
    <w:rsid w:val="00092258"/>
    <w:rsid w:val="00092B0E"/>
    <w:rsid w:val="000A12E2"/>
    <w:rsid w:val="000A421E"/>
    <w:rsid w:val="000A6825"/>
    <w:rsid w:val="000C67DE"/>
    <w:rsid w:val="000D0824"/>
    <w:rsid w:val="000D1FE5"/>
    <w:rsid w:val="000D2720"/>
    <w:rsid w:val="000D3E77"/>
    <w:rsid w:val="000E0EDE"/>
    <w:rsid w:val="000E1C1C"/>
    <w:rsid w:val="000E6279"/>
    <w:rsid w:val="000F550A"/>
    <w:rsid w:val="000F5D5F"/>
    <w:rsid w:val="000F7224"/>
    <w:rsid w:val="00104DC4"/>
    <w:rsid w:val="00113595"/>
    <w:rsid w:val="001136F2"/>
    <w:rsid w:val="00113E0A"/>
    <w:rsid w:val="0011636F"/>
    <w:rsid w:val="001171FB"/>
    <w:rsid w:val="0012777B"/>
    <w:rsid w:val="00131A50"/>
    <w:rsid w:val="00134476"/>
    <w:rsid w:val="00136579"/>
    <w:rsid w:val="0014029F"/>
    <w:rsid w:val="00140330"/>
    <w:rsid w:val="00140443"/>
    <w:rsid w:val="001412C4"/>
    <w:rsid w:val="001439E9"/>
    <w:rsid w:val="00146472"/>
    <w:rsid w:val="00151080"/>
    <w:rsid w:val="00151939"/>
    <w:rsid w:val="00154E19"/>
    <w:rsid w:val="00165ABE"/>
    <w:rsid w:val="00165E5F"/>
    <w:rsid w:val="00167A3E"/>
    <w:rsid w:val="00173E75"/>
    <w:rsid w:val="0017612E"/>
    <w:rsid w:val="00177281"/>
    <w:rsid w:val="0018297D"/>
    <w:rsid w:val="0018752E"/>
    <w:rsid w:val="001938CC"/>
    <w:rsid w:val="001939D3"/>
    <w:rsid w:val="001A1E01"/>
    <w:rsid w:val="001A7EEC"/>
    <w:rsid w:val="001C5F76"/>
    <w:rsid w:val="001D4A1A"/>
    <w:rsid w:val="00201AC1"/>
    <w:rsid w:val="002213DD"/>
    <w:rsid w:val="002225D8"/>
    <w:rsid w:val="0023409A"/>
    <w:rsid w:val="0024105A"/>
    <w:rsid w:val="00241F84"/>
    <w:rsid w:val="00244797"/>
    <w:rsid w:val="00244E18"/>
    <w:rsid w:val="00261FB4"/>
    <w:rsid w:val="00265398"/>
    <w:rsid w:val="002743C3"/>
    <w:rsid w:val="00274755"/>
    <w:rsid w:val="00274DFA"/>
    <w:rsid w:val="00281BCC"/>
    <w:rsid w:val="002821DB"/>
    <w:rsid w:val="00283C7C"/>
    <w:rsid w:val="002942B6"/>
    <w:rsid w:val="002A020C"/>
    <w:rsid w:val="002A23A3"/>
    <w:rsid w:val="002A3527"/>
    <w:rsid w:val="002A6256"/>
    <w:rsid w:val="002B1855"/>
    <w:rsid w:val="002B428F"/>
    <w:rsid w:val="002D1644"/>
    <w:rsid w:val="002D3DFA"/>
    <w:rsid w:val="002D47E9"/>
    <w:rsid w:val="002E0F9B"/>
    <w:rsid w:val="002E63E8"/>
    <w:rsid w:val="002F79A0"/>
    <w:rsid w:val="003001E4"/>
    <w:rsid w:val="0030134B"/>
    <w:rsid w:val="003015C5"/>
    <w:rsid w:val="00302901"/>
    <w:rsid w:val="00307BDF"/>
    <w:rsid w:val="003123E6"/>
    <w:rsid w:val="00316F6B"/>
    <w:rsid w:val="00326B8D"/>
    <w:rsid w:val="00327136"/>
    <w:rsid w:val="003305BF"/>
    <w:rsid w:val="00335575"/>
    <w:rsid w:val="003361BB"/>
    <w:rsid w:val="00337662"/>
    <w:rsid w:val="00341605"/>
    <w:rsid w:val="003440CF"/>
    <w:rsid w:val="003562AD"/>
    <w:rsid w:val="00360439"/>
    <w:rsid w:val="0036121E"/>
    <w:rsid w:val="00364801"/>
    <w:rsid w:val="00371D5B"/>
    <w:rsid w:val="00373A77"/>
    <w:rsid w:val="003803E8"/>
    <w:rsid w:val="003826C1"/>
    <w:rsid w:val="00384F9E"/>
    <w:rsid w:val="0038719E"/>
    <w:rsid w:val="00394CDA"/>
    <w:rsid w:val="003957DC"/>
    <w:rsid w:val="0039675C"/>
    <w:rsid w:val="003A0545"/>
    <w:rsid w:val="003A700F"/>
    <w:rsid w:val="003B3B51"/>
    <w:rsid w:val="003C1E9B"/>
    <w:rsid w:val="003C2DD7"/>
    <w:rsid w:val="003E36FF"/>
    <w:rsid w:val="003E7634"/>
    <w:rsid w:val="003F5248"/>
    <w:rsid w:val="0040176B"/>
    <w:rsid w:val="00406041"/>
    <w:rsid w:val="00407E66"/>
    <w:rsid w:val="00422E69"/>
    <w:rsid w:val="00431A22"/>
    <w:rsid w:val="004468FE"/>
    <w:rsid w:val="004517E6"/>
    <w:rsid w:val="004537DE"/>
    <w:rsid w:val="0045448B"/>
    <w:rsid w:val="004567B5"/>
    <w:rsid w:val="00460458"/>
    <w:rsid w:val="00462006"/>
    <w:rsid w:val="00475E2D"/>
    <w:rsid w:val="004B06AE"/>
    <w:rsid w:val="004B1097"/>
    <w:rsid w:val="004C027E"/>
    <w:rsid w:val="004C2538"/>
    <w:rsid w:val="004C2E97"/>
    <w:rsid w:val="004D2963"/>
    <w:rsid w:val="004D3333"/>
    <w:rsid w:val="004D3D54"/>
    <w:rsid w:val="004E1CE7"/>
    <w:rsid w:val="004E69F8"/>
    <w:rsid w:val="004F10B7"/>
    <w:rsid w:val="004F231B"/>
    <w:rsid w:val="004F67C1"/>
    <w:rsid w:val="0050472E"/>
    <w:rsid w:val="00505B8A"/>
    <w:rsid w:val="00507AA4"/>
    <w:rsid w:val="00507E0A"/>
    <w:rsid w:val="005101AF"/>
    <w:rsid w:val="005127C0"/>
    <w:rsid w:val="00512C81"/>
    <w:rsid w:val="0052519D"/>
    <w:rsid w:val="005306C7"/>
    <w:rsid w:val="00531B90"/>
    <w:rsid w:val="00535F26"/>
    <w:rsid w:val="00541430"/>
    <w:rsid w:val="005431FF"/>
    <w:rsid w:val="00550938"/>
    <w:rsid w:val="00556C75"/>
    <w:rsid w:val="0056388C"/>
    <w:rsid w:val="0056636E"/>
    <w:rsid w:val="00567C35"/>
    <w:rsid w:val="00577821"/>
    <w:rsid w:val="00582EE6"/>
    <w:rsid w:val="005835DC"/>
    <w:rsid w:val="00583785"/>
    <w:rsid w:val="00592618"/>
    <w:rsid w:val="00594CE4"/>
    <w:rsid w:val="005A1234"/>
    <w:rsid w:val="005B0592"/>
    <w:rsid w:val="005B0632"/>
    <w:rsid w:val="005B59F3"/>
    <w:rsid w:val="005B7FF4"/>
    <w:rsid w:val="005C1D94"/>
    <w:rsid w:val="005C1DA2"/>
    <w:rsid w:val="005D0FE3"/>
    <w:rsid w:val="005D4B13"/>
    <w:rsid w:val="005D6930"/>
    <w:rsid w:val="005D76E2"/>
    <w:rsid w:val="005E2342"/>
    <w:rsid w:val="005E4DA7"/>
    <w:rsid w:val="005F06FA"/>
    <w:rsid w:val="005F73B6"/>
    <w:rsid w:val="00605A07"/>
    <w:rsid w:val="00611697"/>
    <w:rsid w:val="006221A9"/>
    <w:rsid w:val="00630783"/>
    <w:rsid w:val="00635360"/>
    <w:rsid w:val="006353EF"/>
    <w:rsid w:val="006358F4"/>
    <w:rsid w:val="00636629"/>
    <w:rsid w:val="0064601E"/>
    <w:rsid w:val="006522E7"/>
    <w:rsid w:val="00652A9B"/>
    <w:rsid w:val="00653DA0"/>
    <w:rsid w:val="00655059"/>
    <w:rsid w:val="00655F5E"/>
    <w:rsid w:val="00664169"/>
    <w:rsid w:val="00664734"/>
    <w:rsid w:val="00674740"/>
    <w:rsid w:val="00691FCC"/>
    <w:rsid w:val="0069637B"/>
    <w:rsid w:val="006A04A8"/>
    <w:rsid w:val="006A1702"/>
    <w:rsid w:val="006A1887"/>
    <w:rsid w:val="006A6714"/>
    <w:rsid w:val="006A7E2A"/>
    <w:rsid w:val="006B1035"/>
    <w:rsid w:val="006B1CC3"/>
    <w:rsid w:val="006B1D8E"/>
    <w:rsid w:val="006B3DFB"/>
    <w:rsid w:val="006C09B8"/>
    <w:rsid w:val="006C59CD"/>
    <w:rsid w:val="006C653C"/>
    <w:rsid w:val="006C6F46"/>
    <w:rsid w:val="006D0321"/>
    <w:rsid w:val="006D1147"/>
    <w:rsid w:val="006D28AA"/>
    <w:rsid w:val="006D3C66"/>
    <w:rsid w:val="006D5523"/>
    <w:rsid w:val="006D5FF3"/>
    <w:rsid w:val="006D77F8"/>
    <w:rsid w:val="006E69D5"/>
    <w:rsid w:val="006F09FC"/>
    <w:rsid w:val="006F4FF2"/>
    <w:rsid w:val="00705C9D"/>
    <w:rsid w:val="007077A1"/>
    <w:rsid w:val="007108FF"/>
    <w:rsid w:val="0071198F"/>
    <w:rsid w:val="007249AE"/>
    <w:rsid w:val="00725287"/>
    <w:rsid w:val="0073349F"/>
    <w:rsid w:val="00734D64"/>
    <w:rsid w:val="007405D5"/>
    <w:rsid w:val="007416EE"/>
    <w:rsid w:val="00745647"/>
    <w:rsid w:val="00753B07"/>
    <w:rsid w:val="00754487"/>
    <w:rsid w:val="00755B56"/>
    <w:rsid w:val="007626B4"/>
    <w:rsid w:val="00764B61"/>
    <w:rsid w:val="007669A0"/>
    <w:rsid w:val="00766DB9"/>
    <w:rsid w:val="00771CBB"/>
    <w:rsid w:val="00781968"/>
    <w:rsid w:val="00782717"/>
    <w:rsid w:val="00782DAB"/>
    <w:rsid w:val="00784B40"/>
    <w:rsid w:val="0079183F"/>
    <w:rsid w:val="00792A85"/>
    <w:rsid w:val="007A1F74"/>
    <w:rsid w:val="007A2E0D"/>
    <w:rsid w:val="007B7F50"/>
    <w:rsid w:val="007C3B1E"/>
    <w:rsid w:val="007D18DF"/>
    <w:rsid w:val="007D6656"/>
    <w:rsid w:val="007E1B9F"/>
    <w:rsid w:val="007E1BAC"/>
    <w:rsid w:val="007E4160"/>
    <w:rsid w:val="007E41EA"/>
    <w:rsid w:val="007F3A77"/>
    <w:rsid w:val="008138AE"/>
    <w:rsid w:val="0081780F"/>
    <w:rsid w:val="00820F51"/>
    <w:rsid w:val="00830103"/>
    <w:rsid w:val="00840183"/>
    <w:rsid w:val="00840841"/>
    <w:rsid w:val="00841F50"/>
    <w:rsid w:val="00845A2D"/>
    <w:rsid w:val="0085374E"/>
    <w:rsid w:val="008547B1"/>
    <w:rsid w:val="00856443"/>
    <w:rsid w:val="00861A7A"/>
    <w:rsid w:val="00865494"/>
    <w:rsid w:val="008667D1"/>
    <w:rsid w:val="00871A85"/>
    <w:rsid w:val="00874141"/>
    <w:rsid w:val="00874893"/>
    <w:rsid w:val="00875E44"/>
    <w:rsid w:val="00883F38"/>
    <w:rsid w:val="00884063"/>
    <w:rsid w:val="00896936"/>
    <w:rsid w:val="00896F38"/>
    <w:rsid w:val="008A3F19"/>
    <w:rsid w:val="008A4463"/>
    <w:rsid w:val="008B649E"/>
    <w:rsid w:val="008C488F"/>
    <w:rsid w:val="008D2261"/>
    <w:rsid w:val="008D30DE"/>
    <w:rsid w:val="008E047A"/>
    <w:rsid w:val="008E3124"/>
    <w:rsid w:val="008F16A1"/>
    <w:rsid w:val="008F3FAA"/>
    <w:rsid w:val="008F5A4B"/>
    <w:rsid w:val="008F6632"/>
    <w:rsid w:val="008F7DCB"/>
    <w:rsid w:val="0090213F"/>
    <w:rsid w:val="00905202"/>
    <w:rsid w:val="00905932"/>
    <w:rsid w:val="00913323"/>
    <w:rsid w:val="00926900"/>
    <w:rsid w:val="00934122"/>
    <w:rsid w:val="00937B48"/>
    <w:rsid w:val="0094117C"/>
    <w:rsid w:val="009432F5"/>
    <w:rsid w:val="009447F2"/>
    <w:rsid w:val="00947138"/>
    <w:rsid w:val="00954E4C"/>
    <w:rsid w:val="00960E3C"/>
    <w:rsid w:val="009679D1"/>
    <w:rsid w:val="00970CF7"/>
    <w:rsid w:val="009743B9"/>
    <w:rsid w:val="00974E6A"/>
    <w:rsid w:val="009770C8"/>
    <w:rsid w:val="00980EBF"/>
    <w:rsid w:val="00981D6D"/>
    <w:rsid w:val="00982986"/>
    <w:rsid w:val="009924D2"/>
    <w:rsid w:val="009A3776"/>
    <w:rsid w:val="009B4266"/>
    <w:rsid w:val="009B72E1"/>
    <w:rsid w:val="009C1B37"/>
    <w:rsid w:val="009C5DBC"/>
    <w:rsid w:val="009D00C8"/>
    <w:rsid w:val="009D10A2"/>
    <w:rsid w:val="009D3CDD"/>
    <w:rsid w:val="009E30E7"/>
    <w:rsid w:val="009E6040"/>
    <w:rsid w:val="009E6D38"/>
    <w:rsid w:val="009E79E1"/>
    <w:rsid w:val="009F17C2"/>
    <w:rsid w:val="009F31CF"/>
    <w:rsid w:val="009F4103"/>
    <w:rsid w:val="00A04786"/>
    <w:rsid w:val="00A0479B"/>
    <w:rsid w:val="00A048A5"/>
    <w:rsid w:val="00A10F24"/>
    <w:rsid w:val="00A20925"/>
    <w:rsid w:val="00A229E4"/>
    <w:rsid w:val="00A25A2F"/>
    <w:rsid w:val="00A334AA"/>
    <w:rsid w:val="00A37FA7"/>
    <w:rsid w:val="00A47C2A"/>
    <w:rsid w:val="00A529D6"/>
    <w:rsid w:val="00A53AA9"/>
    <w:rsid w:val="00A54FB9"/>
    <w:rsid w:val="00A552B7"/>
    <w:rsid w:val="00A61824"/>
    <w:rsid w:val="00A629FB"/>
    <w:rsid w:val="00A6475F"/>
    <w:rsid w:val="00A6501D"/>
    <w:rsid w:val="00A76D93"/>
    <w:rsid w:val="00A81E16"/>
    <w:rsid w:val="00A85790"/>
    <w:rsid w:val="00A878C8"/>
    <w:rsid w:val="00A922BC"/>
    <w:rsid w:val="00A92C6D"/>
    <w:rsid w:val="00A96539"/>
    <w:rsid w:val="00AB7978"/>
    <w:rsid w:val="00AC2B11"/>
    <w:rsid w:val="00AE0AD2"/>
    <w:rsid w:val="00AF0084"/>
    <w:rsid w:val="00AF24CE"/>
    <w:rsid w:val="00B033CF"/>
    <w:rsid w:val="00B149DD"/>
    <w:rsid w:val="00B2584E"/>
    <w:rsid w:val="00B30E92"/>
    <w:rsid w:val="00B3156E"/>
    <w:rsid w:val="00B33E11"/>
    <w:rsid w:val="00B45BF0"/>
    <w:rsid w:val="00B65F6E"/>
    <w:rsid w:val="00B77C34"/>
    <w:rsid w:val="00B81EF1"/>
    <w:rsid w:val="00B90D59"/>
    <w:rsid w:val="00B91DAF"/>
    <w:rsid w:val="00B94C0F"/>
    <w:rsid w:val="00B9711E"/>
    <w:rsid w:val="00BA7095"/>
    <w:rsid w:val="00BB13F6"/>
    <w:rsid w:val="00BB26E5"/>
    <w:rsid w:val="00BB2D04"/>
    <w:rsid w:val="00BB3751"/>
    <w:rsid w:val="00BB53AD"/>
    <w:rsid w:val="00BC0742"/>
    <w:rsid w:val="00BC2AA5"/>
    <w:rsid w:val="00BC6C93"/>
    <w:rsid w:val="00BD0D88"/>
    <w:rsid w:val="00BD128D"/>
    <w:rsid w:val="00BD5D6E"/>
    <w:rsid w:val="00BE6F01"/>
    <w:rsid w:val="00BE727E"/>
    <w:rsid w:val="00BE7552"/>
    <w:rsid w:val="00BF16EB"/>
    <w:rsid w:val="00BF26C5"/>
    <w:rsid w:val="00BF7E59"/>
    <w:rsid w:val="00C035CE"/>
    <w:rsid w:val="00C117D2"/>
    <w:rsid w:val="00C12663"/>
    <w:rsid w:val="00C1560E"/>
    <w:rsid w:val="00C24F13"/>
    <w:rsid w:val="00C3106B"/>
    <w:rsid w:val="00C428C5"/>
    <w:rsid w:val="00C5078D"/>
    <w:rsid w:val="00C56B9B"/>
    <w:rsid w:val="00C72DDB"/>
    <w:rsid w:val="00C746F6"/>
    <w:rsid w:val="00C7553E"/>
    <w:rsid w:val="00C813DC"/>
    <w:rsid w:val="00C843F8"/>
    <w:rsid w:val="00C8485A"/>
    <w:rsid w:val="00C855BB"/>
    <w:rsid w:val="00C93A97"/>
    <w:rsid w:val="00C978C3"/>
    <w:rsid w:val="00C97DEA"/>
    <w:rsid w:val="00CA01A3"/>
    <w:rsid w:val="00CC5299"/>
    <w:rsid w:val="00CC616D"/>
    <w:rsid w:val="00CC7F1E"/>
    <w:rsid w:val="00CD0840"/>
    <w:rsid w:val="00CD238F"/>
    <w:rsid w:val="00CF455F"/>
    <w:rsid w:val="00CF6E90"/>
    <w:rsid w:val="00D00F94"/>
    <w:rsid w:val="00D2165E"/>
    <w:rsid w:val="00D22D74"/>
    <w:rsid w:val="00D23EB9"/>
    <w:rsid w:val="00D4016C"/>
    <w:rsid w:val="00D41960"/>
    <w:rsid w:val="00D50780"/>
    <w:rsid w:val="00D52323"/>
    <w:rsid w:val="00D53D8F"/>
    <w:rsid w:val="00D635B5"/>
    <w:rsid w:val="00D64881"/>
    <w:rsid w:val="00D709B2"/>
    <w:rsid w:val="00D91B61"/>
    <w:rsid w:val="00DB466D"/>
    <w:rsid w:val="00DD20DC"/>
    <w:rsid w:val="00DD3CD9"/>
    <w:rsid w:val="00DE0500"/>
    <w:rsid w:val="00DE4652"/>
    <w:rsid w:val="00DE468F"/>
    <w:rsid w:val="00DF5095"/>
    <w:rsid w:val="00E01F3E"/>
    <w:rsid w:val="00E02A8A"/>
    <w:rsid w:val="00E23790"/>
    <w:rsid w:val="00E46C9D"/>
    <w:rsid w:val="00E50087"/>
    <w:rsid w:val="00E549E8"/>
    <w:rsid w:val="00E56877"/>
    <w:rsid w:val="00E600BE"/>
    <w:rsid w:val="00E60C1C"/>
    <w:rsid w:val="00E61691"/>
    <w:rsid w:val="00E8264B"/>
    <w:rsid w:val="00E9428E"/>
    <w:rsid w:val="00EA125D"/>
    <w:rsid w:val="00EA24A7"/>
    <w:rsid w:val="00EA56EA"/>
    <w:rsid w:val="00EA603B"/>
    <w:rsid w:val="00EC13E4"/>
    <w:rsid w:val="00EC1CDF"/>
    <w:rsid w:val="00ED3EE3"/>
    <w:rsid w:val="00ED6B24"/>
    <w:rsid w:val="00EE2E85"/>
    <w:rsid w:val="00EE3CAF"/>
    <w:rsid w:val="00EE5A97"/>
    <w:rsid w:val="00EE5C5C"/>
    <w:rsid w:val="00EE717F"/>
    <w:rsid w:val="00F050E5"/>
    <w:rsid w:val="00F05C9C"/>
    <w:rsid w:val="00F16BA7"/>
    <w:rsid w:val="00F42257"/>
    <w:rsid w:val="00F45B8B"/>
    <w:rsid w:val="00F55468"/>
    <w:rsid w:val="00F64990"/>
    <w:rsid w:val="00F71C48"/>
    <w:rsid w:val="00F7308F"/>
    <w:rsid w:val="00F76616"/>
    <w:rsid w:val="00F94B5B"/>
    <w:rsid w:val="00FA1AEB"/>
    <w:rsid w:val="00FB042B"/>
    <w:rsid w:val="00FB256C"/>
    <w:rsid w:val="00FB367F"/>
    <w:rsid w:val="00FC2F48"/>
    <w:rsid w:val="00FD6264"/>
    <w:rsid w:val="00FE2E42"/>
    <w:rsid w:val="00FE35D7"/>
    <w:rsid w:val="00FE368E"/>
    <w:rsid w:val="00FE712B"/>
    <w:rsid w:val="00FF01A4"/>
    <w:rsid w:val="00FF56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31EA6"/>
  <w15:chartTrackingRefBased/>
  <w15:docId w15:val="{C2C25B43-C3C7-4F36-850F-32541532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0D1FE5"/>
    <w:pPr>
      <w:keepNext/>
      <w:keepLines/>
      <w:spacing w:before="40"/>
      <w:outlineLvl w:val="1"/>
    </w:pPr>
    <w:rPr>
      <w:rFonts w:ascii="Calibri Light" w:eastAsia="DengXian Light" w:hAnsi="Calibri Light"/>
      <w:color w:val="2F5496"/>
      <w:sz w:val="26"/>
      <w:szCs w:val="26"/>
      <w:lang w:eastAsia="zh-CN"/>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0D1FE5"/>
    <w:pPr>
      <w:keepNext/>
      <w:keepLines/>
      <w:spacing w:before="40"/>
      <w:outlineLvl w:val="3"/>
    </w:pPr>
    <w:rPr>
      <w:rFonts w:ascii="Calibri Light" w:eastAsia="DengXian Light" w:hAnsi="Calibri Light"/>
      <w:i/>
      <w:iCs/>
      <w:color w:val="2F549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Heading2Char">
    <w:name w:val="Heading 2 Char"/>
    <w:link w:val="Heading2"/>
    <w:semiHidden/>
    <w:rsid w:val="000D1FE5"/>
    <w:rPr>
      <w:rFonts w:ascii="Calibri Light" w:eastAsia="DengXian Light" w:hAnsi="Calibri Light"/>
      <w:color w:val="2F5496"/>
      <w:sz w:val="26"/>
      <w:szCs w:val="26"/>
      <w:lang w:eastAsia="zh-CN"/>
    </w:rPr>
  </w:style>
  <w:style w:type="paragraph" w:customStyle="1" w:styleId="eMailBlock">
    <w:name w:val="eMailBlock"/>
    <w:basedOn w:val="Title"/>
    <w:rPr>
      <w:sz w:val="26"/>
    </w:rPr>
  </w:style>
  <w:style w:type="character" w:customStyle="1" w:styleId="Heading4Char">
    <w:name w:val="Heading 4 Char"/>
    <w:link w:val="Heading4"/>
    <w:semiHidden/>
    <w:rsid w:val="000D1FE5"/>
    <w:rPr>
      <w:rFonts w:ascii="Calibri Light" w:eastAsia="DengXian Light" w:hAnsi="Calibri Light"/>
      <w:i/>
      <w:iCs/>
      <w:color w:val="2F5496"/>
      <w:sz w:val="24"/>
      <w:szCs w:val="24"/>
      <w:lang w:eastAsia="zh-CN"/>
    </w:rPr>
  </w:style>
  <w:style w:type="character" w:customStyle="1" w:styleId="st">
    <w:name w:val="st"/>
    <w:rsid w:val="000D1FE5"/>
  </w:style>
  <w:style w:type="paragraph" w:styleId="NormalWeb">
    <w:name w:val="Normal (Web)"/>
    <w:basedOn w:val="Normal"/>
    <w:uiPriority w:val="99"/>
    <w:unhideWhenUsed/>
    <w:rsid w:val="000D1FE5"/>
    <w:pPr>
      <w:spacing w:before="100" w:beforeAutospacing="1" w:after="100" w:afterAutospacing="1"/>
    </w:pPr>
    <w:rPr>
      <w:lang w:eastAsia="en-GB"/>
    </w:rPr>
  </w:style>
  <w:style w:type="character" w:customStyle="1" w:styleId="highlight">
    <w:name w:val="highlight"/>
    <w:rsid w:val="000D1FE5"/>
  </w:style>
  <w:style w:type="paragraph" w:styleId="BalloonText">
    <w:name w:val="Balloon Text"/>
    <w:basedOn w:val="Normal"/>
    <w:link w:val="BalloonTextChar"/>
    <w:unhideWhenUsed/>
    <w:rsid w:val="000D1FE5"/>
    <w:rPr>
      <w:rFonts w:ascii="Segoe UI" w:hAnsi="Segoe UI" w:cs="Segoe UI"/>
      <w:sz w:val="18"/>
      <w:szCs w:val="18"/>
      <w:lang w:eastAsia="zh-CN"/>
    </w:rPr>
  </w:style>
  <w:style w:type="character" w:customStyle="1" w:styleId="BalloonTextChar">
    <w:name w:val="Balloon Text Char"/>
    <w:link w:val="BalloonText"/>
    <w:rsid w:val="000D1FE5"/>
    <w:rPr>
      <w:rFonts w:ascii="Segoe UI" w:hAnsi="Segoe UI" w:cs="Segoe UI"/>
      <w:sz w:val="18"/>
      <w:szCs w:val="18"/>
      <w:lang w:eastAsia="zh-CN"/>
    </w:rPr>
  </w:style>
  <w:style w:type="character" w:customStyle="1" w:styleId="coitalic">
    <w:name w:val="co_italic"/>
    <w:rsid w:val="000D1FE5"/>
  </w:style>
  <w:style w:type="character" w:styleId="Hyperlink">
    <w:name w:val="Hyperlink"/>
    <w:uiPriority w:val="99"/>
    <w:unhideWhenUsed/>
    <w:rsid w:val="000D1FE5"/>
    <w:rPr>
      <w:color w:val="0000FF"/>
      <w:u w:val="single"/>
    </w:rPr>
  </w:style>
  <w:style w:type="character" w:styleId="CommentReference">
    <w:name w:val="annotation reference"/>
    <w:rsid w:val="000D1FE5"/>
    <w:rPr>
      <w:sz w:val="16"/>
      <w:szCs w:val="16"/>
    </w:rPr>
  </w:style>
  <w:style w:type="paragraph" w:styleId="CommentText">
    <w:name w:val="annotation text"/>
    <w:basedOn w:val="Normal"/>
    <w:link w:val="CommentTextChar"/>
    <w:rsid w:val="000D1FE5"/>
    <w:rPr>
      <w:sz w:val="20"/>
      <w:szCs w:val="20"/>
      <w:lang w:eastAsia="zh-CN"/>
    </w:rPr>
  </w:style>
  <w:style w:type="character" w:customStyle="1" w:styleId="CommentTextChar">
    <w:name w:val="Comment Text Char"/>
    <w:link w:val="CommentText"/>
    <w:rsid w:val="000D1FE5"/>
    <w:rPr>
      <w:lang w:eastAsia="zh-CN"/>
    </w:rPr>
  </w:style>
  <w:style w:type="paragraph" w:styleId="CommentSubject">
    <w:name w:val="annotation subject"/>
    <w:basedOn w:val="CommentText"/>
    <w:next w:val="CommentText"/>
    <w:link w:val="CommentSubjectChar"/>
    <w:rsid w:val="000D1FE5"/>
    <w:rPr>
      <w:b/>
      <w:bCs/>
    </w:rPr>
  </w:style>
  <w:style w:type="character" w:customStyle="1" w:styleId="CommentSubjectChar">
    <w:name w:val="Comment Subject Char"/>
    <w:link w:val="CommentSubject"/>
    <w:rsid w:val="000D1FE5"/>
    <w:rPr>
      <w:b/>
      <w:bCs/>
      <w:lang w:eastAsia="zh-CN"/>
    </w:rPr>
  </w:style>
  <w:style w:type="paragraph" w:styleId="FootnoteText">
    <w:name w:val="footnote text"/>
    <w:basedOn w:val="Normal"/>
    <w:link w:val="FootnoteTextChar"/>
    <w:rsid w:val="000D1FE5"/>
    <w:rPr>
      <w:sz w:val="20"/>
      <w:szCs w:val="20"/>
      <w:lang w:eastAsia="zh-CN"/>
    </w:rPr>
  </w:style>
  <w:style w:type="character" w:customStyle="1" w:styleId="FootnoteTextChar">
    <w:name w:val="Footnote Text Char"/>
    <w:link w:val="FootnoteText"/>
    <w:rsid w:val="000D1FE5"/>
    <w:rPr>
      <w:lang w:eastAsia="zh-CN"/>
    </w:rPr>
  </w:style>
  <w:style w:type="character" w:styleId="FootnoteReference">
    <w:name w:val="footnote reference"/>
    <w:rsid w:val="000D1FE5"/>
    <w:rPr>
      <w:vertAlign w:val="superscript"/>
    </w:rPr>
  </w:style>
  <w:style w:type="character" w:styleId="UnresolvedMention">
    <w:name w:val="Unresolved Mention"/>
    <w:uiPriority w:val="99"/>
    <w:semiHidden/>
    <w:unhideWhenUsed/>
    <w:rsid w:val="000D1FE5"/>
    <w:rPr>
      <w:color w:val="605E5C"/>
      <w:shd w:val="clear" w:color="auto" w:fill="E1DFDD"/>
    </w:rPr>
  </w:style>
  <w:style w:type="character" w:styleId="FollowedHyperlink">
    <w:name w:val="FollowedHyperlink"/>
    <w:rsid w:val="000D1FE5"/>
    <w:rPr>
      <w:color w:val="954F72"/>
      <w:u w:val="single"/>
    </w:rPr>
  </w:style>
  <w:style w:type="paragraph" w:styleId="Revision">
    <w:name w:val="Revision"/>
    <w:hidden/>
    <w:uiPriority w:val="99"/>
    <w:semiHidden/>
    <w:rsid w:val="000D1FE5"/>
    <w:rPr>
      <w:sz w:val="24"/>
      <w:szCs w:val="24"/>
      <w:lang w:eastAsia="zh-CN"/>
    </w:rPr>
  </w:style>
  <w:style w:type="paragraph" w:customStyle="1" w:styleId="paragraph">
    <w:name w:val="paragraph"/>
    <w:basedOn w:val="Normal"/>
    <w:rsid w:val="000D1FE5"/>
    <w:pPr>
      <w:spacing w:before="100" w:beforeAutospacing="1" w:after="100" w:afterAutospacing="1"/>
    </w:pPr>
    <w:rPr>
      <w:lang w:eastAsia="en-GB"/>
    </w:rPr>
  </w:style>
  <w:style w:type="character" w:customStyle="1" w:styleId="normaltextrun">
    <w:name w:val="normaltextrun"/>
    <w:rsid w:val="000D1FE5"/>
  </w:style>
  <w:style w:type="character" w:customStyle="1" w:styleId="eop">
    <w:name w:val="eop"/>
    <w:rsid w:val="000D1FE5"/>
  </w:style>
  <w:style w:type="paragraph" w:styleId="ListParagraph">
    <w:name w:val="List Paragraph"/>
    <w:basedOn w:val="Normal"/>
    <w:uiPriority w:val="34"/>
    <w:qFormat/>
    <w:rsid w:val="000F550A"/>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1939D3"/>
    <w:rPr>
      <w:rFonts w:asciiTheme="minorHAnsi" w:eastAsiaTheme="minorHAnsi" w:hAnsiTheme="minorHAnsi" w:cstheme="minorBid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39D3"/>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90881">
      <w:bodyDiv w:val="1"/>
      <w:marLeft w:val="0"/>
      <w:marRight w:val="0"/>
      <w:marTop w:val="0"/>
      <w:marBottom w:val="0"/>
      <w:divBdr>
        <w:top w:val="none" w:sz="0" w:space="0" w:color="auto"/>
        <w:left w:val="none" w:sz="0" w:space="0" w:color="auto"/>
        <w:bottom w:val="none" w:sz="0" w:space="0" w:color="auto"/>
        <w:right w:val="none" w:sz="0" w:space="0" w:color="auto"/>
      </w:divBdr>
    </w:div>
    <w:div w:id="681855697">
      <w:bodyDiv w:val="1"/>
      <w:marLeft w:val="0"/>
      <w:marRight w:val="0"/>
      <w:marTop w:val="0"/>
      <w:marBottom w:val="0"/>
      <w:divBdr>
        <w:top w:val="none" w:sz="0" w:space="0" w:color="auto"/>
        <w:left w:val="none" w:sz="0" w:space="0" w:color="auto"/>
        <w:bottom w:val="none" w:sz="0" w:space="0" w:color="auto"/>
        <w:right w:val="none" w:sz="0" w:space="0" w:color="auto"/>
      </w:divBdr>
      <w:divsChild>
        <w:div w:id="1801920425">
          <w:marLeft w:val="0"/>
          <w:marRight w:val="0"/>
          <w:marTop w:val="0"/>
          <w:marBottom w:val="0"/>
          <w:divBdr>
            <w:top w:val="none" w:sz="0" w:space="0" w:color="auto"/>
            <w:left w:val="none" w:sz="0" w:space="0" w:color="auto"/>
            <w:bottom w:val="none" w:sz="0" w:space="0" w:color="auto"/>
            <w:right w:val="none" w:sz="0" w:space="0" w:color="auto"/>
          </w:divBdr>
          <w:divsChild>
            <w:div w:id="328144213">
              <w:marLeft w:val="0"/>
              <w:marRight w:val="0"/>
              <w:marTop w:val="0"/>
              <w:marBottom w:val="0"/>
              <w:divBdr>
                <w:top w:val="none" w:sz="0" w:space="0" w:color="auto"/>
                <w:left w:val="none" w:sz="0" w:space="0" w:color="auto"/>
                <w:bottom w:val="none" w:sz="0" w:space="0" w:color="auto"/>
                <w:right w:val="none" w:sz="0" w:space="0" w:color="auto"/>
              </w:divBdr>
              <w:divsChild>
                <w:div w:id="1526748483">
                  <w:marLeft w:val="0"/>
                  <w:marRight w:val="0"/>
                  <w:marTop w:val="0"/>
                  <w:marBottom w:val="0"/>
                  <w:divBdr>
                    <w:top w:val="none" w:sz="0" w:space="0" w:color="auto"/>
                    <w:left w:val="none" w:sz="0" w:space="0" w:color="auto"/>
                    <w:bottom w:val="none" w:sz="0" w:space="0" w:color="auto"/>
                    <w:right w:val="none" w:sz="0" w:space="0" w:color="auto"/>
                  </w:divBdr>
                </w:div>
                <w:div w:id="385182021">
                  <w:marLeft w:val="0"/>
                  <w:marRight w:val="0"/>
                  <w:marTop w:val="0"/>
                  <w:marBottom w:val="0"/>
                  <w:divBdr>
                    <w:top w:val="none" w:sz="0" w:space="0" w:color="auto"/>
                    <w:left w:val="none" w:sz="0" w:space="0" w:color="auto"/>
                    <w:bottom w:val="none" w:sz="0" w:space="0" w:color="auto"/>
                    <w:right w:val="none" w:sz="0" w:space="0" w:color="auto"/>
                  </w:divBdr>
                </w:div>
              </w:divsChild>
            </w:div>
            <w:div w:id="1668440244">
              <w:marLeft w:val="0"/>
              <w:marRight w:val="0"/>
              <w:marTop w:val="0"/>
              <w:marBottom w:val="0"/>
              <w:divBdr>
                <w:top w:val="none" w:sz="0" w:space="0" w:color="auto"/>
                <w:left w:val="none" w:sz="0" w:space="0" w:color="auto"/>
                <w:bottom w:val="none" w:sz="0" w:space="0" w:color="auto"/>
                <w:right w:val="none" w:sz="0" w:space="0" w:color="auto"/>
              </w:divBdr>
            </w:div>
            <w:div w:id="986740790">
              <w:marLeft w:val="0"/>
              <w:marRight w:val="0"/>
              <w:marTop w:val="0"/>
              <w:marBottom w:val="0"/>
              <w:divBdr>
                <w:top w:val="none" w:sz="0" w:space="0" w:color="auto"/>
                <w:left w:val="none" w:sz="0" w:space="0" w:color="auto"/>
                <w:bottom w:val="none" w:sz="0" w:space="0" w:color="auto"/>
                <w:right w:val="none" w:sz="0" w:space="0" w:color="auto"/>
              </w:divBdr>
              <w:divsChild>
                <w:div w:id="1880706850">
                  <w:marLeft w:val="0"/>
                  <w:marRight w:val="0"/>
                  <w:marTop w:val="0"/>
                  <w:marBottom w:val="0"/>
                  <w:divBdr>
                    <w:top w:val="none" w:sz="0" w:space="0" w:color="auto"/>
                    <w:left w:val="none" w:sz="0" w:space="0" w:color="auto"/>
                    <w:bottom w:val="none" w:sz="0" w:space="0" w:color="auto"/>
                    <w:right w:val="none" w:sz="0" w:space="0" w:color="auto"/>
                  </w:divBdr>
                </w:div>
                <w:div w:id="2001274061">
                  <w:marLeft w:val="0"/>
                  <w:marRight w:val="0"/>
                  <w:marTop w:val="0"/>
                  <w:marBottom w:val="0"/>
                  <w:divBdr>
                    <w:top w:val="none" w:sz="0" w:space="0" w:color="auto"/>
                    <w:left w:val="none" w:sz="0" w:space="0" w:color="auto"/>
                    <w:bottom w:val="none" w:sz="0" w:space="0" w:color="auto"/>
                    <w:right w:val="none" w:sz="0" w:space="0" w:color="auto"/>
                  </w:divBdr>
                </w:div>
                <w:div w:id="756752454">
                  <w:marLeft w:val="0"/>
                  <w:marRight w:val="0"/>
                  <w:marTop w:val="0"/>
                  <w:marBottom w:val="0"/>
                  <w:divBdr>
                    <w:top w:val="none" w:sz="0" w:space="0" w:color="auto"/>
                    <w:left w:val="none" w:sz="0" w:space="0" w:color="auto"/>
                    <w:bottom w:val="none" w:sz="0" w:space="0" w:color="auto"/>
                    <w:right w:val="none" w:sz="0" w:space="0" w:color="auto"/>
                  </w:divBdr>
                </w:div>
              </w:divsChild>
            </w:div>
            <w:div w:id="652566206">
              <w:marLeft w:val="0"/>
              <w:marRight w:val="0"/>
              <w:marTop w:val="0"/>
              <w:marBottom w:val="0"/>
              <w:divBdr>
                <w:top w:val="none" w:sz="0" w:space="0" w:color="auto"/>
                <w:left w:val="none" w:sz="0" w:space="0" w:color="auto"/>
                <w:bottom w:val="none" w:sz="0" w:space="0" w:color="auto"/>
                <w:right w:val="none" w:sz="0" w:space="0" w:color="auto"/>
              </w:divBdr>
              <w:divsChild>
                <w:div w:id="1588615923">
                  <w:marLeft w:val="0"/>
                  <w:marRight w:val="0"/>
                  <w:marTop w:val="0"/>
                  <w:marBottom w:val="0"/>
                  <w:divBdr>
                    <w:top w:val="none" w:sz="0" w:space="0" w:color="auto"/>
                    <w:left w:val="none" w:sz="0" w:space="0" w:color="auto"/>
                    <w:bottom w:val="none" w:sz="0" w:space="0" w:color="auto"/>
                    <w:right w:val="none" w:sz="0" w:space="0" w:color="auto"/>
                  </w:divBdr>
                </w:div>
                <w:div w:id="459106079">
                  <w:marLeft w:val="0"/>
                  <w:marRight w:val="0"/>
                  <w:marTop w:val="0"/>
                  <w:marBottom w:val="0"/>
                  <w:divBdr>
                    <w:top w:val="none" w:sz="0" w:space="0" w:color="auto"/>
                    <w:left w:val="none" w:sz="0" w:space="0" w:color="auto"/>
                    <w:bottom w:val="none" w:sz="0" w:space="0" w:color="auto"/>
                    <w:right w:val="none" w:sz="0" w:space="0" w:color="auto"/>
                  </w:divBdr>
                  <w:divsChild>
                    <w:div w:id="786313112">
                      <w:marLeft w:val="0"/>
                      <w:marRight w:val="0"/>
                      <w:marTop w:val="0"/>
                      <w:marBottom w:val="0"/>
                      <w:divBdr>
                        <w:top w:val="none" w:sz="0" w:space="0" w:color="auto"/>
                        <w:left w:val="none" w:sz="0" w:space="0" w:color="auto"/>
                        <w:bottom w:val="none" w:sz="0" w:space="0" w:color="auto"/>
                        <w:right w:val="none" w:sz="0" w:space="0" w:color="auto"/>
                      </w:divBdr>
                    </w:div>
                    <w:div w:id="16962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897">
              <w:marLeft w:val="0"/>
              <w:marRight w:val="0"/>
              <w:marTop w:val="0"/>
              <w:marBottom w:val="0"/>
              <w:divBdr>
                <w:top w:val="none" w:sz="0" w:space="0" w:color="auto"/>
                <w:left w:val="none" w:sz="0" w:space="0" w:color="auto"/>
                <w:bottom w:val="none" w:sz="0" w:space="0" w:color="auto"/>
                <w:right w:val="none" w:sz="0" w:space="0" w:color="auto"/>
              </w:divBdr>
              <w:divsChild>
                <w:div w:id="939799312">
                  <w:marLeft w:val="0"/>
                  <w:marRight w:val="0"/>
                  <w:marTop w:val="0"/>
                  <w:marBottom w:val="0"/>
                  <w:divBdr>
                    <w:top w:val="none" w:sz="0" w:space="0" w:color="auto"/>
                    <w:left w:val="none" w:sz="0" w:space="0" w:color="auto"/>
                    <w:bottom w:val="none" w:sz="0" w:space="0" w:color="auto"/>
                    <w:right w:val="none" w:sz="0" w:space="0" w:color="auto"/>
                  </w:divBdr>
                </w:div>
                <w:div w:id="197938726">
                  <w:marLeft w:val="0"/>
                  <w:marRight w:val="0"/>
                  <w:marTop w:val="0"/>
                  <w:marBottom w:val="0"/>
                  <w:divBdr>
                    <w:top w:val="none" w:sz="0" w:space="0" w:color="auto"/>
                    <w:left w:val="none" w:sz="0" w:space="0" w:color="auto"/>
                    <w:bottom w:val="none" w:sz="0" w:space="0" w:color="auto"/>
                    <w:right w:val="none" w:sz="0" w:space="0" w:color="auto"/>
                  </w:divBdr>
                </w:div>
              </w:divsChild>
            </w:div>
            <w:div w:id="1054699486">
              <w:marLeft w:val="0"/>
              <w:marRight w:val="0"/>
              <w:marTop w:val="0"/>
              <w:marBottom w:val="0"/>
              <w:divBdr>
                <w:top w:val="none" w:sz="0" w:space="0" w:color="auto"/>
                <w:left w:val="none" w:sz="0" w:space="0" w:color="auto"/>
                <w:bottom w:val="none" w:sz="0" w:space="0" w:color="auto"/>
                <w:right w:val="none" w:sz="0" w:space="0" w:color="auto"/>
              </w:divBdr>
            </w:div>
            <w:div w:id="9032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71767">
      <w:bodyDiv w:val="1"/>
      <w:marLeft w:val="0"/>
      <w:marRight w:val="0"/>
      <w:marTop w:val="0"/>
      <w:marBottom w:val="0"/>
      <w:divBdr>
        <w:top w:val="none" w:sz="0" w:space="0" w:color="auto"/>
        <w:left w:val="none" w:sz="0" w:space="0" w:color="auto"/>
        <w:bottom w:val="none" w:sz="0" w:space="0" w:color="auto"/>
        <w:right w:val="none" w:sz="0" w:space="0" w:color="auto"/>
      </w:divBdr>
    </w:div>
    <w:div w:id="942032339">
      <w:bodyDiv w:val="1"/>
      <w:marLeft w:val="0"/>
      <w:marRight w:val="0"/>
      <w:marTop w:val="0"/>
      <w:marBottom w:val="0"/>
      <w:divBdr>
        <w:top w:val="none" w:sz="0" w:space="0" w:color="auto"/>
        <w:left w:val="none" w:sz="0" w:space="0" w:color="auto"/>
        <w:bottom w:val="none" w:sz="0" w:space="0" w:color="auto"/>
        <w:right w:val="none" w:sz="0" w:space="0" w:color="auto"/>
      </w:divBdr>
      <w:divsChild>
        <w:div w:id="1364088069">
          <w:marLeft w:val="0"/>
          <w:marRight w:val="0"/>
          <w:marTop w:val="0"/>
          <w:marBottom w:val="0"/>
          <w:divBdr>
            <w:top w:val="none" w:sz="0" w:space="0" w:color="auto"/>
            <w:left w:val="none" w:sz="0" w:space="0" w:color="auto"/>
            <w:bottom w:val="none" w:sz="0" w:space="0" w:color="auto"/>
            <w:right w:val="none" w:sz="0" w:space="0" w:color="auto"/>
          </w:divBdr>
          <w:divsChild>
            <w:div w:id="1543399887">
              <w:marLeft w:val="0"/>
              <w:marRight w:val="0"/>
              <w:marTop w:val="0"/>
              <w:marBottom w:val="0"/>
              <w:divBdr>
                <w:top w:val="none" w:sz="0" w:space="0" w:color="auto"/>
                <w:left w:val="none" w:sz="0" w:space="0" w:color="auto"/>
                <w:bottom w:val="none" w:sz="0" w:space="0" w:color="auto"/>
                <w:right w:val="none" w:sz="0" w:space="0" w:color="auto"/>
              </w:divBdr>
              <w:divsChild>
                <w:div w:id="629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58440">
      <w:bodyDiv w:val="1"/>
      <w:marLeft w:val="0"/>
      <w:marRight w:val="0"/>
      <w:marTop w:val="0"/>
      <w:marBottom w:val="0"/>
      <w:divBdr>
        <w:top w:val="none" w:sz="0" w:space="0" w:color="auto"/>
        <w:left w:val="none" w:sz="0" w:space="0" w:color="auto"/>
        <w:bottom w:val="none" w:sz="0" w:space="0" w:color="auto"/>
        <w:right w:val="none" w:sz="0" w:space="0" w:color="auto"/>
      </w:divBdr>
    </w:div>
    <w:div w:id="1078164658">
      <w:bodyDiv w:val="1"/>
      <w:marLeft w:val="0"/>
      <w:marRight w:val="0"/>
      <w:marTop w:val="0"/>
      <w:marBottom w:val="0"/>
      <w:divBdr>
        <w:top w:val="none" w:sz="0" w:space="0" w:color="auto"/>
        <w:left w:val="none" w:sz="0" w:space="0" w:color="auto"/>
        <w:bottom w:val="none" w:sz="0" w:space="0" w:color="auto"/>
        <w:right w:val="none" w:sz="0" w:space="0" w:color="auto"/>
      </w:divBdr>
      <w:divsChild>
        <w:div w:id="525095403">
          <w:marLeft w:val="0"/>
          <w:marRight w:val="0"/>
          <w:marTop w:val="0"/>
          <w:marBottom w:val="0"/>
          <w:divBdr>
            <w:top w:val="none" w:sz="0" w:space="0" w:color="auto"/>
            <w:left w:val="none" w:sz="0" w:space="0" w:color="auto"/>
            <w:bottom w:val="none" w:sz="0" w:space="0" w:color="auto"/>
            <w:right w:val="none" w:sz="0" w:space="0" w:color="auto"/>
          </w:divBdr>
          <w:divsChild>
            <w:div w:id="764224695">
              <w:marLeft w:val="0"/>
              <w:marRight w:val="0"/>
              <w:marTop w:val="0"/>
              <w:marBottom w:val="0"/>
              <w:divBdr>
                <w:top w:val="none" w:sz="0" w:space="0" w:color="auto"/>
                <w:left w:val="none" w:sz="0" w:space="0" w:color="auto"/>
                <w:bottom w:val="none" w:sz="0" w:space="0" w:color="auto"/>
                <w:right w:val="none" w:sz="0" w:space="0" w:color="auto"/>
              </w:divBdr>
              <w:divsChild>
                <w:div w:id="4271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0834">
      <w:bodyDiv w:val="1"/>
      <w:marLeft w:val="0"/>
      <w:marRight w:val="0"/>
      <w:marTop w:val="0"/>
      <w:marBottom w:val="0"/>
      <w:divBdr>
        <w:top w:val="none" w:sz="0" w:space="0" w:color="auto"/>
        <w:left w:val="none" w:sz="0" w:space="0" w:color="auto"/>
        <w:bottom w:val="none" w:sz="0" w:space="0" w:color="auto"/>
        <w:right w:val="none" w:sz="0" w:space="0" w:color="auto"/>
      </w:divBdr>
      <w:divsChild>
        <w:div w:id="619603807">
          <w:marLeft w:val="0"/>
          <w:marRight w:val="0"/>
          <w:marTop w:val="0"/>
          <w:marBottom w:val="0"/>
          <w:divBdr>
            <w:top w:val="none" w:sz="0" w:space="0" w:color="auto"/>
            <w:left w:val="none" w:sz="0" w:space="0" w:color="auto"/>
            <w:bottom w:val="none" w:sz="0" w:space="0" w:color="auto"/>
            <w:right w:val="none" w:sz="0" w:space="0" w:color="auto"/>
          </w:divBdr>
          <w:divsChild>
            <w:div w:id="735977382">
              <w:marLeft w:val="0"/>
              <w:marRight w:val="0"/>
              <w:marTop w:val="0"/>
              <w:marBottom w:val="0"/>
              <w:divBdr>
                <w:top w:val="none" w:sz="0" w:space="0" w:color="auto"/>
                <w:left w:val="none" w:sz="0" w:space="0" w:color="auto"/>
                <w:bottom w:val="none" w:sz="0" w:space="0" w:color="auto"/>
                <w:right w:val="none" w:sz="0" w:space="0" w:color="auto"/>
              </w:divBdr>
              <w:divsChild>
                <w:div w:id="20188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33923">
      <w:bodyDiv w:val="1"/>
      <w:marLeft w:val="0"/>
      <w:marRight w:val="0"/>
      <w:marTop w:val="0"/>
      <w:marBottom w:val="0"/>
      <w:divBdr>
        <w:top w:val="none" w:sz="0" w:space="0" w:color="auto"/>
        <w:left w:val="none" w:sz="0" w:space="0" w:color="auto"/>
        <w:bottom w:val="none" w:sz="0" w:space="0" w:color="auto"/>
        <w:right w:val="none" w:sz="0" w:space="0" w:color="auto"/>
      </w:divBdr>
    </w:div>
    <w:div w:id="1983919866">
      <w:bodyDiv w:val="1"/>
      <w:marLeft w:val="0"/>
      <w:marRight w:val="0"/>
      <w:marTop w:val="0"/>
      <w:marBottom w:val="0"/>
      <w:divBdr>
        <w:top w:val="none" w:sz="0" w:space="0" w:color="auto"/>
        <w:left w:val="none" w:sz="0" w:space="0" w:color="auto"/>
        <w:bottom w:val="none" w:sz="0" w:space="0" w:color="auto"/>
        <w:right w:val="none" w:sz="0" w:space="0" w:color="auto"/>
      </w:divBdr>
    </w:div>
    <w:div w:id="1994334286">
      <w:bodyDiv w:val="1"/>
      <w:marLeft w:val="0"/>
      <w:marRight w:val="0"/>
      <w:marTop w:val="0"/>
      <w:marBottom w:val="0"/>
      <w:divBdr>
        <w:top w:val="none" w:sz="0" w:space="0" w:color="auto"/>
        <w:left w:val="none" w:sz="0" w:space="0" w:color="auto"/>
        <w:bottom w:val="none" w:sz="0" w:space="0" w:color="auto"/>
        <w:right w:val="none" w:sz="0" w:space="0" w:color="auto"/>
      </w:divBdr>
    </w:div>
    <w:div w:id="212476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k.westlaw.com/Document/I89C2D4F0609911E88185BCFA23C758C3/View/FullText.html?originationContext=document&amp;transitionType=DocumentItem&amp;contextData=(sc.DocLink)" TargetMode="External"/><Relationship Id="rId18" Type="http://schemas.openxmlformats.org/officeDocument/2006/relationships/hyperlink" Target="https://uk.westlaw.com/Document/I2EA15D30609911E88185BCFA23C758C3/View/FullText.html?originationContext=document&amp;transitionType=DocumentItem&amp;contextData=(sc.DocLin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k.westlaw.com/Document/I94AE6500609911E88185BCFA23C758C3/View/FullText.html?originationContext=document&amp;transitionType=DocumentItem&amp;contextData=(sc.DocLink)" TargetMode="External"/><Relationship Id="rId7" Type="http://schemas.openxmlformats.org/officeDocument/2006/relationships/settings" Target="settings.xml"/><Relationship Id="rId12" Type="http://schemas.openxmlformats.org/officeDocument/2006/relationships/hyperlink" Target="https://uk.westlaw.com/Document/I1563B980609911E88185BCFA23C758C3/View/FullText.html?originationContext=document&amp;transitionType=DocumentItem&amp;contextData=(sc.DocLink)" TargetMode="External"/><Relationship Id="rId17" Type="http://schemas.openxmlformats.org/officeDocument/2006/relationships/hyperlink" Target="https://uk.westlaw.com/Document/I53ECA2C0609911E88185BCFA23C758C3/View/FullText.html?originationContext=document&amp;transitionType=DocumentItem&amp;contextData=(sc.DocLi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k.westlaw.com/Document/I894148E0609911E88185BCFA23C758C3/View/FullText.html?originationContext=document&amp;transitionType=DocumentItem&amp;contextData=(sc.DocLink)" TargetMode="External"/><Relationship Id="rId20" Type="http://schemas.openxmlformats.org/officeDocument/2006/relationships/hyperlink" Target="https://uk.westlaw.com/Document/I47C0A370609911E88185BCFA23C758C3/View/FullText.html?originationContext=document&amp;transitionType=DocumentItem&amp;contextData=(sc.Doc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k.westlaw.com/Document/I909B26B0609911E88185BCFA23C758C3/View/FullText.html?originationContext=document&amp;transitionType=DocumentItem&amp;contextData=(sc.DocLin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k.westlaw.com/Document/I2721A7E0609911E88185BCFA23C758C3/View/FullText.html?originationContext=document&amp;transitionType=DocumentItem&amp;contextData=(sc.DocLi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k.westlaw.com/Document/I237A4AC0609911E88185BCFA23C758C3/View/FullText.html?originationContext=document&amp;transitionType=DocumentItem&amp;contextData=(sc.DocLink)" TargetMode="External"/><Relationship Id="rId22" Type="http://schemas.openxmlformats.org/officeDocument/2006/relationships/hyperlink" Target="https://uk.westlaw.com/Document/I105BE200609911E88185BCFA23C758C3/View/FullText.html?originationContext=document&amp;transitionType=DocumentItem&amp;contextData=%28sc.DocLink%29&amp;comp=wl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qi06b\OneDrive%20-%20Ministry%20of%20Justice\JudgmentTemplate\Templates\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D71330B0C2549B31E9CAA61AC1BC3" ma:contentTypeVersion="10" ma:contentTypeDescription="Create a new document." ma:contentTypeScope="" ma:versionID="eb136dfcd299023dc41fbd67ff6bd9ad">
  <xsd:schema xmlns:xsd="http://www.w3.org/2001/XMLSchema" xmlns:xs="http://www.w3.org/2001/XMLSchema" xmlns:p="http://schemas.microsoft.com/office/2006/metadata/properties" xmlns:ns3="a43c54ca-90c5-4eb2-9b56-d69f0a03b442" targetNamespace="http://schemas.microsoft.com/office/2006/metadata/properties" ma:root="true" ma:fieldsID="6f95a7d5ad72c0e11ba892110943dc7a" ns3:_="">
    <xsd:import namespace="a43c54ca-90c5-4eb2-9b56-d69f0a03b4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54ca-90c5-4eb2-9b56-d69f0a03b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9BDF6-E2D9-49E2-B471-19C50A98FD1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43c54ca-90c5-4eb2-9b56-d69f0a03b442"/>
    <ds:schemaRef ds:uri="http://www.w3.org/XML/1998/namespace"/>
    <ds:schemaRef ds:uri="http://purl.org/dc/dcmitype/"/>
  </ds:schemaRefs>
</ds:datastoreItem>
</file>

<file path=customXml/itemProps2.xml><?xml version="1.0" encoding="utf-8"?>
<ds:datastoreItem xmlns:ds="http://schemas.openxmlformats.org/officeDocument/2006/customXml" ds:itemID="{97B80963-D269-4986-A108-1014B0DA0525}">
  <ds:schemaRefs>
    <ds:schemaRef ds:uri="http://schemas.microsoft.com/sharepoint/v3/contenttype/forms"/>
  </ds:schemaRefs>
</ds:datastoreItem>
</file>

<file path=customXml/itemProps3.xml><?xml version="1.0" encoding="utf-8"?>
<ds:datastoreItem xmlns:ds="http://schemas.openxmlformats.org/officeDocument/2006/customXml" ds:itemID="{C4E00729-AC16-4672-A1CA-091437F3A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c54ca-90c5-4eb2-9b56-d69f0a03b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458A7-0C0E-4134-9B98-77EF00E1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hc_judg2k.dot</Template>
  <TotalTime>1</TotalTime>
  <Pages>20</Pages>
  <Words>9282</Words>
  <Characters>48000</Characters>
  <Application>Microsoft Office Word</Application>
  <DocSecurity>4</DocSecurity>
  <Lines>400</Lines>
  <Paragraphs>114</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57168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O'Regan, Linda</dc:creator>
  <cp:keywords/>
  <dc:description/>
  <cp:lastModifiedBy>O'Regan, Linda</cp:lastModifiedBy>
  <cp:revision>2</cp:revision>
  <cp:lastPrinted>2020-09-21T10:44:00Z</cp:lastPrinted>
  <dcterms:created xsi:type="dcterms:W3CDTF">2020-09-22T09:50:00Z</dcterms:created>
  <dcterms:modified xsi:type="dcterms:W3CDTF">2020-09-22T09:50:00Z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ADMINISTRATIVE COURT</vt:lpwstr>
  </property>
  <property fmtid="{D5CDD505-2E9C-101B-9397-08002B2CF9AE}" pid="6" name="ApprovedStage">
    <vt:lpwstr>Approved</vt:lpwstr>
  </property>
  <property fmtid="{D5CDD505-2E9C-101B-9397-08002B2CF9AE}" pid="7" name="NCDiv">
    <vt:lpwstr>Admin</vt:lpwstr>
  </property>
  <property fmtid="{D5CDD505-2E9C-101B-9397-08002B2CF9AE}" pid="8" name="ContentTypeId">
    <vt:lpwstr>0x010100838D71330B0C2549B31E9CAA61AC1BC3</vt:lpwstr>
  </property>
  <property fmtid="{D5CDD505-2E9C-101B-9397-08002B2CF9AE}" pid="9" name="NCCaseNum">
    <vt:lpwstr>CO/3082/2020</vt:lpwstr>
  </property>
  <property fmtid="{D5CDD505-2E9C-101B-9397-08002B2CF9AE}" pid="10" name="NCJudge">
    <vt:lpwstr>THE PRESIDENT OF THE QUEEN'S BENCH DIVISION      MR JUSTICE GARNHAM</vt:lpwstr>
  </property>
  <property fmtid="{D5CDD505-2E9C-101B-9397-08002B2CF9AE}" pid="11" name="NCCaseTitle">
    <vt:lpwstr>R(Elgizouli) v SoS</vt:lpwstr>
  </property>
  <property fmtid="{D5CDD505-2E9C-101B-9397-08002B2CF9AE}" pid="12" name="NCJudgeDate">
    <vt:lpwstr>22/09/2020</vt:lpwstr>
  </property>
  <property fmtid="{D5CDD505-2E9C-101B-9397-08002B2CF9AE}" pid="13" name="NCNumber">
    <vt:lpwstr>[2020] EWHC 2516 (Admin)</vt:lpwstr>
  </property>
</Properties>
</file>